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284480</wp:posOffset>
            </wp:positionV>
            <wp:extent cx="726313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22860"/>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314960</wp:posOffset>
            </wp:positionV>
            <wp:extent cx="72631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130" cy="7620"/>
                    </a:xfrm>
                    <a:prstGeom prst="rect">
                      <a:avLst/>
                    </a:prstGeom>
                    <a:noFill/>
                  </pic:spPr>
                </pic:pic>
              </a:graphicData>
            </a:graphic>
          </wp:anchor>
        </w:drawing>
        <w:t>SECURITIES AND EXCHANGE COMMISSION</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FORM 6-K</w:t>
      </w:r>
    </w:p>
    <w:p>
      <w:pPr>
        <w:spacing w:after="0" w:line="199"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Report of Foreign Private Issuer</w:t>
      </w:r>
    </w:p>
    <w:p>
      <w:pPr>
        <w:spacing w:after="0" w:line="17"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Pursuant to Rule 13a-16 or 15d-16 under the</w:t>
      </w:r>
    </w:p>
    <w:p>
      <w:pPr>
        <w:spacing w:after="0" w:line="6"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Securities Exchange Act of 1934</w:t>
      </w:r>
    </w:p>
    <w:p>
      <w:pPr>
        <w:spacing w:after="0" w:line="180"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For the month of February 2019</w:t>
      </w:r>
    </w:p>
    <w:p>
      <w:pPr>
        <w:spacing w:after="0" w:line="199"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Commission File Number: 001-14014</w:t>
      </w:r>
    </w:p>
    <w:p>
      <w:pPr>
        <w:spacing w:after="0" w:line="188" w:lineRule="exact"/>
        <w:rPr>
          <w:sz w:val="24"/>
          <w:szCs w:val="24"/>
          <w:color w:val="auto"/>
        </w:rPr>
      </w:pPr>
    </w:p>
    <w:p>
      <w:pPr>
        <w:jc w:val="center"/>
        <w:ind w:right="-1160"/>
        <w:spacing w:after="0"/>
        <w:rPr>
          <w:sz w:val="20"/>
          <w:szCs w:val="20"/>
          <w:color w:val="auto"/>
        </w:rPr>
      </w:pPr>
      <w:r>
        <w:rPr>
          <w:rFonts w:ascii="Arial" w:cs="Arial" w:eastAsia="Arial" w:hAnsi="Arial"/>
          <w:sz w:val="22"/>
          <w:szCs w:val="22"/>
          <w:b w:val="1"/>
          <w:bCs w:val="1"/>
          <w:color w:val="auto"/>
        </w:rPr>
        <w:t>CREDICORP LTD.</w:t>
      </w:r>
    </w:p>
    <w:p>
      <w:pPr>
        <w:spacing w:after="0" w:line="29"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(Translation of registrant’s name into English)</w:t>
      </w:r>
    </w:p>
    <w:p>
      <w:pPr>
        <w:spacing w:after="0" w:line="177"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Clarendon House</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Church Street</w:t>
      </w:r>
    </w:p>
    <w:p>
      <w:pPr>
        <w:spacing w:after="0" w:line="6"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Hamilton HM 11 Bermuda</w:t>
      </w:r>
    </w:p>
    <w:p>
      <w:pPr>
        <w:spacing w:after="0" w:line="6"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(Address of principal executive office)</w:t>
      </w:r>
    </w:p>
    <w:p>
      <w:pPr>
        <w:spacing w:after="0" w:line="184"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Indicate by check mark whether the registrant files or will file annual reports under cover of Form 20-F or Form 40-F.</w:t>
      </w:r>
    </w:p>
    <w:p>
      <w:pPr>
        <w:spacing w:after="0" w:line="190" w:lineRule="exact"/>
        <w:rPr>
          <w:sz w:val="24"/>
          <w:szCs w:val="24"/>
          <w:color w:val="auto"/>
        </w:rPr>
      </w:pPr>
    </w:p>
    <w:p>
      <w:pPr>
        <w:ind w:left="480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132080</wp:posOffset>
            </wp:positionV>
            <wp:extent cx="72631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7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147320</wp:posOffset>
            </wp:positionV>
            <wp:extent cx="726313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130" cy="2286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546100</wp:posOffset>
            </wp:positionV>
            <wp:extent cx="72631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179"/>
          </w:cols>
          <w:pgMar w:left="280" w:top="704" w:right="1440" w:bottom="1440" w:gutter="0" w:footer="0" w:header="0"/>
        </w:sectPr>
      </w:pPr>
    </w:p>
    <w:bookmarkStart w:id="1" w:name="page2"/>
    <w:bookmarkEnd w:id="1"/>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5628640</wp:posOffset>
            </wp:positionH>
            <wp:positionV relativeFrom="page">
              <wp:posOffset>525145</wp:posOffset>
            </wp:positionV>
            <wp:extent cx="1783715" cy="421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83715" cy="4216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February 28, 2019</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 SEC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 MATERIAL EVENT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Please find attached herewith a copy of the audited consolidated financial statements of Credicorp Ltd. (the “Company”) and its subsidiaries, for the fiscal year ended December 31, 2018, including the report of the external independent auditors Gaveglio, Aparicio y Asociados Sociedad de Responsabilidad Limitada, members of PricewaterhouseCoopers in Peru, approved by the Company’s Board of Directors in its session held on February 27, 2019, and which will be submitted for evaluation and approval of the Annual General Meeting of Shareholders on March 29, 2019.</w:t>
      </w:r>
    </w:p>
    <w:p>
      <w:pPr>
        <w:spacing w:after="0" w:line="169"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 Miriam Böttger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1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381000</wp:posOffset>
            </wp:positionV>
            <wp:extent cx="72631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w:t>
      </w:r>
    </w:p>
    <w:p>
      <w:pPr>
        <w:spacing w:after="0" w:line="199" w:lineRule="exact"/>
        <w:rPr>
          <w:sz w:val="20"/>
          <w:szCs w:val="20"/>
          <w:color w:val="auto"/>
        </w:rPr>
      </w:pPr>
    </w:p>
    <w:p>
      <w:pPr>
        <w:ind w:firstLine="469"/>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Date: February 28, 2019</w:t>
      </w:r>
    </w:p>
    <w:p>
      <w:pPr>
        <w:spacing w:after="0" w:line="19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CREDICORP LTD.</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(Registrant)</w:t>
      </w:r>
    </w:p>
    <w:p>
      <w:pPr>
        <w:spacing w:after="0" w:line="18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Miriam Böttger</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-115570</wp:posOffset>
            </wp:positionV>
            <wp:extent cx="32664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6440" cy="762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381000</wp:posOffset>
            </wp:positionV>
            <wp:extent cx="72631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300"/>
          </w:cols>
          <w:pgMar w:left="240" w:top="810"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381000</wp:posOffset>
            </wp:positionV>
            <wp:extent cx="72631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6900" w:type="dxa"/>
            <w:vAlign w:val="bottom"/>
            <w:gridSpan w:val="10"/>
          </w:tcPr>
          <w:p>
            <w:pPr>
              <w:spacing w:after="0"/>
              <w:rPr>
                <w:sz w:val="20"/>
                <w:szCs w:val="20"/>
                <w:color w:val="auto"/>
              </w:rPr>
            </w:pPr>
            <w:r>
              <w:rPr>
                <w:rFonts w:ascii="Arial" w:cs="Arial" w:eastAsia="Arial" w:hAnsi="Arial"/>
                <w:sz w:val="16"/>
                <w:szCs w:val="16"/>
                <w:b w:val="1"/>
                <w:bCs w:val="1"/>
                <w:color w:val="auto"/>
              </w:rPr>
              <w:t>CREDICORP LTD. AND SUBSIDIARIES</w:t>
            </w: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6900" w:type="dxa"/>
            <w:vAlign w:val="bottom"/>
            <w:gridSpan w:val="10"/>
          </w:tcPr>
          <w:p>
            <w:pPr>
              <w:spacing w:after="0"/>
              <w:rPr>
                <w:sz w:val="20"/>
                <w:szCs w:val="20"/>
                <w:color w:val="auto"/>
              </w:rPr>
            </w:pPr>
            <w:r>
              <w:rPr>
                <w:rFonts w:ascii="Arial" w:cs="Arial" w:eastAsia="Arial" w:hAnsi="Arial"/>
                <w:sz w:val="16"/>
                <w:szCs w:val="16"/>
                <w:color w:val="auto"/>
              </w:rPr>
              <w:t>CONSOLIDATED FINANCIAL STATEMENTS</w:t>
            </w: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900" w:type="dxa"/>
            <w:vAlign w:val="bottom"/>
            <w:gridSpan w:val="10"/>
          </w:tcPr>
          <w:p>
            <w:pPr>
              <w:spacing w:after="0"/>
              <w:rPr>
                <w:sz w:val="20"/>
                <w:szCs w:val="20"/>
                <w:color w:val="auto"/>
              </w:rPr>
            </w:pPr>
            <w:r>
              <w:rPr>
                <w:rFonts w:ascii="Arial" w:cs="Arial" w:eastAsia="Arial" w:hAnsi="Arial"/>
                <w:sz w:val="16"/>
                <w:szCs w:val="16"/>
                <w:color w:val="auto"/>
              </w:rPr>
              <w:t>AS OF DECEMBER 31, 2018 AND 2017</w:t>
            </w: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860" w:type="dxa"/>
            <w:vAlign w:val="bottom"/>
            <w:gridSpan w:val="3"/>
          </w:tcPr>
          <w:p>
            <w:pPr>
              <w:spacing w:after="0"/>
              <w:rPr>
                <w:sz w:val="20"/>
                <w:szCs w:val="20"/>
                <w:color w:val="auto"/>
              </w:rPr>
            </w:pPr>
            <w:r>
              <w:rPr>
                <w:rFonts w:ascii="Arial" w:cs="Arial" w:eastAsia="Arial" w:hAnsi="Arial"/>
                <w:sz w:val="16"/>
                <w:szCs w:val="16"/>
                <w:color w:val="auto"/>
                <w:w w:val="95"/>
              </w:rPr>
              <w:t>CONTENTS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560" w:type="dxa"/>
            <w:vAlign w:val="bottom"/>
            <w:gridSpan w:val="8"/>
          </w:tcPr>
          <w:p>
            <w:pPr>
              <w:ind w:left="3780"/>
              <w:spacing w:after="0"/>
              <w:rPr>
                <w:sz w:val="20"/>
                <w:szCs w:val="20"/>
                <w:color w:val="auto"/>
              </w:rPr>
            </w:pPr>
            <w:r>
              <w:rPr>
                <w:rFonts w:ascii="Arial" w:cs="Arial" w:eastAsia="Arial" w:hAnsi="Arial"/>
                <w:sz w:val="16"/>
                <w:szCs w:val="16"/>
                <w:b w:val="1"/>
                <w:bCs w:val="1"/>
                <w:color w:val="auto"/>
              </w:rPr>
              <w:t>Pages</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780" w:type="dxa"/>
            <w:vAlign w:val="bottom"/>
            <w:gridSpan w:val="3"/>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80" w:type="dxa"/>
            <w:vAlign w:val="bottom"/>
            <w:gridSpan w:val="9"/>
            <w:shd w:val="clear" w:color="auto" w:fill="CCEEFF"/>
          </w:tcPr>
          <w:p>
            <w:pPr>
              <w:spacing w:after="0" w:line="155" w:lineRule="exact"/>
              <w:rPr>
                <w:rFonts w:ascii="Arial" w:cs="Arial" w:eastAsia="Arial" w:hAnsi="Arial"/>
                <w:sz w:val="16"/>
                <w:szCs w:val="16"/>
                <w:color w:val="0000EE"/>
              </w:rPr>
            </w:pPr>
            <w:hyperlink w:anchor="page6">
              <w:r>
                <w:rPr>
                  <w:rFonts w:ascii="Arial" w:cs="Arial" w:eastAsia="Arial" w:hAnsi="Arial"/>
                  <w:sz w:val="16"/>
                  <w:szCs w:val="16"/>
                  <w:color w:val="0000EE"/>
                </w:rPr>
                <w:t>Independent auditor’s report</w:t>
              </w:r>
            </w:hyperlink>
          </w:p>
        </w:tc>
        <w:tc>
          <w:tcPr>
            <w:tcW w:w="4540" w:type="dxa"/>
            <w:vAlign w:val="bottom"/>
            <w:gridSpan w:val="7"/>
            <w:shd w:val="clear" w:color="auto" w:fill="CCEEFF"/>
          </w:tcPr>
          <w:p>
            <w:pPr>
              <w:jc w:val="right"/>
              <w:spacing w:after="0" w:line="155" w:lineRule="exact"/>
              <w:rPr>
                <w:rFonts w:ascii="Arial" w:cs="Arial" w:eastAsia="Arial" w:hAnsi="Arial"/>
                <w:sz w:val="16"/>
                <w:szCs w:val="16"/>
                <w:color w:val="0000EE"/>
              </w:rPr>
            </w:pPr>
            <w:hyperlink w:anchor="page6">
              <w:r>
                <w:rPr>
                  <w:rFonts w:ascii="Arial" w:cs="Arial" w:eastAsia="Arial" w:hAnsi="Arial"/>
                  <w:sz w:val="16"/>
                  <w:szCs w:val="16"/>
                  <w:color w:val="0000EE"/>
                </w:rPr>
                <w:t>1 - 8</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780" w:type="dxa"/>
            <w:vAlign w:val="bottom"/>
            <w:tcBorders>
              <w:top w:val="single" w:sz="8" w:color="0000EE"/>
            </w:tcBorders>
            <w:gridSpan w:val="3"/>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80" w:type="dxa"/>
            <w:vAlign w:val="bottom"/>
            <w:gridSpan w:val="9"/>
            <w:shd w:val="clear" w:color="auto" w:fill="CCEEFF"/>
          </w:tcPr>
          <w:p>
            <w:pPr>
              <w:spacing w:after="0" w:line="155" w:lineRule="exact"/>
              <w:rPr>
                <w:rFonts w:ascii="Arial" w:cs="Arial" w:eastAsia="Arial" w:hAnsi="Arial"/>
                <w:sz w:val="16"/>
                <w:szCs w:val="16"/>
                <w:color w:val="0000EE"/>
              </w:rPr>
            </w:pPr>
            <w:hyperlink w:anchor="page14">
              <w:r>
                <w:rPr>
                  <w:rFonts w:ascii="Arial" w:cs="Arial" w:eastAsia="Arial" w:hAnsi="Arial"/>
                  <w:sz w:val="16"/>
                  <w:szCs w:val="16"/>
                  <w:color w:val="0000EE"/>
                </w:rPr>
                <w:t>Consolidated statement of financial position</w:t>
              </w:r>
            </w:hyperlink>
          </w:p>
        </w:tc>
        <w:tc>
          <w:tcPr>
            <w:tcW w:w="4540" w:type="dxa"/>
            <w:vAlign w:val="bottom"/>
            <w:gridSpan w:val="7"/>
            <w:shd w:val="clear" w:color="auto" w:fill="CCEEFF"/>
          </w:tcPr>
          <w:p>
            <w:pPr>
              <w:jc w:val="right"/>
              <w:spacing w:after="0" w:line="155" w:lineRule="exact"/>
              <w:rPr>
                <w:rFonts w:ascii="Arial" w:cs="Arial" w:eastAsia="Arial" w:hAnsi="Arial"/>
                <w:sz w:val="16"/>
                <w:szCs w:val="16"/>
                <w:color w:val="0000EE"/>
              </w:rPr>
            </w:pPr>
            <w:hyperlink w:anchor="page14">
              <w:r>
                <w:rPr>
                  <w:rFonts w:ascii="Arial" w:cs="Arial" w:eastAsia="Arial" w:hAnsi="Arial"/>
                  <w:sz w:val="16"/>
                  <w:szCs w:val="16"/>
                  <w:color w:val="0000EE"/>
                </w:rPr>
                <w:t>9</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780" w:type="dxa"/>
            <w:vAlign w:val="bottom"/>
            <w:tcBorders>
              <w:top w:val="single" w:sz="8" w:color="0000EE"/>
            </w:tcBorders>
            <w:gridSpan w:val="3"/>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80" w:type="dxa"/>
            <w:vAlign w:val="bottom"/>
            <w:gridSpan w:val="9"/>
            <w:shd w:val="clear" w:color="auto" w:fill="CCEEFF"/>
          </w:tcPr>
          <w:p>
            <w:pPr>
              <w:spacing w:after="0" w:line="155" w:lineRule="exact"/>
              <w:rPr>
                <w:rFonts w:ascii="Arial" w:cs="Arial" w:eastAsia="Arial" w:hAnsi="Arial"/>
                <w:sz w:val="16"/>
                <w:szCs w:val="16"/>
                <w:color w:val="0000EE"/>
              </w:rPr>
            </w:pPr>
            <w:hyperlink w:anchor="page16">
              <w:r>
                <w:rPr>
                  <w:rFonts w:ascii="Arial" w:cs="Arial" w:eastAsia="Arial" w:hAnsi="Arial"/>
                  <w:sz w:val="16"/>
                  <w:szCs w:val="16"/>
                  <w:color w:val="0000EE"/>
                </w:rPr>
                <w:t>Consolidated statement of income</w:t>
              </w:r>
            </w:hyperlink>
          </w:p>
        </w:tc>
        <w:tc>
          <w:tcPr>
            <w:tcW w:w="4540" w:type="dxa"/>
            <w:vAlign w:val="bottom"/>
            <w:gridSpan w:val="7"/>
            <w:shd w:val="clear" w:color="auto" w:fill="CCEEFF"/>
          </w:tcPr>
          <w:p>
            <w:pPr>
              <w:jc w:val="right"/>
              <w:spacing w:after="0" w:line="155" w:lineRule="exact"/>
              <w:rPr>
                <w:rFonts w:ascii="Arial" w:cs="Arial" w:eastAsia="Arial" w:hAnsi="Arial"/>
                <w:sz w:val="16"/>
                <w:szCs w:val="16"/>
                <w:color w:val="0000EE"/>
              </w:rPr>
            </w:pPr>
            <w:hyperlink w:anchor="page16">
              <w:r>
                <w:rPr>
                  <w:rFonts w:ascii="Arial" w:cs="Arial" w:eastAsia="Arial" w:hAnsi="Arial"/>
                  <w:sz w:val="16"/>
                  <w:szCs w:val="16"/>
                  <w:color w:val="0000EE"/>
                </w:rPr>
                <w:t>10 - 11</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780" w:type="dxa"/>
            <w:vAlign w:val="bottom"/>
            <w:tcBorders>
              <w:top w:val="single" w:sz="8" w:color="0000EE"/>
            </w:tcBorders>
            <w:gridSpan w:val="3"/>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80" w:type="dxa"/>
            <w:vAlign w:val="bottom"/>
            <w:gridSpan w:val="9"/>
            <w:shd w:val="clear" w:color="auto" w:fill="CCEEFF"/>
          </w:tcPr>
          <w:p>
            <w:pPr>
              <w:spacing w:after="0" w:line="155" w:lineRule="exact"/>
              <w:rPr>
                <w:rFonts w:ascii="Arial" w:cs="Arial" w:eastAsia="Arial" w:hAnsi="Arial"/>
                <w:sz w:val="16"/>
                <w:szCs w:val="16"/>
                <w:color w:val="0000EE"/>
              </w:rPr>
            </w:pPr>
            <w:hyperlink w:anchor="page18">
              <w:r>
                <w:rPr>
                  <w:rFonts w:ascii="Arial" w:cs="Arial" w:eastAsia="Arial" w:hAnsi="Arial"/>
                  <w:sz w:val="16"/>
                  <w:szCs w:val="16"/>
                  <w:color w:val="0000EE"/>
                </w:rPr>
                <w:t>Consolidated statement of comprehensive income</w:t>
              </w:r>
            </w:hyperlink>
          </w:p>
        </w:tc>
        <w:tc>
          <w:tcPr>
            <w:tcW w:w="4540" w:type="dxa"/>
            <w:vAlign w:val="bottom"/>
            <w:gridSpan w:val="7"/>
            <w:shd w:val="clear" w:color="auto" w:fill="CCEEFF"/>
          </w:tcPr>
          <w:p>
            <w:pPr>
              <w:jc w:val="right"/>
              <w:spacing w:after="0" w:line="155" w:lineRule="exact"/>
              <w:rPr>
                <w:rFonts w:ascii="Arial" w:cs="Arial" w:eastAsia="Arial" w:hAnsi="Arial"/>
                <w:sz w:val="16"/>
                <w:szCs w:val="16"/>
                <w:color w:val="0000EE"/>
              </w:rPr>
            </w:pPr>
            <w:hyperlink w:anchor="page18">
              <w:r>
                <w:rPr>
                  <w:rFonts w:ascii="Arial" w:cs="Arial" w:eastAsia="Arial" w:hAnsi="Arial"/>
                  <w:sz w:val="16"/>
                  <w:szCs w:val="16"/>
                  <w:color w:val="0000EE"/>
                </w:rPr>
                <w:t>12</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780" w:type="dxa"/>
            <w:vAlign w:val="bottom"/>
            <w:tcBorders>
              <w:top w:val="single" w:sz="8" w:color="0000EE"/>
            </w:tcBorders>
            <w:gridSpan w:val="3"/>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80" w:type="dxa"/>
            <w:vAlign w:val="bottom"/>
            <w:gridSpan w:val="9"/>
            <w:shd w:val="clear" w:color="auto" w:fill="CCEEFF"/>
          </w:tcPr>
          <w:p>
            <w:pPr>
              <w:spacing w:after="0" w:line="155" w:lineRule="exact"/>
              <w:rPr>
                <w:rFonts w:ascii="Arial" w:cs="Arial" w:eastAsia="Arial" w:hAnsi="Arial"/>
                <w:sz w:val="16"/>
                <w:szCs w:val="16"/>
                <w:color w:val="0000EE"/>
              </w:rPr>
            </w:pPr>
            <w:hyperlink w:anchor="page19">
              <w:r>
                <w:rPr>
                  <w:rFonts w:ascii="Arial" w:cs="Arial" w:eastAsia="Arial" w:hAnsi="Arial"/>
                  <w:sz w:val="16"/>
                  <w:szCs w:val="16"/>
                  <w:color w:val="0000EE"/>
                </w:rPr>
                <w:t>Consolidated statement of changes in equity</w:t>
              </w:r>
            </w:hyperlink>
          </w:p>
        </w:tc>
        <w:tc>
          <w:tcPr>
            <w:tcW w:w="4540" w:type="dxa"/>
            <w:vAlign w:val="bottom"/>
            <w:gridSpan w:val="7"/>
            <w:shd w:val="clear" w:color="auto" w:fill="CCEEFF"/>
          </w:tcPr>
          <w:p>
            <w:pPr>
              <w:jc w:val="right"/>
              <w:spacing w:after="0" w:line="155" w:lineRule="exact"/>
              <w:rPr>
                <w:rFonts w:ascii="Arial" w:cs="Arial" w:eastAsia="Arial" w:hAnsi="Arial"/>
                <w:sz w:val="16"/>
                <w:szCs w:val="16"/>
                <w:color w:val="0000EE"/>
              </w:rPr>
            </w:pPr>
            <w:hyperlink w:anchor="page19">
              <w:r>
                <w:rPr>
                  <w:rFonts w:ascii="Arial" w:cs="Arial" w:eastAsia="Arial" w:hAnsi="Arial"/>
                  <w:sz w:val="16"/>
                  <w:szCs w:val="16"/>
                  <w:color w:val="0000EE"/>
                </w:rPr>
                <w:t>13</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780" w:type="dxa"/>
            <w:vAlign w:val="bottom"/>
            <w:tcBorders>
              <w:top w:val="single" w:sz="8" w:color="0000EE"/>
            </w:tcBorders>
            <w:gridSpan w:val="3"/>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80" w:type="dxa"/>
            <w:vAlign w:val="bottom"/>
            <w:gridSpan w:val="9"/>
            <w:shd w:val="clear" w:color="auto" w:fill="CCEEFF"/>
          </w:tcPr>
          <w:p>
            <w:pPr>
              <w:spacing w:after="0" w:line="155" w:lineRule="exact"/>
              <w:rPr>
                <w:rFonts w:ascii="Arial" w:cs="Arial" w:eastAsia="Arial" w:hAnsi="Arial"/>
                <w:sz w:val="16"/>
                <w:szCs w:val="16"/>
                <w:color w:val="0000EE"/>
              </w:rPr>
            </w:pPr>
            <w:hyperlink w:anchor="page21">
              <w:r>
                <w:rPr>
                  <w:rFonts w:ascii="Arial" w:cs="Arial" w:eastAsia="Arial" w:hAnsi="Arial"/>
                  <w:sz w:val="16"/>
                  <w:szCs w:val="16"/>
                  <w:color w:val="0000EE"/>
                </w:rPr>
                <w:t>Consolidated statement of cash flows</w:t>
              </w:r>
            </w:hyperlink>
          </w:p>
        </w:tc>
        <w:tc>
          <w:tcPr>
            <w:tcW w:w="4540" w:type="dxa"/>
            <w:vAlign w:val="bottom"/>
            <w:gridSpan w:val="7"/>
            <w:shd w:val="clear" w:color="auto" w:fill="CCEEFF"/>
          </w:tcPr>
          <w:p>
            <w:pPr>
              <w:jc w:val="right"/>
              <w:spacing w:after="0" w:line="155" w:lineRule="exact"/>
              <w:rPr>
                <w:rFonts w:ascii="Arial" w:cs="Arial" w:eastAsia="Arial" w:hAnsi="Arial"/>
                <w:sz w:val="16"/>
                <w:szCs w:val="16"/>
                <w:color w:val="0000EE"/>
              </w:rPr>
            </w:pPr>
            <w:hyperlink w:anchor="page21">
              <w:r>
                <w:rPr>
                  <w:rFonts w:ascii="Arial" w:cs="Arial" w:eastAsia="Arial" w:hAnsi="Arial"/>
                  <w:sz w:val="16"/>
                  <w:szCs w:val="16"/>
                  <w:color w:val="0000EE"/>
                </w:rPr>
                <w:t>14 - 16</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780" w:type="dxa"/>
            <w:vAlign w:val="bottom"/>
            <w:tcBorders>
              <w:top w:val="single" w:sz="8" w:color="0000EE"/>
            </w:tcBorders>
            <w:gridSpan w:val="3"/>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80" w:type="dxa"/>
            <w:vAlign w:val="bottom"/>
            <w:tcBorders>
              <w:bottom w:val="single" w:sz="8" w:color="0000EE"/>
            </w:tcBorders>
            <w:gridSpan w:val="7"/>
            <w:shd w:val="clear" w:color="auto" w:fill="CCEEFF"/>
          </w:tcPr>
          <w:p>
            <w:pPr>
              <w:spacing w:after="0" w:line="155" w:lineRule="exact"/>
              <w:rPr>
                <w:rFonts w:ascii="Arial" w:cs="Arial" w:eastAsia="Arial" w:hAnsi="Arial"/>
                <w:sz w:val="16"/>
                <w:szCs w:val="16"/>
                <w:color w:val="0000EE"/>
                <w:w w:val="87"/>
              </w:rPr>
            </w:pPr>
            <w:hyperlink w:anchor="page24">
              <w:r>
                <w:rPr>
                  <w:rFonts w:ascii="Arial" w:cs="Arial" w:eastAsia="Arial" w:hAnsi="Arial"/>
                  <w:sz w:val="16"/>
                  <w:szCs w:val="16"/>
                  <w:color w:val="0000EE"/>
                  <w:w w:val="87"/>
                </w:rPr>
                <w:t>Notes to the consolidated financial statements</w:t>
              </w:r>
            </w:hyperlink>
          </w:p>
        </w:tc>
        <w:tc>
          <w:tcPr>
            <w:tcW w:w="4000" w:type="dxa"/>
            <w:vAlign w:val="bottom"/>
            <w:tcBorders>
              <w:bottom w:val="single" w:sz="8" w:color="CCEEFF"/>
            </w:tcBorders>
            <w:gridSpan w:val="2"/>
            <w:shd w:val="clear" w:color="auto" w:fill="CCEEFF"/>
          </w:tcPr>
          <w:p>
            <w:pPr>
              <w:spacing w:after="0"/>
              <w:rPr>
                <w:sz w:val="14"/>
                <w:szCs w:val="14"/>
                <w:color w:val="auto"/>
              </w:rPr>
            </w:pPr>
          </w:p>
        </w:tc>
        <w:tc>
          <w:tcPr>
            <w:tcW w:w="40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0000EE"/>
            </w:tcBorders>
            <w:gridSpan w:val="6"/>
            <w:shd w:val="clear" w:color="auto" w:fill="CCEEFF"/>
          </w:tcPr>
          <w:p>
            <w:pPr>
              <w:jc w:val="right"/>
              <w:spacing w:after="0" w:line="155" w:lineRule="exact"/>
              <w:rPr>
                <w:rFonts w:ascii="Arial" w:cs="Arial" w:eastAsia="Arial" w:hAnsi="Arial"/>
                <w:sz w:val="16"/>
                <w:szCs w:val="16"/>
                <w:color w:val="0000EE"/>
                <w:w w:val="88"/>
              </w:rPr>
            </w:pPr>
            <w:hyperlink w:anchor="page24">
              <w:r>
                <w:rPr>
                  <w:rFonts w:ascii="Arial" w:cs="Arial" w:eastAsia="Arial" w:hAnsi="Arial"/>
                  <w:sz w:val="16"/>
                  <w:szCs w:val="16"/>
                  <w:color w:val="0000EE"/>
                  <w:w w:val="88"/>
                </w:rPr>
                <w:t>17 - 165</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420" w:type="dxa"/>
            <w:vAlign w:val="bottom"/>
            <w:gridSpan w:val="2"/>
          </w:tcPr>
          <w:p>
            <w:pPr>
              <w:spacing w:after="0"/>
              <w:rPr>
                <w:sz w:val="20"/>
                <w:szCs w:val="20"/>
                <w:color w:val="auto"/>
              </w:rPr>
            </w:pPr>
            <w:r>
              <w:rPr>
                <w:rFonts w:ascii="Arial" w:cs="Arial" w:eastAsia="Arial" w:hAnsi="Arial"/>
                <w:sz w:val="16"/>
                <w:szCs w:val="16"/>
                <w:color w:val="auto"/>
              </w:rPr>
              <w:t>US$</w:t>
            </w:r>
          </w:p>
        </w:tc>
        <w:tc>
          <w:tcPr>
            <w:tcW w:w="4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6040" w:type="dxa"/>
            <w:vAlign w:val="bottom"/>
            <w:gridSpan w:val="7"/>
          </w:tcPr>
          <w:p>
            <w:pPr>
              <w:ind w:left="60"/>
              <w:spacing w:after="0"/>
              <w:rPr>
                <w:sz w:val="20"/>
                <w:szCs w:val="20"/>
                <w:color w:val="auto"/>
              </w:rPr>
            </w:pPr>
            <w:r>
              <w:rPr>
                <w:rFonts w:ascii="Arial" w:cs="Arial" w:eastAsia="Arial" w:hAnsi="Arial"/>
                <w:sz w:val="16"/>
                <w:szCs w:val="16"/>
                <w:color w:val="auto"/>
              </w:rPr>
              <w:t>United States dollar</w:t>
            </w: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0" w:type="dxa"/>
            <w:vAlign w:val="bottom"/>
            <w:gridSpan w:val="2"/>
          </w:tcPr>
          <w:p>
            <w:pPr>
              <w:spacing w:after="0"/>
              <w:rPr>
                <w:sz w:val="20"/>
                <w:szCs w:val="20"/>
                <w:color w:val="auto"/>
              </w:rPr>
            </w:pPr>
            <w:r>
              <w:rPr>
                <w:rFonts w:ascii="Arial" w:cs="Arial" w:eastAsia="Arial" w:hAnsi="Arial"/>
                <w:sz w:val="16"/>
                <w:szCs w:val="16"/>
                <w:color w:val="auto"/>
              </w:rPr>
              <w:t>S/</w:t>
            </w:r>
          </w:p>
        </w:tc>
        <w:tc>
          <w:tcPr>
            <w:tcW w:w="4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6040" w:type="dxa"/>
            <w:vAlign w:val="bottom"/>
            <w:gridSpan w:val="7"/>
          </w:tcPr>
          <w:p>
            <w:pPr>
              <w:ind w:left="60"/>
              <w:spacing w:after="0"/>
              <w:rPr>
                <w:sz w:val="20"/>
                <w:szCs w:val="20"/>
                <w:color w:val="auto"/>
              </w:rPr>
            </w:pPr>
            <w:r>
              <w:rPr>
                <w:rFonts w:ascii="Arial" w:cs="Arial" w:eastAsia="Arial" w:hAnsi="Arial"/>
                <w:sz w:val="16"/>
                <w:szCs w:val="16"/>
                <w:color w:val="auto"/>
              </w:rPr>
              <w:t>Sol</w:t>
            </w: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0" w:right="219" w:bottom="1440" w:gutter="0" w:footer="0" w:header="0"/>
        </w:sectPr>
      </w:pPr>
    </w:p>
    <w:bookmarkStart w:id="5" w:name="page6"/>
    <w:bookmarkEnd w:id="5"/>
    <w:p>
      <w:pPr>
        <w:ind w:left="5"/>
        <w:spacing w:after="0"/>
        <w:rPr>
          <w:sz w:val="20"/>
          <w:szCs w:val="20"/>
          <w:color w:val="auto"/>
        </w:rPr>
      </w:pPr>
      <w:r>
        <w:rPr>
          <w:rFonts w:ascii="Arial" w:cs="Arial" w:eastAsia="Arial" w:hAnsi="Arial"/>
          <w:sz w:val="16"/>
          <w:szCs w:val="16"/>
          <w:color w:val="auto"/>
        </w:rPr>
        <w:t>(A free translation of the original in Spanish)</w:t>
      </w:r>
    </w:p>
    <w:p>
      <w:pPr>
        <w:spacing w:after="0" w:line="19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Independent auditor’s report</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The Shareholders</w:t>
      </w:r>
    </w:p>
    <w:p>
      <w:pPr>
        <w:spacing w:after="0" w:line="19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Credicorp Ltd.</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Opinion on the audit of the consolidated financial statements</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Our opinion</w:t>
      </w:r>
    </w:p>
    <w:p>
      <w:pPr>
        <w:spacing w:after="0" w:line="195"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 xml:space="preserve">In our opinion, the consolidated financial statements present fairly, in all material respects, the consolidated financial position of </w:t>
      </w:r>
      <w:r>
        <w:rPr>
          <w:rFonts w:ascii="Arial" w:cs="Arial" w:eastAsia="Arial" w:hAnsi="Arial"/>
          <w:sz w:val="16"/>
          <w:szCs w:val="16"/>
          <w:b w:val="1"/>
          <w:bCs w:val="1"/>
          <w:color w:val="auto"/>
        </w:rPr>
        <w:t>Credicorp Ltd. and its subsidiaries (the Group)</w:t>
      </w:r>
      <w:r>
        <w:rPr>
          <w:rFonts w:ascii="Arial" w:cs="Arial" w:eastAsia="Arial" w:hAnsi="Arial"/>
          <w:sz w:val="16"/>
          <w:szCs w:val="16"/>
          <w:color w:val="auto"/>
        </w:rPr>
        <w:t xml:space="preserve"> as at December 31, 2018, their consolidated financial performance and consolidated cash flows for the year then ended in accordance with the International Financial Reporting Standards (IFRS) issued by the International Accounting Standards Board (IASB).</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What we have audited</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Group’s consolidated financial statements comprise:</w:t>
      </w:r>
    </w:p>
    <w:p>
      <w:pPr>
        <w:spacing w:after="0" w:line="195" w:lineRule="exact"/>
        <w:rPr>
          <w:sz w:val="20"/>
          <w:szCs w:val="20"/>
          <w:color w:val="auto"/>
        </w:rPr>
      </w:pPr>
    </w:p>
    <w:p>
      <w:pPr>
        <w:ind w:left="265" w:hanging="265"/>
        <w:spacing w:after="0"/>
        <w:tabs>
          <w:tab w:leader="none" w:pos="26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financial position as at December 31, 2018;</w:t>
      </w:r>
    </w:p>
    <w:p>
      <w:pPr>
        <w:spacing w:after="0" w:line="16" w:lineRule="exact"/>
        <w:rPr>
          <w:rFonts w:ascii="Arial" w:cs="Arial" w:eastAsia="Arial" w:hAnsi="Arial"/>
          <w:sz w:val="16"/>
          <w:szCs w:val="16"/>
          <w:color w:val="auto"/>
        </w:rPr>
      </w:pPr>
    </w:p>
    <w:p>
      <w:pPr>
        <w:ind w:left="265" w:hanging="265"/>
        <w:spacing w:after="0"/>
        <w:tabs>
          <w:tab w:leader="none" w:pos="26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income for the year then ended;</w:t>
      </w:r>
    </w:p>
    <w:p>
      <w:pPr>
        <w:spacing w:after="0" w:line="5" w:lineRule="exact"/>
        <w:rPr>
          <w:rFonts w:ascii="Arial" w:cs="Arial" w:eastAsia="Arial" w:hAnsi="Arial"/>
          <w:sz w:val="16"/>
          <w:szCs w:val="16"/>
          <w:color w:val="auto"/>
        </w:rPr>
      </w:pPr>
    </w:p>
    <w:p>
      <w:pPr>
        <w:ind w:left="265" w:hanging="265"/>
        <w:spacing w:after="0"/>
        <w:tabs>
          <w:tab w:leader="none" w:pos="26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comprehensive income for the year then ended;</w:t>
      </w:r>
    </w:p>
    <w:p>
      <w:pPr>
        <w:spacing w:after="0" w:line="5" w:lineRule="exact"/>
        <w:rPr>
          <w:rFonts w:ascii="Arial" w:cs="Arial" w:eastAsia="Arial" w:hAnsi="Arial"/>
          <w:sz w:val="16"/>
          <w:szCs w:val="16"/>
          <w:color w:val="auto"/>
        </w:rPr>
      </w:pPr>
    </w:p>
    <w:p>
      <w:pPr>
        <w:ind w:left="265" w:hanging="265"/>
        <w:spacing w:after="0"/>
        <w:tabs>
          <w:tab w:leader="none" w:pos="26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changes in equity for the year then ended;</w:t>
      </w:r>
    </w:p>
    <w:p>
      <w:pPr>
        <w:spacing w:after="0" w:line="5" w:lineRule="exact"/>
        <w:rPr>
          <w:rFonts w:ascii="Arial" w:cs="Arial" w:eastAsia="Arial" w:hAnsi="Arial"/>
          <w:sz w:val="16"/>
          <w:szCs w:val="16"/>
          <w:color w:val="auto"/>
        </w:rPr>
      </w:pPr>
    </w:p>
    <w:p>
      <w:pPr>
        <w:ind w:left="265" w:hanging="265"/>
        <w:spacing w:after="0"/>
        <w:tabs>
          <w:tab w:leader="none" w:pos="26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cash flows for the year then ended; and</w:t>
      </w:r>
    </w:p>
    <w:p>
      <w:pPr>
        <w:spacing w:after="0" w:line="5" w:lineRule="exact"/>
        <w:rPr>
          <w:rFonts w:ascii="Arial" w:cs="Arial" w:eastAsia="Arial" w:hAnsi="Arial"/>
          <w:sz w:val="16"/>
          <w:szCs w:val="16"/>
          <w:color w:val="auto"/>
        </w:rPr>
      </w:pPr>
    </w:p>
    <w:p>
      <w:pPr>
        <w:ind w:left="265" w:hanging="265"/>
        <w:spacing w:after="0"/>
        <w:tabs>
          <w:tab w:leader="none" w:pos="26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Notes to the consolidated financial statements, which include a summary of the significant accounting policies.</w:t>
      </w:r>
    </w:p>
    <w:p>
      <w:pPr>
        <w:spacing w:after="0" w:line="18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Basis for opinion</w:t>
      </w:r>
    </w:p>
    <w:p>
      <w:pPr>
        <w:spacing w:after="0" w:line="199" w:lineRule="exact"/>
        <w:rPr>
          <w:sz w:val="20"/>
          <w:szCs w:val="20"/>
          <w:color w:val="auto"/>
        </w:rPr>
      </w:pPr>
    </w:p>
    <w:p>
      <w:pPr>
        <w:ind w:left="5" w:right="760"/>
        <w:spacing w:after="0" w:line="269" w:lineRule="auto"/>
        <w:rPr>
          <w:sz w:val="20"/>
          <w:szCs w:val="20"/>
          <w:color w:val="auto"/>
        </w:rPr>
      </w:pPr>
      <w:r>
        <w:rPr>
          <w:rFonts w:ascii="Arial" w:cs="Arial" w:eastAsia="Arial" w:hAnsi="Arial"/>
          <w:sz w:val="16"/>
          <w:szCs w:val="16"/>
          <w:color w:val="auto"/>
        </w:rPr>
        <w:t>We conducted our audit in accordance with International Standards on Auditing (ISAs). Our responsibilities under those standards are further described in the Auditor's responsibilities for the audit of the consolidated financial statements section of our report.</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believe that the audit evidence we have obtained is sufficient and appropriate to provide a basis for our opinion.</w:t>
      </w:r>
    </w:p>
    <w:p>
      <w:pPr>
        <w:spacing w:after="0" w:line="19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Independence</w:t>
      </w:r>
    </w:p>
    <w:p>
      <w:pPr>
        <w:spacing w:after="0" w:line="199" w:lineRule="exact"/>
        <w:rPr>
          <w:sz w:val="20"/>
          <w:szCs w:val="20"/>
          <w:color w:val="auto"/>
        </w:rPr>
      </w:pPr>
    </w:p>
    <w:p>
      <w:pPr>
        <w:ind w:left="5"/>
        <w:spacing w:after="0" w:line="277" w:lineRule="auto"/>
        <w:rPr>
          <w:sz w:val="20"/>
          <w:szCs w:val="20"/>
          <w:color w:val="auto"/>
        </w:rPr>
      </w:pPr>
      <w:r>
        <w:rPr>
          <w:rFonts w:ascii="Arial" w:cs="Arial" w:eastAsia="Arial" w:hAnsi="Arial"/>
          <w:sz w:val="15"/>
          <w:szCs w:val="15"/>
          <w:color w:val="auto"/>
        </w:rPr>
        <w:t>We are independent of the Group in accordance with the International Ethics Standards Board for Accountants’ Code of Ethics for Professional Accountants (IESBA Code of Ethics) and the ethical requirements of the Code of Professional Ethics issued by the Board of Deans of the Institutes of Peruvian Certified Public Accountants, which are relevant for our audit of the consolidated financial statements. We have fulfilled our other ethical responsibilities in accordance with the IESBA Code of Ethics and the ethical requirements of the Code of Professional Ethics issued by the Board of Deans of the Institutes of Peruvian Certified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360680</wp:posOffset>
            </wp:positionV>
            <wp:extent cx="72631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345"/>
          </w:cols>
          <w:pgMar w:left="235" w:top="814"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Our audit approach</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7" w:lineRule="exact"/>
        <w:rPr>
          <w:sz w:val="20"/>
          <w:szCs w:val="20"/>
          <w:color w:val="auto"/>
        </w:rPr>
      </w:pPr>
    </w:p>
    <w:p>
      <w:pPr>
        <w:ind w:left="3440"/>
        <w:spacing w:after="0" w:line="312" w:lineRule="auto"/>
        <w:rPr>
          <w:sz w:val="20"/>
          <w:szCs w:val="20"/>
          <w:color w:val="auto"/>
        </w:rPr>
      </w:pPr>
      <w:r>
        <w:rPr>
          <w:rFonts w:ascii="Arial" w:cs="Arial" w:eastAsia="Arial" w:hAnsi="Arial"/>
          <w:sz w:val="14"/>
          <w:szCs w:val="14"/>
          <w:color w:val="auto"/>
        </w:rPr>
        <w:t>An audit is designed to obtain reasonable assurance about whether the consolidated financial statements are free from material misstatement. Errors may arise due to error or fraud. These are considered material if, individually or in total, they could reasonably influence the economic decisions that users make based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263130" cy="1761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130" cy="1761490"/>
                    </a:xfrm>
                    <a:prstGeom prst="rect">
                      <a:avLst/>
                    </a:prstGeom>
                    <a:noFill/>
                  </pic:spPr>
                </pic:pic>
              </a:graphicData>
            </a:graphic>
          </wp:anchor>
        </w:drawing>
      </w:r>
    </w:p>
    <w:p>
      <w:pPr>
        <w:spacing w:after="0" w:line="123" w:lineRule="exact"/>
        <w:rPr>
          <w:sz w:val="20"/>
          <w:szCs w:val="20"/>
          <w:color w:val="auto"/>
        </w:rPr>
      </w:pPr>
    </w:p>
    <w:p>
      <w:pPr>
        <w:ind w:left="3440"/>
        <w:spacing w:after="0" w:line="302" w:lineRule="auto"/>
        <w:rPr>
          <w:sz w:val="20"/>
          <w:szCs w:val="20"/>
          <w:color w:val="auto"/>
        </w:rPr>
      </w:pPr>
      <w:r>
        <w:rPr>
          <w:rFonts w:ascii="Arial" w:cs="Arial" w:eastAsia="Arial" w:hAnsi="Arial"/>
          <w:sz w:val="14"/>
          <w:szCs w:val="14"/>
          <w:color w:val="auto"/>
        </w:rPr>
        <w:t>The scope of our audit and the nature, timing and extent of our procedures was determined by our risk assessment that the consolidated financial statements may contain material errors, whether due to fraud or error. We carried out our audit procedures based on the legal entities considered financially significant in the context of the Group, with a combination of full scope audits and audits of specific accounts to achieve the desired level of evidence at a consolidated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-513715</wp:posOffset>
            </wp:positionV>
            <wp:extent cx="50806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0635" cy="7620"/>
                    </a:xfrm>
                    <a:prstGeom prst="rect">
                      <a:avLst/>
                    </a:prstGeom>
                    <a:noFill/>
                  </pic:spPr>
                </pic:pic>
              </a:graphicData>
            </a:graphic>
          </wp:anchor>
        </w:drawing>
      </w:r>
    </w:p>
    <w:p>
      <w:pPr>
        <w:spacing w:after="0" w:line="130" w:lineRule="exact"/>
        <w:rPr>
          <w:sz w:val="20"/>
          <w:szCs w:val="20"/>
          <w:color w:val="auto"/>
        </w:rPr>
      </w:pPr>
    </w:p>
    <w:p>
      <w:pPr>
        <w:ind w:left="3440" w:right="540"/>
        <w:spacing w:after="0" w:line="269" w:lineRule="auto"/>
        <w:rPr>
          <w:sz w:val="20"/>
          <w:szCs w:val="20"/>
          <w:color w:val="auto"/>
        </w:rPr>
      </w:pPr>
      <w:r>
        <w:rPr>
          <w:rFonts w:ascii="Arial" w:cs="Arial" w:eastAsia="Arial" w:hAnsi="Arial"/>
          <w:sz w:val="16"/>
          <w:szCs w:val="16"/>
          <w:i w:val="1"/>
          <w:iCs w:val="1"/>
          <w:color w:val="auto"/>
        </w:rPr>
        <w:t xml:space="preserve">Key Audit Matters (KAM) </w:t>
      </w:r>
      <w:r>
        <w:rPr>
          <w:rFonts w:ascii="Arial" w:cs="Arial" w:eastAsia="Arial" w:hAnsi="Arial"/>
          <w:sz w:val="16"/>
          <w:szCs w:val="16"/>
          <w:color w:val="auto"/>
        </w:rPr>
        <w:t>are those which, in our professional judgment, were of most significance in our audit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of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-260985</wp:posOffset>
            </wp:positionV>
            <wp:extent cx="50806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0635" cy="7620"/>
                    </a:xfrm>
                    <a:prstGeom prst="rect">
                      <a:avLst/>
                    </a:prstGeom>
                    <a:noFill/>
                  </pic:spPr>
                </pic:pic>
              </a:graphicData>
            </a:graphic>
          </wp:anchor>
        </w:drawing>
      </w:r>
    </w:p>
    <w:p>
      <w:pPr>
        <w:spacing w:after="0" w:line="137" w:lineRule="exact"/>
        <w:rPr>
          <w:sz w:val="20"/>
          <w:szCs w:val="20"/>
          <w:color w:val="auto"/>
        </w:rPr>
      </w:pPr>
    </w:p>
    <w:p>
      <w:pPr>
        <w:ind w:left="3660" w:hanging="228"/>
        <w:spacing w:after="0"/>
        <w:tabs>
          <w:tab w:leader="none" w:pos="3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Information technology environment;</w:t>
      </w:r>
    </w:p>
    <w:p>
      <w:pPr>
        <w:spacing w:after="0" w:line="16" w:lineRule="exact"/>
        <w:rPr>
          <w:rFonts w:ascii="Arial" w:cs="Arial" w:eastAsia="Arial" w:hAnsi="Arial"/>
          <w:sz w:val="16"/>
          <w:szCs w:val="16"/>
          <w:color w:val="auto"/>
        </w:rPr>
      </w:pPr>
    </w:p>
    <w:p>
      <w:pPr>
        <w:ind w:left="3660" w:hanging="228"/>
        <w:spacing w:after="0"/>
        <w:tabs>
          <w:tab w:leader="none" w:pos="3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IFRS 9 Financial instruments; and</w:t>
      </w:r>
    </w:p>
    <w:p>
      <w:pPr>
        <w:spacing w:after="0" w:line="5" w:lineRule="exact"/>
        <w:rPr>
          <w:rFonts w:ascii="Arial" w:cs="Arial" w:eastAsia="Arial" w:hAnsi="Arial"/>
          <w:sz w:val="16"/>
          <w:szCs w:val="16"/>
          <w:color w:val="auto"/>
        </w:rPr>
      </w:pPr>
    </w:p>
    <w:p>
      <w:pPr>
        <w:ind w:left="3660" w:hanging="228"/>
        <w:spacing w:after="0"/>
        <w:tabs>
          <w:tab w:leader="none" w:pos="3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Valuation of the mathematical life insurance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2631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378" w:lineRule="exact"/>
        <w:rPr>
          <w:sz w:val="20"/>
          <w:szCs w:val="20"/>
          <w:color w:val="auto"/>
        </w:rPr>
      </w:pPr>
    </w:p>
    <w:p>
      <w:pPr>
        <w:jc w:val="both"/>
        <w:ind w:right="220"/>
        <w:spacing w:after="0" w:line="254" w:lineRule="auto"/>
        <w:rPr>
          <w:sz w:val="20"/>
          <w:szCs w:val="20"/>
          <w:color w:val="auto"/>
        </w:rPr>
      </w:pPr>
      <w:r>
        <w:rPr>
          <w:rFonts w:ascii="Arial" w:cs="Arial" w:eastAsia="Arial" w:hAnsi="Arial"/>
          <w:sz w:val="16"/>
          <w:szCs w:val="16"/>
          <w:color w:val="auto"/>
        </w:rPr>
        <w:t>As part of the design of our audit, we determined materiality and assessed the risks of material misstatement in the consolidated financial statements. In particular, we considered the cases where management has made subjective judgments; for example, in respect of significant accounting estimates that involve making assumptions and considering future events that are inherently uncertain. We also addressed the risk of management override of internal controls, including, among other matters, consideration of whether there was evidence of bias that represented a risk of material misstatement due to fraud.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we designed the scope of our audit of the Group</w:t>
      </w:r>
    </w:p>
    <w:p>
      <w:pPr>
        <w:spacing w:after="0" w:line="195"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We have designed the scope of our audit in order to be able to carry out sufficient work to permit us to issue an opinion regarding the consolidated financial statements as a whole, taking into account the structure of the Group, the accounting processes and controls and the economic sector in which the Group operates.</w:t>
      </w:r>
    </w:p>
    <w:p>
      <w:pPr>
        <w:spacing w:after="0" w:line="133"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Our audit for the year ended December 31, 2018, except for the implementation and application of IFRS 9 – Financial instruments, does not represent significant changes in relation to the prior year audit, thus, in establishing the general approach of the Group, we determined the type of work that required to be done on the components, based mainly on individual legal entities. In that sense, we consider Banco de Crédito del Perú S.A. and Mibanco, Banco de la Microempresa S.A., as significant components based on their individual contributions to profit before tax, and Pacífico Compañía de Seguros y Reaseguros S.A. due to the significant risk related to the valuation of the mathematical life insurance reserves. Additionally, we have considered the individual work carried out in each subsidiary, for the purpose of the issue of the statutory audit opinion for each entity.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2631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7" w:name="page8"/>
    <w:bookmarkEnd w:id="7"/>
    <w:p>
      <w:pPr>
        <w:ind w:right="140"/>
        <w:spacing w:after="0" w:line="252" w:lineRule="auto"/>
        <w:rPr>
          <w:sz w:val="20"/>
          <w:szCs w:val="20"/>
          <w:color w:val="auto"/>
        </w:rPr>
      </w:pPr>
      <w:r>
        <w:rPr>
          <w:rFonts w:ascii="Arial" w:cs="Arial" w:eastAsia="Arial" w:hAnsi="Arial"/>
          <w:sz w:val="16"/>
          <w:szCs w:val="16"/>
          <w:color w:val="auto"/>
        </w:rPr>
        <w:t>The audit of the subsidiaries includes work performed in other countries within the region, such as Panama, Chile, Colombia and Bolivia. For said components, we determined the level of audit work that would need to be performed in auditing those entities in order to conclude as to whether sufficient and appropriate audit evidence had been obtained as a basis for our opinion on the consolidated financial statements as a whole. This includes regular communications with the other PwC firms during the entire year, the issue of instructions, visits to the auditors of components by the key members of the engagement team and a review of the results of their audit procedures including the nature, timing and extent of the work that affect the audit opinion of the Group.</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Audit Matters (KAM)</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Key audit matters are those matters that, in our professional judgment, were of most significance in our audit of the consolidated financial statements of the current period. The scope of our audit and the key audit matters have not changed significantly in relation to the prior year with the exception of a new matter arising related to the implementation of IFRS 9 – Financial instruments. The audit matters were addressed in the context of our audit of the consolidated financial statements as a whole, and in forming our opinion thereon, and we do not express a separate opinion on these matters.</w:t>
      </w:r>
    </w:p>
    <w:p>
      <w:pPr>
        <w:sectPr>
          <w:pgSz w:w="11900" w:h="16838" w:orient="portrait"/>
          <w:cols w:equalWidth="0" w:num="1">
            <w:col w:w="11440"/>
          </w:cols>
          <w:pgMar w:left="240" w:top="814" w:right="21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Audit Matters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5604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0445" cy="76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technology environment</w:t>
      </w:r>
    </w:p>
    <w:p>
      <w:pPr>
        <w:spacing w:after="0" w:line="199"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Credicorp Ltd. and subsidiaries are highly dependent on their technology structure, both for the processing of their transactions, as well as for the reasonable preparation and presentation of their consolidated financial statements, which leads us to consider the information technology environment as an important area of focus in our audit.</w:t>
      </w:r>
    </w:p>
    <w:p>
      <w:pPr>
        <w:spacing w:after="0" w:line="138"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Technology is critical for the evolution of the Group’s core businesses and significant investments have been made in systems and the IT environment, including cybersecurity.</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The Group has technological infrastructure for its business activities, as well as ongoing plans for the improvement and maintenance of the access management and change in the pertinent systems and applications, the development of new programs, automated controls and automated components in the relevant business processes. The controls to authorize, control, restrict and cancel accesses to the technology environment and program changes are fundamental for mitigating the potential risk of fraud or error based on the misuse or improper change in the systems of the Group, thus ensuring the integrity of the financial information and accounting records.</w:t>
      </w:r>
    </w:p>
    <w:p>
      <w:pPr>
        <w:spacing w:after="0" w:line="14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Group has an information technology structure, which comprises more than one technology environment with different processes and segregated controls; furthermore, it is currently implementing a digital transformation process, a situation that leads to an increase in the risks associated with information security and cybersecurity, which may eventually affect the operational continuity of the Group companies and/or their reputation.</w:t>
      </w:r>
    </w:p>
    <w:p>
      <w:pPr>
        <w:spacing w:after="0" w:line="173"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The lack of a suitable general technology control environment and its dependent controls could trigger incorrect processing of critical information used for the preparation of the consolidated financial statements.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35528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282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With the participation of specialists in systems audit, we evaluated and tested the design and operational effectiveness of the general controls of information technology. Although the purpose of our audit is not to give an opinion on the effectiveness of the Information Technology (IT) controls, we reviewed the Group’s framework of governance of IT and the controls on the management of access to programs and data, the development of and changes in programs, the IT operations and we evaluated the mechanisms implemented by the Group in response to possible cybersecurity events and the segregation of functions, including compensating controls, when necessary.</w:t>
      </w:r>
    </w:p>
    <w:p>
      <w:pPr>
        <w:spacing w:after="0" w:line="14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IT environment and the controls established by management, combined with the testing of controls, including compensating controls, which we have applied, provide us with a reasonable basis for placing reliance on the integrity and reliability of the information generated for the preparation of the Group’s consolidated financial statements. Furthermore, we have validated the existence of mechanisms for the mitigation of technology risks and cyber-attack as well as preventive measures to ensure the continuous operation of its security and access controls, personnel awareness-running campaigns in matters of security, identity and access management, among others, which contribute to the mitigation of cybersecurity risks.</w:t>
      </w:r>
    </w:p>
    <w:p>
      <w:pPr>
        <w:spacing w:after="0" w:line="2093" w:lineRule="exact"/>
        <w:rPr>
          <w:sz w:val="20"/>
          <w:szCs w:val="20"/>
          <w:color w:val="auto"/>
        </w:rPr>
      </w:pPr>
    </w:p>
    <w:p>
      <w:pPr>
        <w:sectPr>
          <w:pgSz w:w="11900" w:h="16838" w:orient="portrait"/>
          <w:cols w:equalWidth="0" w:num="2">
            <w:col w:w="5560" w:space="280"/>
            <w:col w:w="5600"/>
          </w:cols>
          <w:pgMar w:left="240" w:top="814" w:right="219" w:bottom="1440" w:gutter="0" w:footer="0" w:header="0"/>
          <w:type w:val="continuous"/>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2631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type w:val="continuous"/>
        </w:sectPr>
      </w:pPr>
    </w:p>
    <w:bookmarkStart w:id="8" w:name="page9"/>
    <w:bookmarkEnd w:id="8"/>
    <w:p>
      <w:pPr>
        <w:spacing w:after="0"/>
        <w:tabs>
          <w:tab w:leader="none" w:pos="5820" w:val="left"/>
        </w:tabs>
        <w:rPr>
          <w:sz w:val="20"/>
          <w:szCs w:val="20"/>
          <w:color w:val="auto"/>
        </w:rPr>
      </w:pPr>
      <w:r>
        <w:rPr>
          <w:rFonts w:ascii="Arial" w:cs="Arial" w:eastAsia="Arial" w:hAnsi="Arial"/>
          <w:sz w:val="16"/>
          <w:szCs w:val="16"/>
          <w:b w:val="1"/>
          <w:bCs w:val="1"/>
          <w:i w:val="1"/>
          <w:iCs w:val="1"/>
          <w:color w:val="auto"/>
        </w:rPr>
        <w:t>Key Audit Matter (KAM)</w:t>
      </w:r>
      <w:r>
        <w:rPr>
          <w:sz w:val="20"/>
          <w:szCs w:val="20"/>
          <w:color w:val="auto"/>
        </w:rPr>
        <w:tab/>
      </w:r>
      <w:r>
        <w:rPr>
          <w:rFonts w:ascii="Arial" w:cs="Arial" w:eastAsia="Arial" w:hAnsi="Arial"/>
          <w:sz w:val="12"/>
          <w:szCs w:val="12"/>
          <w:b w:val="1"/>
          <w:bCs w:val="1"/>
          <w:i w:val="1"/>
          <w:i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2631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NIIF 9 – Financial instruments (Notes 3 a (i); 3 f; 3 i; 3y; 6, 7; 12 (b); 32 and 33.1 to the consolidated financial statements</w:t>
      </w:r>
    </w:p>
    <w:p>
      <w:pPr>
        <w:sectPr>
          <w:pgSz w:w="11900" w:h="16838" w:orient="portrait"/>
          <w:cols w:equalWidth="0" w:num="1">
            <w:col w:w="11400"/>
          </w:cols>
          <w:pgMar w:left="240" w:top="814" w:right="259" w:bottom="1440" w:gutter="0" w:footer="0" w:header="0"/>
        </w:sectPr>
      </w:pP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2018 IFRS 9 became effective replacing IAS 39 - ‘Financial instruments”; major changes were introduced to the classification and measurement of financial instruments, impairment and hedge accounting.</w:t>
      </w:r>
    </w:p>
    <w:p>
      <w:pPr>
        <w:spacing w:after="0" w:line="165"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Major changes in implementing this standard are: (i) introducing a new model of determining impairment based on the credit expected losses, which results in earlier recognition of losses; (ii) new financial instrument classification and measurement criteria based on an entity’s business model to manage financial assets as well as the characteristics of the respective contractual cash flows.</w:t>
      </w:r>
    </w:p>
    <w:p>
      <w:pPr>
        <w:spacing w:after="0" w:line="157"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Provisions for the expected credit losses are measured at each reporting date using a three-stage model of expected credit losses based on the deterioration of the credit quality of the instrument from inception.</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Measurement of the expected credit loss is based on the probability of default (PD), the loss-given default (LGD), and the exposure at default (EAD), discounted at the reporting date and considering the expected macroeconomic effects. For the determination of the allowance</w:t>
      </w:r>
    </w:p>
    <w:p>
      <w:pPr>
        <w:ind w:right="60"/>
        <w:spacing w:after="0" w:line="249" w:lineRule="auto"/>
        <w:rPr>
          <w:sz w:val="20"/>
          <w:szCs w:val="20"/>
          <w:color w:val="auto"/>
        </w:rPr>
      </w:pPr>
      <w:r>
        <w:rPr>
          <w:rFonts w:ascii="Arial" w:cs="Arial" w:eastAsia="Arial" w:hAnsi="Arial"/>
          <w:sz w:val="16"/>
          <w:szCs w:val="16"/>
          <w:color w:val="auto"/>
        </w:rPr>
        <w:t>for loan losses, management has developed specific methodologies including a number of assumptions and judgments, among which are, the financial situation of the counterparty, the expected future cash flows, the estimated recoverable values of guarantees and adverse effects due to changes in the political and economic environments.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firstLine="8"/>
        <w:spacing w:after="0" w:line="277" w:lineRule="auto"/>
        <w:rPr>
          <w:sz w:val="20"/>
          <w:szCs w:val="20"/>
          <w:color w:val="auto"/>
        </w:rPr>
      </w:pPr>
      <w:r>
        <w:rPr>
          <w:rFonts w:ascii="Arial" w:cs="Arial" w:eastAsia="Arial" w:hAnsi="Arial"/>
          <w:sz w:val="15"/>
          <w:szCs w:val="15"/>
          <w:color w:val="auto"/>
        </w:rPr>
        <w:t>We obtained an understanding of the process implemented by the Group in its analysis, implementation of the qualitative and quantitative disclosures required under IFRS 9; relying on the assistance of our specialists, we also performed audit procedures related to compliance with the requirements of such a standard.</w:t>
      </w:r>
    </w:p>
    <w:p>
      <w:pPr>
        <w:spacing w:after="0" w:line="152" w:lineRule="exact"/>
        <w:rPr>
          <w:sz w:val="20"/>
          <w:szCs w:val="20"/>
          <w:color w:val="auto"/>
        </w:rPr>
      </w:pPr>
    </w:p>
    <w:p>
      <w:pPr>
        <w:ind w:left="20" w:right="20"/>
        <w:spacing w:after="0" w:line="289" w:lineRule="auto"/>
        <w:rPr>
          <w:sz w:val="20"/>
          <w:szCs w:val="20"/>
          <w:color w:val="auto"/>
        </w:rPr>
      </w:pPr>
      <w:r>
        <w:rPr>
          <w:rFonts w:ascii="Arial" w:cs="Arial" w:eastAsia="Arial" w:hAnsi="Arial"/>
          <w:sz w:val="14"/>
          <w:szCs w:val="14"/>
          <w:color w:val="auto"/>
        </w:rPr>
        <w:t>Our work on the evaluation of the allowance for loan losses has focused on the evaluation and testing of the design and operational effectiveness of the controls over the data inputs, assumptions and calculation of the allowance for loan losses. These controls included, among others: i) the integrity of the data base and the auxiliary systems; ii) models and assumptions adopted by management to determine the value of the portfolio of recoverable loans; iii) the follow up and valuation of the guarantees; iv) the validation and approval of the model and the results of provisions calculation by management; and v) the preparation and disclosure in the Notes to the consolidated financial statements. Additionally, we tested information technology controls over the data extraction and calculation of the allowance.</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focused our audit on the following aspects, among others:</w:t>
      </w:r>
    </w:p>
    <w:p>
      <w:pPr>
        <w:spacing w:after="0" w:line="195" w:lineRule="exact"/>
        <w:rPr>
          <w:sz w:val="20"/>
          <w:szCs w:val="20"/>
          <w:color w:val="auto"/>
        </w:rPr>
      </w:pPr>
    </w:p>
    <w:p>
      <w:pPr>
        <w:ind w:left="580" w:hanging="284"/>
        <w:spacing w:after="0" w:line="269" w:lineRule="auto"/>
        <w:tabs>
          <w:tab w:leader="none" w:pos="53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Review of the accounting policies and methodological framework implemented by the Group for adequacy with IFRS9</w:t>
      </w:r>
    </w:p>
    <w:p>
      <w:pPr>
        <w:spacing w:after="0" w:line="753" w:lineRule="exact"/>
        <w:rPr>
          <w:sz w:val="20"/>
          <w:szCs w:val="20"/>
          <w:color w:val="auto"/>
        </w:rPr>
      </w:pPr>
    </w:p>
    <w:p>
      <w:pPr>
        <w:sectPr>
          <w:pgSz w:w="11900" w:h="16838" w:orient="portrait"/>
          <w:cols w:equalWidth="0" w:num="2">
            <w:col w:w="5560" w:space="280"/>
            <w:col w:w="5560"/>
          </w:cols>
          <w:pgMar w:left="240" w:top="814" w:right="259" w:bottom="1440" w:gutter="0" w:footer="0" w:header="0"/>
          <w:type w:val="continuous"/>
        </w:sectPr>
      </w:pP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2631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00"/>
          </w:cols>
          <w:pgMar w:left="240" w:top="814" w:right="2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Key Audit Matter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04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0445" cy="7620"/>
                    </a:xfrm>
                    <a:prstGeom prst="rect">
                      <a:avLst/>
                    </a:prstGeom>
                    <a:noFill/>
                  </pic:spPr>
                </pic:pic>
              </a:graphicData>
            </a:graphic>
          </wp:anchor>
        </w:drawing>
      </w:r>
    </w:p>
    <w:p>
      <w:pPr>
        <w:spacing w:after="0" w:line="19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expected credit loss model reflects the present value of all events of decline in the value resulting from events of default (i) during the first twelve months or (ii) during the expected life of the financial instrument based on its credit quality deterioration. The expected credit loss considers multiple scenarios based on reasonable and supportable forecasts.</w:t>
      </w:r>
    </w:p>
    <w:p>
      <w:pPr>
        <w:spacing w:after="0" w:line="17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use of different techniques and assumptions of the model could result in significantly different provisions. Furthermore, credit risk management is complex and depends on the database being reliable and complete.</w:t>
      </w:r>
    </w:p>
    <w:p>
      <w:pPr>
        <w:spacing w:after="0" w:line="165"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The classification and measurement of financial instruments is now made based on how the financial assets are managed to generate cash flows and does not depend on management’s intention with regard to an individual instrument.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a result, this was an area of focus in our audit.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35528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2825" cy="7620"/>
                    </a:xfrm>
                    <a:prstGeom prst="rect">
                      <a:avLst/>
                    </a:prstGeom>
                    <a:noFill/>
                  </pic:spPr>
                </pic:pic>
              </a:graphicData>
            </a:graphic>
          </wp:anchor>
        </w:drawing>
      </w:r>
    </w:p>
    <w:p>
      <w:pPr>
        <w:spacing w:after="0" w:line="199" w:lineRule="exact"/>
        <w:rPr>
          <w:sz w:val="20"/>
          <w:szCs w:val="20"/>
          <w:color w:val="auto"/>
        </w:rPr>
      </w:pPr>
    </w:p>
    <w:p>
      <w:pPr>
        <w:ind w:left="580" w:right="80" w:hanging="284"/>
        <w:spacing w:after="0" w:line="291" w:lineRule="auto"/>
        <w:tabs>
          <w:tab w:leader="none" w:pos="532" w:val="left"/>
        </w:tabs>
        <w:numPr>
          <w:ilvl w:val="0"/>
          <w:numId w:val="4"/>
        </w:numPr>
        <w:rPr>
          <w:rFonts w:ascii="Arial" w:cs="Arial" w:eastAsia="Arial" w:hAnsi="Arial"/>
          <w:sz w:val="14"/>
          <w:szCs w:val="14"/>
          <w:color w:val="auto"/>
        </w:rPr>
      </w:pPr>
      <w:r>
        <w:rPr>
          <w:rFonts w:ascii="Arial" w:cs="Arial" w:eastAsia="Arial" w:hAnsi="Arial"/>
          <w:sz w:val="14"/>
          <w:szCs w:val="14"/>
          <w:color w:val="auto"/>
        </w:rPr>
        <w:t>Evaluation of the reasonableness of the models and principal assumptions used for the calculation of impairment based on the expected credit losses;</w:t>
      </w:r>
    </w:p>
    <w:p>
      <w:pPr>
        <w:ind w:left="580" w:right="180" w:hanging="284"/>
        <w:spacing w:after="0" w:line="247" w:lineRule="auto"/>
        <w:tabs>
          <w:tab w:leader="none" w:pos="532" w:val="left"/>
        </w:tabs>
        <w:numPr>
          <w:ilvl w:val="0"/>
          <w:numId w:val="4"/>
        </w:numPr>
        <w:rPr>
          <w:rFonts w:ascii="Arial" w:cs="Arial" w:eastAsia="Arial" w:hAnsi="Arial"/>
          <w:sz w:val="16"/>
          <w:szCs w:val="16"/>
          <w:color w:val="auto"/>
        </w:rPr>
      </w:pPr>
      <w:r>
        <w:rPr>
          <w:rFonts w:ascii="Arial" w:cs="Arial" w:eastAsia="Arial" w:hAnsi="Arial"/>
          <w:sz w:val="16"/>
          <w:szCs w:val="16"/>
          <w:color w:val="auto"/>
        </w:rPr>
        <w:t>Evaluation of whether the data used to estimate the provision is complete and accurate; and</w:t>
      </w:r>
    </w:p>
    <w:p>
      <w:pPr>
        <w:ind w:left="580" w:right="160" w:hanging="284"/>
        <w:spacing w:after="0" w:line="254" w:lineRule="auto"/>
        <w:tabs>
          <w:tab w:leader="none" w:pos="53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Review and independent re-performance of the calculation based on a sample of allowance for credit losses at December 31, 2018.</w:t>
      </w:r>
    </w:p>
    <w:p>
      <w:pPr>
        <w:spacing w:after="0" w:line="168" w:lineRule="exact"/>
        <w:rPr>
          <w:sz w:val="20"/>
          <w:szCs w:val="20"/>
          <w:color w:val="auto"/>
        </w:rPr>
      </w:pPr>
    </w:p>
    <w:p>
      <w:pPr>
        <w:ind w:left="20" w:right="120"/>
        <w:spacing w:after="0" w:line="269" w:lineRule="auto"/>
        <w:rPr>
          <w:sz w:val="20"/>
          <w:szCs w:val="20"/>
          <w:color w:val="auto"/>
        </w:rPr>
      </w:pPr>
      <w:r>
        <w:rPr>
          <w:rFonts w:ascii="Arial" w:cs="Arial" w:eastAsia="Arial" w:hAnsi="Arial"/>
          <w:sz w:val="16"/>
          <w:szCs w:val="16"/>
          <w:color w:val="auto"/>
        </w:rPr>
        <w:t>In respect of the classification and measurement of the financial instruments, our audit was focused on, among others, the following:</w:t>
      </w:r>
    </w:p>
    <w:p>
      <w:pPr>
        <w:spacing w:after="0" w:line="157" w:lineRule="exact"/>
        <w:rPr>
          <w:sz w:val="20"/>
          <w:szCs w:val="20"/>
          <w:color w:val="auto"/>
        </w:rPr>
      </w:pPr>
    </w:p>
    <w:p>
      <w:pPr>
        <w:ind w:left="580" w:hanging="284"/>
        <w:spacing w:after="0" w:line="254" w:lineRule="auto"/>
        <w:tabs>
          <w:tab w:leader="none" w:pos="53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 of the accounting policies and methodological framework developed by the Group to adequacy with IFRS 9;</w:t>
      </w:r>
    </w:p>
    <w:p>
      <w:pPr>
        <w:ind w:left="520" w:hanging="224"/>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Assessment and testing the design and effective operation of controls;</w:t>
      </w:r>
    </w:p>
    <w:p>
      <w:pPr>
        <w:spacing w:after="0" w:line="5" w:lineRule="exact"/>
        <w:rPr>
          <w:rFonts w:ascii="Arial" w:cs="Arial" w:eastAsia="Arial" w:hAnsi="Arial"/>
          <w:sz w:val="16"/>
          <w:szCs w:val="16"/>
          <w:color w:val="auto"/>
        </w:rPr>
      </w:pPr>
    </w:p>
    <w:p>
      <w:pPr>
        <w:ind w:left="540" w:hanging="244"/>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Obtaining an understanding and testing the business model validation process;</w:t>
      </w:r>
    </w:p>
    <w:p>
      <w:pPr>
        <w:spacing w:after="0" w:line="28" w:lineRule="exact"/>
        <w:rPr>
          <w:rFonts w:ascii="Arial" w:cs="Arial" w:eastAsia="Arial" w:hAnsi="Arial"/>
          <w:sz w:val="14"/>
          <w:szCs w:val="14"/>
          <w:color w:val="auto"/>
        </w:rPr>
      </w:pPr>
    </w:p>
    <w:p>
      <w:pPr>
        <w:ind w:left="580" w:right="80" w:hanging="284"/>
        <w:spacing w:after="0" w:line="268" w:lineRule="auto"/>
        <w:tabs>
          <w:tab w:leader="none" w:pos="532" w:val="left"/>
        </w:tabs>
        <w:numPr>
          <w:ilvl w:val="0"/>
          <w:numId w:val="5"/>
        </w:numPr>
        <w:rPr>
          <w:rFonts w:ascii="Arial" w:cs="Arial" w:eastAsia="Arial" w:hAnsi="Arial"/>
          <w:sz w:val="15"/>
          <w:szCs w:val="15"/>
          <w:color w:val="auto"/>
        </w:rPr>
      </w:pPr>
      <w:r>
        <w:rPr>
          <w:rFonts w:ascii="Arial" w:cs="Arial" w:eastAsia="Arial" w:hAnsi="Arial"/>
          <w:sz w:val="15"/>
          <w:szCs w:val="15"/>
          <w:color w:val="auto"/>
        </w:rPr>
        <w:t>Obtaining and proving from a sample of operations, their adequate classification, recording and valuation based on the business models that are consistent with the collect contractual cash flows models (amortized cost) and the collect contractual cash flows models and selling financial assets (fair value through comprehensive income) based solely on payments of principal and interest (criterion of SPPI test);</w:t>
      </w:r>
    </w:p>
    <w:p>
      <w:pPr>
        <w:spacing w:after="0" w:line="161" w:lineRule="exact"/>
        <w:rPr>
          <w:sz w:val="20"/>
          <w:szCs w:val="20"/>
          <w:color w:val="auto"/>
        </w:rPr>
      </w:pPr>
    </w:p>
    <w:p>
      <w:pPr>
        <w:ind w:left="20" w:right="60"/>
        <w:spacing w:after="0" w:line="271" w:lineRule="auto"/>
        <w:rPr>
          <w:sz w:val="20"/>
          <w:szCs w:val="20"/>
          <w:color w:val="auto"/>
        </w:rPr>
      </w:pPr>
      <w:r>
        <w:rPr>
          <w:rFonts w:ascii="Arial" w:cs="Arial" w:eastAsia="Arial" w:hAnsi="Arial"/>
          <w:sz w:val="15"/>
          <w:szCs w:val="15"/>
          <w:color w:val="auto"/>
        </w:rPr>
        <w:t>We consider that the criteria and assumptions adopted by management in implementing IFRS 9 for determining the allowance for loan losses, as well as the criteria and assumptions used in the classification and measurement of the financial instruments are reasonable and consistent with the disclosures included in the consolidated financial statements. This criteria and assumptions were considered in the relevant context of the consolidated financial statements.</w:t>
      </w:r>
    </w:p>
    <w:p>
      <w:pPr>
        <w:spacing w:after="0" w:line="200" w:lineRule="exact"/>
        <w:rPr>
          <w:sz w:val="20"/>
          <w:szCs w:val="20"/>
          <w:color w:val="auto"/>
        </w:rPr>
      </w:pPr>
    </w:p>
    <w:p>
      <w:pPr>
        <w:sectPr>
          <w:pgSz w:w="11900" w:h="16838" w:orient="portrait"/>
          <w:cols w:equalWidth="0" w:num="2">
            <w:col w:w="5580" w:space="260"/>
            <w:col w:w="5600"/>
          </w:cols>
          <w:pgMar w:left="240" w:top="814" w:right="21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2631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type w:val="continuous"/>
        </w:sectPr>
      </w:pPr>
    </w:p>
    <w:bookmarkStart w:id="10" w:name="page11"/>
    <w:bookmarkEnd w:id="10"/>
    <w:p>
      <w:pPr>
        <w:spacing w:after="0"/>
        <w:tabs>
          <w:tab w:leader="none" w:pos="5820" w:val="left"/>
        </w:tabs>
        <w:rPr>
          <w:sz w:val="20"/>
          <w:szCs w:val="20"/>
          <w:color w:val="auto"/>
        </w:rPr>
      </w:pPr>
      <w:r>
        <w:rPr>
          <w:rFonts w:ascii="Arial" w:cs="Arial" w:eastAsia="Arial" w:hAnsi="Arial"/>
          <w:sz w:val="16"/>
          <w:szCs w:val="16"/>
          <w:b w:val="1"/>
          <w:bCs w:val="1"/>
          <w:i w:val="1"/>
          <w:iCs w:val="1"/>
          <w:color w:val="auto"/>
        </w:rPr>
        <w:t>Key Audit Matter (KAM)</w:t>
      </w:r>
      <w:r>
        <w:rPr>
          <w:sz w:val="20"/>
          <w:szCs w:val="20"/>
          <w:color w:val="auto"/>
        </w:rPr>
        <w:tab/>
      </w:r>
      <w:r>
        <w:rPr>
          <w:rFonts w:ascii="Arial" w:cs="Arial" w:eastAsia="Arial" w:hAnsi="Arial"/>
          <w:sz w:val="12"/>
          <w:szCs w:val="12"/>
          <w:b w:val="1"/>
          <w:bCs w:val="1"/>
          <w:i w:val="1"/>
          <w:i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2631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the mathematical life insurance reserves</w:t>
      </w:r>
    </w:p>
    <w:p>
      <w:pPr>
        <w:sectPr>
          <w:pgSz w:w="11900" w:h="16838" w:orient="portrait"/>
          <w:cols w:equalWidth="0" w:num="1">
            <w:col w:w="11400"/>
          </w:cols>
          <w:pgMar w:left="240" w:top="814" w:right="259" w:bottom="1440" w:gutter="0" w:footer="0" w:header="0"/>
        </w:sectPr>
      </w:pPr>
    </w:p>
    <w:p>
      <w:pPr>
        <w:spacing w:after="0" w:line="19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amount recognized as mathematical reserves for life insurances reserves is S/4,073 million at December 31, 2018. See Notes 3 (e) and 15(a) to the consolidated financial statements.</w:t>
      </w:r>
    </w:p>
    <w:p>
      <w:pPr>
        <w:spacing w:after="0" w:line="165"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valuation of the Group’s insurance contracts depends on some key subjective assumptions regarding future events. The valuation of the liabilities generated by insurance contracts is made based on the actuarial assumptions and data used in the calculation.</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Some of the key actuarial economic assumptions used in the valuation of the insurance contracts are critical and include, among others, the discount rate, the life expectancy of the population and the future expenses to be incurred to maintain the existing policies.</w:t>
      </w:r>
    </w:p>
    <w:p>
      <w:pPr>
        <w:spacing w:after="0" w:line="131"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Minor changes in each of these key assumptions could result in significant impacts in the valuation of the obligations for those insurance contracts and in the respective impacts reflected in the consolidated statement of income.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Considering the above, this accounting estimate was an important matter in our audit.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60" w:right="80"/>
        <w:spacing w:after="0" w:line="297" w:lineRule="auto"/>
        <w:rPr>
          <w:sz w:val="20"/>
          <w:szCs w:val="20"/>
          <w:color w:val="auto"/>
        </w:rPr>
      </w:pPr>
      <w:r>
        <w:rPr>
          <w:rFonts w:ascii="Arial" w:cs="Arial" w:eastAsia="Arial" w:hAnsi="Arial"/>
          <w:sz w:val="14"/>
          <w:szCs w:val="14"/>
          <w:color w:val="auto"/>
        </w:rPr>
        <w:t>We obtained an understanding and applied tests to the key controls in the processes of mathematical reserves and the related processes, to analyze the actuarial and economic assumptions, as well as the data used in the calculations. We identified that the key controls related to the determination of the assumptions and the methodology of the calculation, were designed, implemented and operate effectively.</w:t>
      </w:r>
    </w:p>
    <w:p>
      <w:pPr>
        <w:spacing w:after="0" w:line="142" w:lineRule="exact"/>
        <w:rPr>
          <w:sz w:val="20"/>
          <w:szCs w:val="20"/>
          <w:color w:val="auto"/>
        </w:rPr>
      </w:pPr>
    </w:p>
    <w:p>
      <w:pPr>
        <w:ind w:left="260" w:right="100"/>
        <w:spacing w:after="0" w:line="254" w:lineRule="auto"/>
        <w:rPr>
          <w:sz w:val="20"/>
          <w:szCs w:val="20"/>
          <w:color w:val="auto"/>
        </w:rPr>
      </w:pPr>
      <w:r>
        <w:rPr>
          <w:rFonts w:ascii="Arial" w:cs="Arial" w:eastAsia="Arial" w:hAnsi="Arial"/>
          <w:sz w:val="16"/>
          <w:szCs w:val="16"/>
          <w:color w:val="auto"/>
        </w:rPr>
        <w:t>We held meetings with financial, treasury and actuarial management in order to obtain an understanding of the judgments and criteria used to determine the key actuarial economic assumptions used in the calculation of the mathematical life insurance reserves.</w:t>
      </w:r>
    </w:p>
    <w:p>
      <w:pPr>
        <w:spacing w:after="0" w:line="169" w:lineRule="exact"/>
        <w:rPr>
          <w:sz w:val="20"/>
          <w:szCs w:val="20"/>
          <w:color w:val="auto"/>
        </w:rPr>
      </w:pPr>
    </w:p>
    <w:p>
      <w:pPr>
        <w:ind w:left="260"/>
        <w:spacing w:after="0" w:line="251" w:lineRule="auto"/>
        <w:rPr>
          <w:sz w:val="20"/>
          <w:szCs w:val="20"/>
          <w:color w:val="auto"/>
        </w:rPr>
      </w:pPr>
      <w:r>
        <w:rPr>
          <w:rFonts w:ascii="Arial" w:cs="Arial" w:eastAsia="Arial" w:hAnsi="Arial"/>
          <w:sz w:val="16"/>
          <w:szCs w:val="16"/>
          <w:color w:val="auto"/>
        </w:rPr>
        <w:t>We have reviewed the adequacy of the actuarial and economic assumptions as a whole. With the participation of actuarial specialists, we evaluated the reasonableness and consistency of the actuarial assumptions in an independent manner and we consider that they are reasonable, including the questioning of management with regard to the main criteria and judgments applied. Our evaluation included reference to independent comparative data.</w:t>
      </w:r>
    </w:p>
    <w:p>
      <w:pPr>
        <w:spacing w:after="0" w:line="173" w:lineRule="exact"/>
        <w:rPr>
          <w:sz w:val="20"/>
          <w:szCs w:val="20"/>
          <w:color w:val="auto"/>
        </w:rPr>
      </w:pPr>
    </w:p>
    <w:p>
      <w:pPr>
        <w:ind w:left="260" w:right="60"/>
        <w:spacing w:after="0" w:line="277" w:lineRule="auto"/>
        <w:rPr>
          <w:sz w:val="20"/>
          <w:szCs w:val="20"/>
          <w:color w:val="auto"/>
        </w:rPr>
      </w:pPr>
      <w:r>
        <w:rPr>
          <w:rFonts w:ascii="Arial" w:cs="Arial" w:eastAsia="Arial" w:hAnsi="Arial"/>
          <w:sz w:val="15"/>
          <w:szCs w:val="15"/>
          <w:color w:val="auto"/>
        </w:rPr>
        <w:t>Based on the results of our audit work, we consider that the assumptions applied and criteria used to determine the estimates used by the Group’s management, in relation to the amounts recognized as mathematical life insurance reserves, are reasonable in the context of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11430</wp:posOffset>
            </wp:positionV>
            <wp:extent cx="72631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2">
            <w:col w:w="5540" w:space="40"/>
            <w:col w:w="5820"/>
          </w:cols>
          <w:pgMar w:left="240" w:top="814" w:right="259" w:bottom="1440" w:gutter="0" w:footer="0" w:header="0"/>
          <w:type w:val="continuous"/>
        </w:sectPr>
      </w:pPr>
    </w:p>
    <w:bookmarkStart w:id="11" w:name="page12"/>
    <w:bookmarkEnd w:id="11"/>
    <w:p>
      <w:pPr>
        <w:ind w:lef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525780</wp:posOffset>
            </wp:positionV>
            <wp:extent cx="72631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7620"/>
                    </a:xfrm>
                    <a:prstGeom prst="rect">
                      <a:avLst/>
                    </a:prstGeom>
                    <a:noFill/>
                  </pic:spPr>
                </pic:pic>
              </a:graphicData>
            </a:graphic>
          </wp:anchor>
        </w:drawing>
        <w:t>Responsibilities of management and those charged with Corporate Governance for the consolidated financial statements</w:t>
      </w:r>
    </w:p>
    <w:p>
      <w:pPr>
        <w:spacing w:after="0" w:line="199" w:lineRule="exact"/>
        <w:rPr>
          <w:sz w:val="20"/>
          <w:szCs w:val="20"/>
          <w:color w:val="auto"/>
        </w:rPr>
      </w:pPr>
    </w:p>
    <w:p>
      <w:pPr>
        <w:ind w:left="5" w:right="320"/>
        <w:spacing w:after="0" w:line="258"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the International Financial Reporting Standards (IFRS) issued by the International Accounting Standards Board (IASB), and for such internal control as management determines is necessary to enable the preparation of consolidated financial statements that are free from material misstatement, whether due to fraud or error.</w:t>
      </w:r>
    </w:p>
    <w:p>
      <w:pPr>
        <w:spacing w:after="0" w:line="165" w:lineRule="exact"/>
        <w:rPr>
          <w:sz w:val="20"/>
          <w:szCs w:val="20"/>
          <w:color w:val="auto"/>
        </w:rPr>
      </w:pPr>
    </w:p>
    <w:p>
      <w:pPr>
        <w:ind w:left="5" w:right="40"/>
        <w:spacing w:after="0" w:line="258" w:lineRule="auto"/>
        <w:rPr>
          <w:sz w:val="20"/>
          <w:szCs w:val="20"/>
          <w:color w:val="auto"/>
        </w:rPr>
      </w:pPr>
      <w:r>
        <w:rPr>
          <w:rFonts w:ascii="Arial" w:cs="Arial" w:eastAsia="Arial" w:hAnsi="Arial"/>
          <w:sz w:val="16"/>
          <w:szCs w:val="16"/>
          <w:color w:val="auto"/>
        </w:rPr>
        <w:t>In preparing the consolidated financial statements, management is responsible for assessing the Group’s ability to continue as a going concern, disclosing, as applicable, the matters related to the going concern and using the going concern basis of accounting, unless management either intends to liquidate the Group or cease operations, or has no realistic alternative but to do so.</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6"/>
          <w:szCs w:val="16"/>
          <w:color w:val="auto"/>
        </w:rPr>
        <w:t>Those charged with the Corporate Governance of Credicorp Ltd. and its subsidiaries are responsible for overseeing the Group’s financial reporting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631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Auditor’s responsibilities for the audit of the consolidated financial statements</w:t>
      </w:r>
    </w:p>
    <w:p>
      <w:pPr>
        <w:spacing w:after="0" w:line="199" w:lineRule="exact"/>
        <w:rPr>
          <w:sz w:val="20"/>
          <w:szCs w:val="20"/>
          <w:color w:val="auto"/>
        </w:rPr>
      </w:pPr>
    </w:p>
    <w:p>
      <w:pPr>
        <w:ind w:left="5" w:right="40"/>
        <w:spacing w:after="0" w:line="277" w:lineRule="auto"/>
        <w:rPr>
          <w:sz w:val="20"/>
          <w:szCs w:val="20"/>
          <w:color w:val="auto"/>
        </w:rPr>
      </w:pPr>
      <w:r>
        <w:rPr>
          <w:rFonts w:ascii="Arial" w:cs="Arial" w:eastAsia="Arial" w:hAnsi="Arial"/>
          <w:sz w:val="15"/>
          <w:szCs w:val="15"/>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ISAs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6"/>
          <w:szCs w:val="16"/>
          <w:color w:val="auto"/>
        </w:rPr>
        <w:t>As part of an audit in accordance with ISAs, we exercise professional judgment and maintain professional scepticism throughout the audit. We also:</w:t>
      </w:r>
    </w:p>
    <w:p>
      <w:pPr>
        <w:spacing w:after="0" w:line="195" w:lineRule="exact"/>
        <w:rPr>
          <w:sz w:val="20"/>
          <w:szCs w:val="20"/>
          <w:color w:val="auto"/>
        </w:rPr>
      </w:pPr>
    </w:p>
    <w:p>
      <w:pPr>
        <w:ind w:left="265" w:right="260" w:hanging="265"/>
        <w:spacing w:after="0" w:line="254"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Identified and assessed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93" w:lineRule="exact"/>
        <w:rPr>
          <w:rFonts w:ascii="Arial" w:cs="Arial" w:eastAsia="Arial" w:hAnsi="Arial"/>
          <w:sz w:val="16"/>
          <w:szCs w:val="16"/>
          <w:color w:val="auto"/>
        </w:rPr>
      </w:pPr>
    </w:p>
    <w:p>
      <w:pPr>
        <w:ind w:left="265" w:right="440" w:hanging="265"/>
        <w:spacing w:after="0" w:line="269"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Obtained an understanding of internal control relevant to the audit in order to design audit procedures that are appropriate in the circumstances, but not for the purpose of expressing an opinion on the effectiveness of the Credicorp Ltd. and its subsidiaries’ internal control.</w:t>
      </w:r>
    </w:p>
    <w:p>
      <w:pPr>
        <w:spacing w:after="0" w:line="180" w:lineRule="exact"/>
        <w:rPr>
          <w:rFonts w:ascii="Arial" w:cs="Arial" w:eastAsia="Arial" w:hAnsi="Arial"/>
          <w:sz w:val="16"/>
          <w:szCs w:val="16"/>
          <w:color w:val="auto"/>
        </w:rPr>
      </w:pPr>
    </w:p>
    <w:p>
      <w:pPr>
        <w:ind w:left="265" w:hanging="265"/>
        <w:spacing w:after="0"/>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Evaluated the appropriateness of accounting policies used and the reasonableness of accounting estimates and related disclosures made by management.</w:t>
      </w:r>
    </w:p>
    <w:p>
      <w:pPr>
        <w:spacing w:after="0" w:line="219" w:lineRule="exact"/>
        <w:rPr>
          <w:rFonts w:ascii="Arial" w:cs="Arial" w:eastAsia="Arial" w:hAnsi="Arial"/>
          <w:sz w:val="16"/>
          <w:szCs w:val="16"/>
          <w:color w:val="auto"/>
        </w:rPr>
      </w:pPr>
    </w:p>
    <w:p>
      <w:pPr>
        <w:ind w:left="265" w:hanging="265"/>
        <w:spacing w:after="0" w:line="286" w:lineRule="auto"/>
        <w:tabs>
          <w:tab w:leader="none" w:pos="265"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Concluded on the appropriateness of management’s use of the going concern basis of accounting and, based on the audit evidence obtained, nothing has come to our attention regarding the existence of material uncertainty related to events or conditions that may cast significant doubt on the ability of Credicorp Ltd. and its subsidiaries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Credicorp Ltd. and its subsidiaries to cease to continue as a going concern.</w:t>
      </w:r>
    </w:p>
    <w:p>
      <w:pPr>
        <w:ind w:left="265" w:right="160"/>
        <w:spacing w:after="0" w:line="254" w:lineRule="auto"/>
        <w:rPr>
          <w:rFonts w:ascii="Arial" w:cs="Arial" w:eastAsia="Arial" w:hAnsi="Arial"/>
          <w:sz w:val="14"/>
          <w:szCs w:val="14"/>
          <w:color w:val="auto"/>
        </w:rPr>
      </w:pPr>
      <w:r>
        <w:rPr>
          <w:rFonts w:ascii="Arial" w:cs="Arial" w:eastAsia="Arial" w:hAnsi="Arial"/>
          <w:sz w:val="16"/>
          <w:szCs w:val="16"/>
          <w:color w:val="auto"/>
        </w:rPr>
        <w:t>Evaluated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358" w:lineRule="exact"/>
        <w:rPr>
          <w:rFonts w:ascii="Arial" w:cs="Arial" w:eastAsia="Arial" w:hAnsi="Arial"/>
          <w:sz w:val="14"/>
          <w:szCs w:val="14"/>
          <w:color w:val="auto"/>
        </w:rPr>
      </w:pPr>
    </w:p>
    <w:p>
      <w:pPr>
        <w:ind w:left="5685" w:hanging="92"/>
        <w:spacing w:after="0"/>
        <w:tabs>
          <w:tab w:leader="none" w:pos="5685" w:val="left"/>
        </w:tabs>
        <w:numPr>
          <w:ilvl w:val="1"/>
          <w:numId w:val="6"/>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05"/>
          </w:cols>
          <w:pgMar w:left="235" w:top="834" w:right="259" w:bottom="1440" w:gutter="0" w:footer="0" w:header="0"/>
        </w:sectPr>
      </w:pPr>
    </w:p>
    <w:bookmarkStart w:id="12" w:name="page13"/>
    <w:bookmarkEnd w:id="12"/>
    <w:p>
      <w:pPr>
        <w:ind w:left="285" w:right="100" w:hanging="285"/>
        <w:spacing w:after="0" w:line="342" w:lineRule="auto"/>
        <w:tabs>
          <w:tab w:leader="none" w:pos="285" w:val="left"/>
        </w:tabs>
        <w:numPr>
          <w:ilvl w:val="0"/>
          <w:numId w:val="7"/>
        </w:numPr>
        <w:rPr>
          <w:rFonts w:ascii="Arial" w:cs="Arial" w:eastAsia="Arial" w:hAnsi="Arial"/>
          <w:sz w:val="14"/>
          <w:szCs w:val="14"/>
          <w:color w:val="auto"/>
        </w:rPr>
      </w:pPr>
      <w:r>
        <w:rPr>
          <w:rFonts w:ascii="Arial" w:cs="Arial" w:eastAsia="Arial" w:hAnsi="Arial"/>
          <w:sz w:val="14"/>
          <w:szCs w:val="14"/>
          <w:color w:val="auto"/>
        </w:rPr>
        <w:t>Obtained sufficient appropriate audit evidence regarding the financial information of the entities or business activities within the Group to express an opinion on the consolidated financial statements. We are responsible for the direction, supervision and performance of the Group audit. We remain solely responsible for our audit opinion.</w:t>
      </w:r>
    </w:p>
    <w:p>
      <w:pPr>
        <w:spacing w:after="0" w:line="110" w:lineRule="exact"/>
        <w:rPr>
          <w:sz w:val="20"/>
          <w:szCs w:val="20"/>
          <w:color w:val="auto"/>
        </w:rPr>
      </w:pPr>
    </w:p>
    <w:p>
      <w:pPr>
        <w:ind w:left="5" w:right="420"/>
        <w:spacing w:after="0" w:line="269" w:lineRule="auto"/>
        <w:rPr>
          <w:sz w:val="20"/>
          <w:szCs w:val="20"/>
          <w:color w:val="auto"/>
        </w:rPr>
      </w:pPr>
      <w:r>
        <w:rPr>
          <w:rFonts w:ascii="Arial" w:cs="Arial" w:eastAsia="Arial" w:hAnsi="Arial"/>
          <w:sz w:val="16"/>
          <w:szCs w:val="16"/>
          <w:color w:val="auto"/>
        </w:rPr>
        <w:t>We communicated with those charged with Corporate Governance regarding, among other matters, the planned scope and timing of the audit and significant audit findings, including any significant deficiencies in internal control that we identified during our audit.</w:t>
      </w:r>
    </w:p>
    <w:p>
      <w:pPr>
        <w:spacing w:after="0" w:line="157" w:lineRule="exact"/>
        <w:rPr>
          <w:sz w:val="20"/>
          <w:szCs w:val="20"/>
          <w:color w:val="auto"/>
        </w:rPr>
      </w:pPr>
    </w:p>
    <w:p>
      <w:pPr>
        <w:ind w:left="5" w:right="20"/>
        <w:spacing w:after="0" w:line="342" w:lineRule="auto"/>
        <w:rPr>
          <w:sz w:val="20"/>
          <w:szCs w:val="20"/>
          <w:color w:val="auto"/>
        </w:rPr>
      </w:pPr>
      <w:r>
        <w:rPr>
          <w:rFonts w:ascii="Arial" w:cs="Arial" w:eastAsia="Arial" w:hAnsi="Arial"/>
          <w:sz w:val="14"/>
          <w:szCs w:val="14"/>
          <w:color w:val="auto"/>
        </w:rPr>
        <w:t>We also provided those charged with Corporate Governance with a statement that we have complied with relevant ethical requirements regarding independence, and we have communicated to them all relationships and other matters that may reasonably be thought to bear on our independence, and where applicable, including the respective safeguards.</w:t>
      </w:r>
    </w:p>
    <w:p>
      <w:pPr>
        <w:spacing w:after="0" w:line="110" w:lineRule="exact"/>
        <w:rPr>
          <w:sz w:val="20"/>
          <w:szCs w:val="20"/>
          <w:color w:val="auto"/>
        </w:rPr>
      </w:pPr>
    </w:p>
    <w:p>
      <w:pPr>
        <w:ind w:left="5"/>
        <w:spacing w:after="0" w:line="277" w:lineRule="auto"/>
        <w:rPr>
          <w:sz w:val="20"/>
          <w:szCs w:val="20"/>
          <w:color w:val="auto"/>
        </w:rPr>
      </w:pPr>
      <w:r>
        <w:rPr>
          <w:rFonts w:ascii="Arial" w:cs="Arial" w:eastAsia="Arial" w:hAnsi="Arial"/>
          <w:sz w:val="15"/>
          <w:szCs w:val="15"/>
          <w:color w:val="auto"/>
        </w:rPr>
        <w:t>From the matters communicated with those charged with Corporate Governance, we determined those matters that were of most significance in the audit of the consolidated financial statements of the current period and are therefore the key audit matters. We have described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31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345" w:lineRule="exact"/>
        <w:rPr>
          <w:sz w:val="20"/>
          <w:szCs w:val="20"/>
          <w:color w:val="auto"/>
        </w:rPr>
      </w:pPr>
    </w:p>
    <w:p>
      <w:pPr>
        <w:ind w:left="5"/>
        <w:spacing w:after="0"/>
        <w:rPr>
          <w:sz w:val="20"/>
          <w:szCs w:val="20"/>
          <w:color w:val="auto"/>
        </w:rPr>
      </w:pPr>
      <w:r>
        <w:rPr>
          <w:rFonts w:ascii="Arial" w:cs="Arial" w:eastAsia="Arial" w:hAnsi="Arial"/>
          <w:sz w:val="16"/>
          <w:szCs w:val="16"/>
          <w:color w:val="auto"/>
        </w:rPr>
        <w:t>Lima, February 27, 2019</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color w:val="auto"/>
        </w:rPr>
        <w:t>Countersigned by</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color w:val="auto"/>
        </w:rPr>
        <w:t>————————————————-(partner)</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color w:val="auto"/>
        </w:rPr>
        <w:t>/S/Fernando Gaveglio</w:t>
      </w:r>
    </w:p>
    <w:p>
      <w:pPr>
        <w:spacing w:after="0" w:line="6" w:lineRule="exact"/>
        <w:rPr>
          <w:sz w:val="20"/>
          <w:szCs w:val="20"/>
          <w:color w:val="auto"/>
        </w:rPr>
      </w:pPr>
    </w:p>
    <w:p>
      <w:pPr>
        <w:ind w:left="5"/>
        <w:spacing w:after="0"/>
        <w:rPr>
          <w:sz w:val="20"/>
          <w:szCs w:val="20"/>
          <w:color w:val="auto"/>
        </w:rPr>
      </w:pPr>
      <w:r>
        <w:rPr>
          <w:rFonts w:ascii="Arial" w:cs="Arial" w:eastAsia="Arial" w:hAnsi="Arial"/>
          <w:sz w:val="16"/>
          <w:szCs w:val="16"/>
          <w:color w:val="auto"/>
        </w:rPr>
        <w:t>Peruvian Certified Public Accountant</w:t>
      </w:r>
    </w:p>
    <w:p>
      <w:pPr>
        <w:spacing w:after="0" w:line="6" w:lineRule="exact"/>
        <w:rPr>
          <w:sz w:val="20"/>
          <w:szCs w:val="20"/>
          <w:color w:val="auto"/>
        </w:rPr>
      </w:pPr>
    </w:p>
    <w:p>
      <w:pPr>
        <w:ind w:left="5"/>
        <w:spacing w:after="0"/>
        <w:rPr>
          <w:sz w:val="20"/>
          <w:szCs w:val="20"/>
          <w:color w:val="auto"/>
        </w:rPr>
      </w:pPr>
      <w:r>
        <w:rPr>
          <w:rFonts w:ascii="Arial" w:cs="Arial" w:eastAsia="Arial" w:hAnsi="Arial"/>
          <w:sz w:val="16"/>
          <w:szCs w:val="16"/>
          <w:color w:val="auto"/>
        </w:rPr>
        <w:t>Registration No.01-019847</w:t>
      </w:r>
    </w:p>
    <w:p>
      <w:pPr>
        <w:spacing w:after="0" w:line="374" w:lineRule="exact"/>
        <w:rPr>
          <w:sz w:val="20"/>
          <w:szCs w:val="20"/>
          <w:color w:val="auto"/>
        </w:rPr>
      </w:pPr>
    </w:p>
    <w:p>
      <w:pPr>
        <w:jc w:val="center"/>
        <w:ind w:right="-184"/>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2631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265"/>
          </w:cols>
          <w:pgMar w:left="235" w:top="814" w:right="399" w:bottom="1440" w:gutter="0" w:footer="0" w:header="0"/>
        </w:sectPr>
      </w:pPr>
    </w:p>
    <w:bookmarkStart w:id="13" w:name="page14"/>
    <w:bookmarkEnd w:id="13"/>
    <w:p>
      <w:pPr>
        <w:spacing w:after="0" w:line="6"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622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6220" w:type="dxa"/>
            <w:vAlign w:val="bottom"/>
            <w:gridSpan w:val="2"/>
          </w:tcPr>
          <w:p>
            <w:pPr>
              <w:spacing w:after="0"/>
              <w:rPr>
                <w:sz w:val="20"/>
                <w:szCs w:val="20"/>
                <w:color w:val="auto"/>
              </w:rPr>
            </w:pPr>
            <w:r>
              <w:rPr>
                <w:rFonts w:ascii="Arial" w:cs="Arial" w:eastAsia="Arial" w:hAnsi="Arial"/>
                <w:sz w:val="16"/>
                <w:szCs w:val="16"/>
                <w:color w:val="auto"/>
              </w:rPr>
              <w:t>CONSOLIDATED STATEMENT OF FINANCIAL POSITION</w:t>
            </w: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220" w:type="dxa"/>
            <w:vAlign w:val="bottom"/>
            <w:gridSpan w:val="2"/>
          </w:tcPr>
          <w:p>
            <w:pPr>
              <w:spacing w:after="0"/>
              <w:rPr>
                <w:sz w:val="20"/>
                <w:szCs w:val="20"/>
                <w:color w:val="auto"/>
              </w:rPr>
            </w:pPr>
            <w:r>
              <w:rPr>
                <w:rFonts w:ascii="Arial" w:cs="Arial" w:eastAsia="Arial" w:hAnsi="Arial"/>
                <w:sz w:val="16"/>
                <w:szCs w:val="16"/>
                <w:color w:val="auto"/>
              </w:rPr>
              <w:t>AT DECEMBER 31, 2018 AND 2017</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380" w:type="dxa"/>
            <w:vAlign w:val="bottom"/>
          </w:tcPr>
          <w:p>
            <w:pPr>
              <w:jc w:val="center"/>
              <w:ind w:left="1141"/>
              <w:spacing w:after="0"/>
              <w:rPr>
                <w:sz w:val="20"/>
                <w:szCs w:val="20"/>
                <w:color w:val="auto"/>
              </w:rPr>
            </w:pPr>
            <w:r>
              <w:rPr>
                <w:rFonts w:ascii="Arial" w:cs="Arial" w:eastAsia="Arial" w:hAnsi="Arial"/>
                <w:sz w:val="16"/>
                <w:szCs w:val="16"/>
                <w:b w:val="1"/>
                <w:bCs w:val="1"/>
                <w:color w:val="auto"/>
                <w:w w:val="89"/>
              </w:rPr>
              <w:t>Note</w:t>
            </w:r>
          </w:p>
        </w:tc>
        <w:tc>
          <w:tcPr>
            <w:tcW w:w="12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2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w:t>
            </w:r>
          </w:p>
        </w:tc>
        <w:tc>
          <w:tcPr>
            <w:tcW w:w="2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and due from banks:</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89"/>
              </w:rPr>
              <w:t>4</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Non-interest-bearing</w:t>
            </w:r>
          </w:p>
        </w:tc>
        <w:tc>
          <w:tcPr>
            <w:tcW w:w="238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7,435,807</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6,019,776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w:t>
            </w:r>
          </w:p>
        </w:tc>
        <w:tc>
          <w:tcPr>
            <w:tcW w:w="2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14,732,709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17,202,211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22,168,516</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23,221,987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collateral, reverse repurchase agreements and securities borrowing</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84"/>
              </w:rPr>
              <w:t>5(a)</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4,082,942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7,480,420</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2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At fair value through profit or loss</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4"/>
              </w:rPr>
              <w:t>6(a)</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3,512,445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4,024,737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At fair value through other comprehensive income</w:t>
            </w:r>
          </w:p>
        </w:tc>
        <w:tc>
          <w:tcPr>
            <w:tcW w:w="2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23,056,954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At fair value through other comprehensive income pledged as collateral</w:t>
            </w:r>
          </w:p>
        </w:tc>
        <w:tc>
          <w:tcPr>
            <w:tcW w:w="23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2,138,881</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CCEEFF"/>
            </w:tcBorders>
            <w:shd w:val="clear" w:color="auto" w:fill="CCEEFF"/>
          </w:tcPr>
          <w:p>
            <w:pPr>
              <w:jc w:val="center"/>
              <w:ind w:left="1141"/>
              <w:spacing w:after="0" w:line="181" w:lineRule="exact"/>
              <w:rPr>
                <w:sz w:val="20"/>
                <w:szCs w:val="20"/>
                <w:color w:val="auto"/>
              </w:rPr>
            </w:pPr>
            <w:r>
              <w:rPr>
                <w:rFonts w:ascii="Arial" w:cs="Arial" w:eastAsia="Arial" w:hAnsi="Arial"/>
                <w:sz w:val="16"/>
                <w:szCs w:val="16"/>
                <w:color w:val="auto"/>
                <w:w w:val="98"/>
              </w:rPr>
              <w:t>6(b)</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25,195,835</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Available-for-sale</w:t>
            </w:r>
          </w:p>
        </w:tc>
        <w:tc>
          <w:tcPr>
            <w:tcW w:w="238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21,732,107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pledged as collateral</w:t>
            </w:r>
          </w:p>
        </w:tc>
        <w:tc>
          <w:tcPr>
            <w:tcW w:w="2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2,691,784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380" w:type="dxa"/>
            <w:vAlign w:val="bottom"/>
          </w:tcPr>
          <w:p>
            <w:pPr>
              <w:jc w:val="center"/>
              <w:ind w:left="1141"/>
              <w:spacing w:after="0" w:line="181" w:lineRule="exact"/>
              <w:rPr>
                <w:sz w:val="20"/>
                <w:szCs w:val="20"/>
                <w:color w:val="auto"/>
              </w:rPr>
            </w:pPr>
            <w:r>
              <w:rPr>
                <w:rFonts w:ascii="Arial" w:cs="Arial" w:eastAsia="Arial" w:hAnsi="Arial"/>
                <w:sz w:val="16"/>
                <w:szCs w:val="16"/>
                <w:color w:val="auto"/>
                <w:w w:val="86"/>
              </w:rPr>
              <w:t>6(c)</w:t>
            </w:r>
          </w:p>
        </w:tc>
        <w:tc>
          <w:tcPr>
            <w:tcW w:w="12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24,423,891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Amortized cost</w:t>
            </w:r>
          </w:p>
        </w:tc>
        <w:tc>
          <w:tcPr>
            <w:tcW w:w="2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1,292,203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Amortized cost pledged as collateral</w:t>
            </w:r>
          </w:p>
        </w:tc>
        <w:tc>
          <w:tcPr>
            <w:tcW w:w="23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2,862,635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CCEEFF"/>
            </w:tcBorders>
            <w:shd w:val="clear" w:color="auto" w:fill="CCEEFF"/>
          </w:tcPr>
          <w:p>
            <w:pPr>
              <w:jc w:val="center"/>
              <w:ind w:left="1141"/>
              <w:spacing w:after="0" w:line="181" w:lineRule="exact"/>
              <w:rPr>
                <w:sz w:val="20"/>
                <w:szCs w:val="20"/>
                <w:color w:val="auto"/>
              </w:rPr>
            </w:pPr>
            <w:r>
              <w:rPr>
                <w:rFonts w:ascii="Arial" w:cs="Arial" w:eastAsia="Arial" w:hAnsi="Arial"/>
                <w:sz w:val="16"/>
                <w:szCs w:val="16"/>
                <w:color w:val="auto"/>
                <w:w w:val="98"/>
              </w:rPr>
              <w:t>6(d)</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4,154,838</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Held-to-maturity</w:t>
            </w:r>
          </w:p>
        </w:tc>
        <w:tc>
          <w:tcPr>
            <w:tcW w:w="238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1,826,394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Held-to-maturity pledged as collateral</w:t>
            </w:r>
          </w:p>
        </w:tc>
        <w:tc>
          <w:tcPr>
            <w:tcW w:w="2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2,586,979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jc w:val="center"/>
              <w:ind w:left="1141"/>
              <w:spacing w:after="0" w:line="181" w:lineRule="exact"/>
              <w:rPr>
                <w:sz w:val="20"/>
                <w:szCs w:val="20"/>
                <w:color w:val="auto"/>
              </w:rPr>
            </w:pPr>
            <w:r>
              <w:rPr>
                <w:rFonts w:ascii="Arial" w:cs="Arial" w:eastAsia="Arial" w:hAnsi="Arial"/>
                <w:sz w:val="16"/>
                <w:szCs w:val="16"/>
                <w:color w:val="auto"/>
                <w:w w:val="84"/>
              </w:rPr>
              <w:t>6(e)</w:t>
            </w:r>
          </w:p>
        </w:tc>
        <w:tc>
          <w:tcPr>
            <w:tcW w:w="12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4,413,373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32,863,118</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32,862,001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Loans, net:</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89"/>
              </w:rPr>
              <w:t>7</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Loans, net of unearned income</w:t>
            </w:r>
          </w:p>
        </w:tc>
        <w:tc>
          <w:tcPr>
            <w:tcW w:w="238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110,759,390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100,477,775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loan losses</w:t>
            </w:r>
          </w:p>
        </w:tc>
        <w:tc>
          <w:tcPr>
            <w:tcW w:w="2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(4,952,392)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(4,500,498)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105,806,998</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95,977,277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Financial assets designated at fair value through profit or loss</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89"/>
              </w:rPr>
              <w:t>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521,186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537,685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Premiums and other policies receivable</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4"/>
              </w:rPr>
              <w:t>9(a)</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887,273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656,829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from reinsurers and coinsurers</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98"/>
              </w:rPr>
              <w:t>9(b)</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842,043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715,695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Property, furniture and equipment, net</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9"/>
              </w:rPr>
              <w:t>10</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1,480,702</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1,509,492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Due from customers on acceptances</w:t>
            </w:r>
          </w:p>
        </w:tc>
        <w:tc>
          <w:tcPr>
            <w:tcW w:w="2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967,968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532,034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Intangible assets and goodwill, net</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9"/>
              </w:rPr>
              <w:t>11</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2,055,702</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1,978,865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89"/>
              </w:rPr>
              <w:t>12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5,586,753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4,999,998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238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177,263,201</w:t>
            </w:r>
          </w:p>
        </w:tc>
        <w:tc>
          <w:tcPr>
            <w:tcW w:w="2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170,472,283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2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9"/>
              </w:rPr>
              <w:t>13</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Non-interest-bearing</w:t>
            </w:r>
          </w:p>
        </w:tc>
        <w:tc>
          <w:tcPr>
            <w:tcW w:w="2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32,249,606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29,382,909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Interest-bearing</w:t>
            </w:r>
          </w:p>
        </w:tc>
        <w:tc>
          <w:tcPr>
            <w:tcW w:w="23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72,301,704</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67,787,502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104,551,310</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97,170,411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98"/>
              </w:rPr>
              <w:t>5(b)</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9,415,357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13,415,843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Due to banks and correspondents</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9"/>
              </w:rPr>
              <w:t>14</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8,448,140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7,996,889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Banker’s acceptances outstanding</w:t>
            </w:r>
          </w:p>
        </w:tc>
        <w:tc>
          <w:tcPr>
            <w:tcW w:w="2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967,968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532,034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Accounts payable to reinsurers</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98"/>
              </w:rPr>
              <w:t>9(b)</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291,693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235,185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Financial liabilities at fair value through profit or loss</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rPr>
              <w:t>3(f)(viii)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362,310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168,089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Technical reserves for insurance claims and premiums</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9"/>
              </w:rPr>
              <w:t>15</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8,452,671</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7,443,760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Bonds and notes issued</w:t>
            </w:r>
          </w:p>
        </w:tc>
        <w:tc>
          <w:tcPr>
            <w:tcW w:w="2380" w:type="dxa"/>
            <w:vAlign w:val="bottom"/>
            <w:shd w:val="clear" w:color="auto" w:fill="CCEEFF"/>
          </w:tcPr>
          <w:p>
            <w:pPr>
              <w:jc w:val="center"/>
              <w:ind w:left="1141"/>
              <w:spacing w:after="0"/>
              <w:rPr>
                <w:sz w:val="20"/>
                <w:szCs w:val="20"/>
                <w:color w:val="auto"/>
              </w:rPr>
            </w:pPr>
            <w:r>
              <w:rPr>
                <w:rFonts w:ascii="Arial" w:cs="Arial" w:eastAsia="Arial" w:hAnsi="Arial"/>
                <w:sz w:val="16"/>
                <w:szCs w:val="16"/>
                <w:color w:val="auto"/>
                <w:w w:val="89"/>
              </w:rPr>
              <w:t>16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15,457,540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16,242,257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Other liabilities</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9"/>
              </w:rPr>
              <w:t>12</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5,050,136</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5,014,112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3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152,997,125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148,218,580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380" w:type="dxa"/>
            <w:vAlign w:val="bottom"/>
          </w:tcPr>
          <w:p>
            <w:pPr>
              <w:jc w:val="center"/>
              <w:ind w:left="1141"/>
              <w:spacing w:after="0"/>
              <w:rPr>
                <w:sz w:val="20"/>
                <w:szCs w:val="20"/>
                <w:color w:val="auto"/>
              </w:rPr>
            </w:pPr>
            <w:r>
              <w:rPr>
                <w:rFonts w:ascii="Arial" w:cs="Arial" w:eastAsia="Arial" w:hAnsi="Arial"/>
                <w:sz w:val="16"/>
                <w:szCs w:val="16"/>
                <w:color w:val="auto"/>
                <w:w w:val="89"/>
              </w:rPr>
              <w:t>17</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Equity attributable to Credicorp´s equity holders</w:t>
            </w:r>
          </w:p>
        </w:tc>
        <w:tc>
          <w:tcPr>
            <w:tcW w:w="2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auto"/>
              </w:rPr>
              <w:t>Capital stock</w:t>
            </w:r>
          </w:p>
        </w:tc>
        <w:tc>
          <w:tcPr>
            <w:tcW w:w="238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1,318,993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1,318,993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Treasury stock</w:t>
            </w:r>
          </w:p>
        </w:tc>
        <w:tc>
          <w:tcPr>
            <w:tcW w:w="2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(207,994)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(208,937)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auto"/>
              </w:rPr>
              <w:t>Capital surplus</w:t>
            </w:r>
          </w:p>
        </w:tc>
        <w:tc>
          <w:tcPr>
            <w:tcW w:w="238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246,194</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271,948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Reserves</w:t>
            </w:r>
          </w:p>
        </w:tc>
        <w:tc>
          <w:tcPr>
            <w:tcW w:w="2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17,598,556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14,647,709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auto"/>
              </w:rPr>
              <w:t>Other reserves</w:t>
            </w:r>
          </w:p>
        </w:tc>
        <w:tc>
          <w:tcPr>
            <w:tcW w:w="238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708,453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1,455,594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4,175,041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4,271,260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23,839,243</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21,756,567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2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426,833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497,136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2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24,266,076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22,253,703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2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177,263,201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170,472,283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25" w:hanging="225"/>
        <w:spacing w:after="0"/>
        <w:tabs>
          <w:tab w:leader="none" w:pos="225"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balances of financial instruments at December 31, 2018 have been prepared in accordance with IFRS 9; the balances of the previous period have not been restated, see Note</w:t>
      </w:r>
    </w:p>
    <w:p>
      <w:pPr>
        <w:spacing w:after="0" w:line="39"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3(a)(i).</w:t>
      </w:r>
    </w:p>
    <w:p>
      <w:pPr>
        <w:sectPr>
          <w:pgSz w:w="11900" w:h="16844" w:orient="portrait"/>
          <w:cols w:equalWidth="0" w:num="1">
            <w:col w:w="11445"/>
          </w:cols>
          <w:pgMar w:left="235" w:top="810" w:right="219" w:bottom="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96" w:lineRule="exact"/>
        <w:rPr>
          <w:sz w:val="20"/>
          <w:szCs w:val="20"/>
          <w:color w:val="auto"/>
        </w:rPr>
      </w:pPr>
    </w:p>
    <w:p>
      <w:pPr>
        <w:jc w:val="right"/>
        <w:ind w:right="435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219"/>
          </w:cols>
          <w:pgMar w:left="240" w:top="317"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5"/>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 INCOME</w:t>
            </w: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500" w:type="dxa"/>
            <w:vAlign w:val="bottom"/>
            <w:gridSpan w:val="2"/>
          </w:tcPr>
          <w:p>
            <w:pPr>
              <w:spacing w:after="0"/>
              <w:rPr>
                <w:sz w:val="20"/>
                <w:szCs w:val="20"/>
                <w:color w:val="auto"/>
              </w:rPr>
            </w:pPr>
            <w:r>
              <w:rPr>
                <w:rFonts w:ascii="Arial" w:cs="Arial" w:eastAsia="Arial" w:hAnsi="Arial"/>
                <w:sz w:val="16"/>
                <w:szCs w:val="16"/>
                <w:color w:val="auto"/>
              </w:rPr>
              <w:t>FOR THE YEARS ENDED DECEMBER 31, 2018, 2017 AND 2016</w:t>
            </w: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0" w:type="dxa"/>
            <w:vAlign w:val="bottom"/>
          </w:tcPr>
          <w:p>
            <w:pPr>
              <w:jc w:val="center"/>
              <w:ind w:left="361"/>
              <w:spacing w:after="0"/>
              <w:rPr>
                <w:sz w:val="20"/>
                <w:szCs w:val="20"/>
                <w:color w:val="auto"/>
              </w:rPr>
            </w:pPr>
            <w:r>
              <w:rPr>
                <w:rFonts w:ascii="Arial" w:cs="Arial" w:eastAsia="Arial" w:hAnsi="Arial"/>
                <w:sz w:val="16"/>
                <w:szCs w:val="16"/>
                <w:b w:val="1"/>
                <w:bCs w:val="1"/>
                <w:color w:val="auto"/>
                <w:w w:val="89"/>
              </w:rPr>
              <w:t>Note</w:t>
            </w: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Interest and similar income</w:t>
            </w:r>
          </w:p>
        </w:tc>
        <w:tc>
          <w:tcPr>
            <w:tcW w:w="160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89"/>
              </w:rPr>
              <w:t>21</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11,522,634</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11,030,683</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10,773,055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Interest and similar expenses</w:t>
            </w:r>
          </w:p>
        </w:tc>
        <w:tc>
          <w:tcPr>
            <w:tcW w:w="1600" w:type="dxa"/>
            <w:vAlign w:val="bottom"/>
          </w:tcPr>
          <w:p>
            <w:pPr>
              <w:jc w:val="center"/>
              <w:ind w:left="361"/>
              <w:spacing w:after="0"/>
              <w:rPr>
                <w:sz w:val="20"/>
                <w:szCs w:val="20"/>
                <w:color w:val="auto"/>
              </w:rPr>
            </w:pPr>
            <w:r>
              <w:rPr>
                <w:rFonts w:ascii="Arial" w:cs="Arial" w:eastAsia="Arial" w:hAnsi="Arial"/>
                <w:sz w:val="16"/>
                <w:szCs w:val="16"/>
                <w:color w:val="auto"/>
                <w:w w:val="89"/>
              </w:rPr>
              <w:t>21</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(3,033,529)</w:t>
            </w: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(2,959,196)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(2,914,714)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Net interest, similar income and expenses</w:t>
            </w:r>
          </w:p>
        </w:tc>
        <w:tc>
          <w:tcPr>
            <w:tcW w:w="16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8,489,105</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8,071,487</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7,858,341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16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1"/>
              </w:rPr>
              <w:t>7(d)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(1,814,898)</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(2,057,478)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(2,063,209)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160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283,190</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268,313</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277,714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6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(1,531,708</w:t>
            </w:r>
          </w:p>
        </w:tc>
        <w:tc>
          <w:tcPr>
            <w:tcW w:w="24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(1,789,165</w:t>
            </w:r>
          </w:p>
        </w:tc>
        <w:tc>
          <w:tcPr>
            <w:tcW w:w="220" w:type="dxa"/>
            <w:vAlign w:val="bottom"/>
            <w:tcBorders>
              <w:top w:val="single" w:sz="8" w:color="CCEEFF"/>
            </w:tcBorders>
            <w:shd w:val="clear" w:color="auto" w:fill="CCEEFF"/>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(1,785,495</w:t>
            </w:r>
          </w:p>
        </w:tc>
        <w:tc>
          <w:tcPr>
            <w:tcW w:w="12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48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color w:val="auto"/>
                <w:w w:val="86"/>
              </w:rPr>
              <w:t>Net interest, similar income and expenses, after provision for credit losses on loan</w:t>
            </w:r>
          </w:p>
        </w:tc>
        <w:tc>
          <w:tcPr>
            <w:tcW w:w="1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portfolio</w:t>
            </w:r>
          </w:p>
        </w:tc>
        <w:tc>
          <w:tcPr>
            <w:tcW w:w="1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6,957,397</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6,282,322</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6,072,846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16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Commissions and fees</w:t>
            </w:r>
          </w:p>
        </w:tc>
        <w:tc>
          <w:tcPr>
            <w:tcW w:w="1600" w:type="dxa"/>
            <w:vAlign w:val="bottom"/>
          </w:tcPr>
          <w:p>
            <w:pPr>
              <w:jc w:val="center"/>
              <w:ind w:left="361"/>
              <w:spacing w:after="0"/>
              <w:rPr>
                <w:sz w:val="20"/>
                <w:szCs w:val="20"/>
                <w:color w:val="auto"/>
              </w:rPr>
            </w:pPr>
            <w:r>
              <w:rPr>
                <w:rFonts w:ascii="Arial" w:cs="Arial" w:eastAsia="Arial" w:hAnsi="Arial"/>
                <w:sz w:val="16"/>
                <w:szCs w:val="16"/>
                <w:color w:val="auto"/>
                <w:w w:val="89"/>
              </w:rPr>
              <w:t>22</w:t>
            </w:r>
          </w:p>
        </w:tc>
        <w:tc>
          <w:tcPr>
            <w:tcW w:w="1280" w:type="dxa"/>
            <w:vAlign w:val="bottom"/>
          </w:tcPr>
          <w:p>
            <w:pPr>
              <w:jc w:val="right"/>
              <w:spacing w:after="0"/>
              <w:rPr>
                <w:sz w:val="20"/>
                <w:szCs w:val="20"/>
                <w:color w:val="auto"/>
              </w:rPr>
            </w:pPr>
            <w:r>
              <w:rPr>
                <w:rFonts w:ascii="Arial" w:cs="Arial" w:eastAsia="Arial" w:hAnsi="Arial"/>
                <w:sz w:val="16"/>
                <w:szCs w:val="16"/>
                <w:color w:val="auto"/>
              </w:rPr>
              <w:t>3,126,857</w:t>
            </w:r>
          </w:p>
        </w:tc>
        <w:tc>
          <w:tcPr>
            <w:tcW w:w="240" w:type="dxa"/>
            <w:vAlign w:val="bottom"/>
          </w:tcPr>
          <w:p>
            <w:pPr>
              <w:spacing w:after="0"/>
              <w:rPr>
                <w:sz w:val="16"/>
                <w:szCs w:val="16"/>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2,911,408</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2,771,561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gain on foreign exchange transactions</w:t>
            </w:r>
          </w:p>
        </w:tc>
        <w:tc>
          <w:tcPr>
            <w:tcW w:w="16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737,954</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650,228</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698,159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Net gain on securities</w:t>
            </w:r>
          </w:p>
        </w:tc>
        <w:tc>
          <w:tcPr>
            <w:tcW w:w="1600" w:type="dxa"/>
            <w:vAlign w:val="bottom"/>
          </w:tcPr>
          <w:p>
            <w:pPr>
              <w:jc w:val="center"/>
              <w:ind w:left="361"/>
              <w:spacing w:after="0"/>
              <w:rPr>
                <w:sz w:val="20"/>
                <w:szCs w:val="20"/>
                <w:color w:val="auto"/>
              </w:rPr>
            </w:pPr>
            <w:r>
              <w:rPr>
                <w:rFonts w:ascii="Arial" w:cs="Arial" w:eastAsia="Arial" w:hAnsi="Arial"/>
                <w:sz w:val="16"/>
                <w:szCs w:val="16"/>
                <w:color w:val="auto"/>
                <w:w w:val="89"/>
              </w:rPr>
              <w:t>23</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242,829</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760,772</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339,930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gain on derivatives held for trading</w:t>
            </w:r>
          </w:p>
        </w:tc>
        <w:tc>
          <w:tcPr>
            <w:tcW w:w="16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13,262</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103,580</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44,500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Net gain from exchange differences</w:t>
            </w:r>
          </w:p>
        </w:tc>
        <w:tc>
          <w:tcPr>
            <w:tcW w:w="16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16,022</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17,394</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gain on financial assets designated at fair value through profit or loss</w:t>
            </w:r>
          </w:p>
        </w:tc>
        <w:tc>
          <w:tcPr>
            <w:tcW w:w="160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89"/>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67,633</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51,667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Others</w:t>
            </w:r>
          </w:p>
        </w:tc>
        <w:tc>
          <w:tcPr>
            <w:tcW w:w="1600" w:type="dxa"/>
            <w:vAlign w:val="bottom"/>
          </w:tcPr>
          <w:p>
            <w:pPr>
              <w:jc w:val="center"/>
              <w:ind w:left="361"/>
              <w:spacing w:after="0"/>
              <w:rPr>
                <w:sz w:val="20"/>
                <w:szCs w:val="20"/>
                <w:color w:val="auto"/>
              </w:rPr>
            </w:pPr>
            <w:r>
              <w:rPr>
                <w:rFonts w:ascii="Arial" w:cs="Arial" w:eastAsia="Arial" w:hAnsi="Arial"/>
                <w:sz w:val="16"/>
                <w:szCs w:val="16"/>
                <w:color w:val="auto"/>
                <w:w w:val="89"/>
              </w:rPr>
              <w:t>28</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395,557</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376,926</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326,830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Total other income</w:t>
            </w:r>
          </w:p>
        </w:tc>
        <w:tc>
          <w:tcPr>
            <w:tcW w:w="16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4,532,481</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4,887,941</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4,232,647</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Insurance premiums and claims</w:t>
            </w:r>
          </w:p>
        </w:tc>
        <w:tc>
          <w:tcPr>
            <w:tcW w:w="16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Net premiums earned</w:t>
            </w:r>
          </w:p>
        </w:tc>
        <w:tc>
          <w:tcPr>
            <w:tcW w:w="1600" w:type="dxa"/>
            <w:vAlign w:val="bottom"/>
          </w:tcPr>
          <w:p>
            <w:pPr>
              <w:jc w:val="center"/>
              <w:ind w:left="361"/>
              <w:spacing w:after="0"/>
              <w:rPr>
                <w:sz w:val="20"/>
                <w:szCs w:val="20"/>
                <w:color w:val="auto"/>
              </w:rPr>
            </w:pPr>
            <w:r>
              <w:rPr>
                <w:rFonts w:ascii="Arial" w:cs="Arial" w:eastAsia="Arial" w:hAnsi="Arial"/>
                <w:sz w:val="16"/>
                <w:szCs w:val="16"/>
                <w:color w:val="auto"/>
                <w:w w:val="89"/>
              </w:rPr>
              <w:t>24</w:t>
            </w:r>
          </w:p>
        </w:tc>
        <w:tc>
          <w:tcPr>
            <w:tcW w:w="1280" w:type="dxa"/>
            <w:vAlign w:val="bottom"/>
          </w:tcPr>
          <w:p>
            <w:pPr>
              <w:jc w:val="right"/>
              <w:spacing w:after="0"/>
              <w:rPr>
                <w:sz w:val="20"/>
                <w:szCs w:val="20"/>
                <w:color w:val="auto"/>
              </w:rPr>
            </w:pPr>
            <w:r>
              <w:rPr>
                <w:rFonts w:ascii="Arial" w:cs="Arial" w:eastAsia="Arial" w:hAnsi="Arial"/>
                <w:sz w:val="16"/>
                <w:szCs w:val="16"/>
                <w:color w:val="auto"/>
              </w:rPr>
              <w:t>2,100,788</w:t>
            </w:r>
          </w:p>
        </w:tc>
        <w:tc>
          <w:tcPr>
            <w:tcW w:w="240" w:type="dxa"/>
            <w:vAlign w:val="bottom"/>
          </w:tcPr>
          <w:p>
            <w:pPr>
              <w:spacing w:after="0"/>
              <w:rPr>
                <w:sz w:val="16"/>
                <w:szCs w:val="16"/>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1,808,340</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1,799,115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claims incurred for life, general and health insurance contracts</w:t>
            </w:r>
          </w:p>
        </w:tc>
        <w:tc>
          <w:tcPr>
            <w:tcW w:w="160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89"/>
              </w:rPr>
              <w:t>25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(1,239,635)</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(1,118,304)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(1,098,905)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Pr>
          <w:p>
            <w:pPr>
              <w:spacing w:after="0" w:line="181" w:lineRule="exact"/>
              <w:rPr>
                <w:sz w:val="20"/>
                <w:szCs w:val="20"/>
                <w:color w:val="auto"/>
              </w:rPr>
            </w:pPr>
            <w:r>
              <w:rPr>
                <w:rFonts w:ascii="Arial" w:cs="Arial" w:eastAsia="Arial" w:hAnsi="Arial"/>
                <w:sz w:val="16"/>
                <w:szCs w:val="16"/>
                <w:b w:val="1"/>
                <w:bCs w:val="1"/>
                <w:color w:val="auto"/>
              </w:rPr>
              <w:t>Total premiums earned less claims</w:t>
            </w:r>
          </w:p>
        </w:tc>
        <w:tc>
          <w:tcPr>
            <w:tcW w:w="1600" w:type="dxa"/>
            <w:vAlign w:val="bottom"/>
          </w:tcPr>
          <w:p>
            <w:pPr>
              <w:spacing w:after="0"/>
              <w:rPr>
                <w:sz w:val="15"/>
                <w:szCs w:val="15"/>
                <w:color w:val="auto"/>
              </w:rPr>
            </w:pPr>
          </w:p>
        </w:tc>
        <w:tc>
          <w:tcPr>
            <w:tcW w:w="12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861,153</w:t>
            </w:r>
          </w:p>
        </w:tc>
        <w:tc>
          <w:tcPr>
            <w:tcW w:w="24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690,036</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700,210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4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Salaries and employee benefits</w:t>
            </w:r>
          </w:p>
        </w:tc>
        <w:tc>
          <w:tcPr>
            <w:tcW w:w="160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89"/>
              </w:rPr>
              <w:t>26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(3,219,875)</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(3,071,020)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(2,942,743)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600" w:type="dxa"/>
            <w:vAlign w:val="bottom"/>
          </w:tcPr>
          <w:p>
            <w:pPr>
              <w:jc w:val="center"/>
              <w:ind w:left="361"/>
              <w:spacing w:after="0"/>
              <w:rPr>
                <w:sz w:val="20"/>
                <w:szCs w:val="20"/>
                <w:color w:val="auto"/>
              </w:rPr>
            </w:pPr>
            <w:r>
              <w:rPr>
                <w:rFonts w:ascii="Arial" w:cs="Arial" w:eastAsia="Arial" w:hAnsi="Arial"/>
                <w:sz w:val="16"/>
                <w:szCs w:val="16"/>
                <w:color w:val="auto"/>
                <w:w w:val="89"/>
              </w:rPr>
              <w:t>27</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(2,330,044)</w:t>
            </w: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(2,158,823)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(2,094,678)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6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89"/>
              </w:rPr>
              <w:t>10(a) y 11(a)</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(429,122)</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(419,975)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(407,061)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Net loss from exchange differences</w:t>
            </w:r>
          </w:p>
        </w:tc>
        <w:tc>
          <w:tcPr>
            <w:tcW w:w="16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(60,624)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goodwill</w:t>
            </w:r>
          </w:p>
        </w:tc>
        <w:tc>
          <w:tcPr>
            <w:tcW w:w="16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0"/>
              </w:rPr>
              <w:t>11(b)</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(38,189)</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Net loss on financial assets designated at fair value through profit or loss</w:t>
            </w:r>
          </w:p>
        </w:tc>
        <w:tc>
          <w:tcPr>
            <w:tcW w:w="1600" w:type="dxa"/>
            <w:vAlign w:val="bottom"/>
          </w:tcPr>
          <w:p>
            <w:pPr>
              <w:jc w:val="center"/>
              <w:ind w:left="361"/>
              <w:spacing w:after="0"/>
              <w:rPr>
                <w:sz w:val="20"/>
                <w:szCs w:val="20"/>
                <w:color w:val="auto"/>
              </w:rPr>
            </w:pPr>
            <w:r>
              <w:rPr>
                <w:rFonts w:ascii="Arial" w:cs="Arial" w:eastAsia="Arial" w:hAnsi="Arial"/>
                <w:sz w:val="16"/>
                <w:szCs w:val="16"/>
                <w:color w:val="auto"/>
                <w:w w:val="89"/>
              </w:rPr>
              <w:t>8</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(53,935)</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60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89"/>
              </w:rPr>
              <w:t>28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(687,652)</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(635,547)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(609,075)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Pr>
          <w:p>
            <w:pPr>
              <w:spacing w:after="0" w:line="181" w:lineRule="exact"/>
              <w:rPr>
                <w:sz w:val="20"/>
                <w:szCs w:val="20"/>
                <w:color w:val="auto"/>
              </w:rPr>
            </w:pPr>
            <w:r>
              <w:rPr>
                <w:rFonts w:ascii="Arial" w:cs="Arial" w:eastAsia="Arial" w:hAnsi="Arial"/>
                <w:sz w:val="16"/>
                <w:szCs w:val="16"/>
                <w:b w:val="1"/>
                <w:bCs w:val="1"/>
                <w:color w:val="auto"/>
              </w:rPr>
              <w:t>Total other expenses</w:t>
            </w:r>
          </w:p>
        </w:tc>
        <w:tc>
          <w:tcPr>
            <w:tcW w:w="160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(6,758,817</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(6,285,365</w:t>
            </w:r>
          </w:p>
        </w:tc>
        <w:tc>
          <w:tcPr>
            <w:tcW w:w="220" w:type="dxa"/>
            <w:vAlign w:val="bottom"/>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(6,114,275</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21"/>
              <w:spacing w:after="0"/>
              <w:rPr>
                <w:sz w:val="20"/>
                <w:szCs w:val="20"/>
                <w:color w:val="auto"/>
              </w:rPr>
            </w:pPr>
            <w:r>
              <w:rPr>
                <w:rFonts w:ascii="Arial" w:cs="Arial" w:eastAsia="Arial" w:hAnsi="Arial"/>
                <w:sz w:val="16"/>
                <w:szCs w:val="16"/>
                <w:color w:val="auto"/>
              </w:rPr>
              <w:t>- 10 -</w:t>
            </w: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0" w:right="2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40" w:type="dxa"/>
            <w:vAlign w:val="bottom"/>
            <w:gridSpan w:val="2"/>
          </w:tcPr>
          <w:p>
            <w:pPr>
              <w:spacing w:after="0"/>
              <w:rPr>
                <w:sz w:val="20"/>
                <w:szCs w:val="20"/>
                <w:color w:val="auto"/>
              </w:rPr>
            </w:pPr>
            <w:r>
              <w:rPr>
                <w:rFonts w:ascii="Arial" w:cs="Arial" w:eastAsia="Arial" w:hAnsi="Arial"/>
                <w:sz w:val="16"/>
                <w:szCs w:val="16"/>
                <w:color w:val="auto"/>
              </w:rPr>
              <w:t>CONSOLIDATED STATEMENT OF INCOME (CONTINUED)</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60" w:type="dxa"/>
            <w:vAlign w:val="bottom"/>
          </w:tcPr>
          <w:p>
            <w:pPr>
              <w:ind w:left="720"/>
              <w:spacing w:after="0"/>
              <w:rPr>
                <w:sz w:val="20"/>
                <w:szCs w:val="20"/>
                <w:color w:val="auto"/>
              </w:rPr>
            </w:pPr>
            <w:r>
              <w:rPr>
                <w:rFonts w:ascii="Arial" w:cs="Arial" w:eastAsia="Arial" w:hAnsi="Arial"/>
                <w:sz w:val="16"/>
                <w:szCs w:val="16"/>
                <w:b w:val="1"/>
                <w:bCs w:val="1"/>
                <w:color w:val="auto"/>
              </w:rPr>
              <w:t>Note</w:t>
            </w: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before income tax</w:t>
            </w:r>
          </w:p>
        </w:tc>
        <w:tc>
          <w:tcPr>
            <w:tcW w:w="1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5,592,214</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5,574,934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4,891,428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Income tax</w:t>
            </w:r>
          </w:p>
        </w:tc>
        <w:tc>
          <w:tcPr>
            <w:tcW w:w="1460" w:type="dxa"/>
            <w:vAlign w:val="bottom"/>
          </w:tcPr>
          <w:p>
            <w:pPr>
              <w:jc w:val="center"/>
              <w:ind w:left="241"/>
              <w:spacing w:after="0"/>
              <w:rPr>
                <w:sz w:val="20"/>
                <w:szCs w:val="20"/>
                <w:color w:val="auto"/>
              </w:rPr>
            </w:pPr>
            <w:r>
              <w:rPr>
                <w:rFonts w:ascii="Arial" w:cs="Arial" w:eastAsia="Arial" w:hAnsi="Arial"/>
                <w:sz w:val="16"/>
                <w:szCs w:val="16"/>
                <w:color w:val="auto"/>
                <w:w w:val="90"/>
              </w:rPr>
              <w:t>18(b)</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(1,520,909)</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(1,393,286)</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(1,281,448)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4,071,305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4,181,648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3,609,980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restart"/>
          </w:tcPr>
          <w:p>
            <w:pPr>
              <w:spacing w:after="0"/>
              <w:rPr>
                <w:sz w:val="14"/>
                <w:szCs w:val="14"/>
                <w:color w:val="auto"/>
              </w:rPr>
            </w:pPr>
          </w:p>
        </w:tc>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Attributable to:</w:t>
            </w:r>
          </w:p>
        </w:tc>
        <w:tc>
          <w:tcPr>
            <w:tcW w:w="14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1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3,983,865</w:t>
            </w:r>
          </w:p>
        </w:tc>
        <w:tc>
          <w:tcPr>
            <w:tcW w:w="2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4,091,753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3,514,582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4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87,440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89,895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95,398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4,071,305</w:t>
            </w:r>
          </w:p>
        </w:tc>
        <w:tc>
          <w:tcPr>
            <w:tcW w:w="24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4,181,648</w:t>
            </w:r>
          </w:p>
        </w:tc>
        <w:tc>
          <w:tcPr>
            <w:tcW w:w="2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3,609,980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6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620" w:type="dxa"/>
            <w:vAlign w:val="bottom"/>
          </w:tcPr>
          <w:p>
            <w:pPr>
              <w:spacing w:after="0" w:line="173" w:lineRule="exact"/>
              <w:rPr>
                <w:sz w:val="20"/>
                <w:szCs w:val="20"/>
                <w:color w:val="auto"/>
              </w:rPr>
            </w:pPr>
            <w:r>
              <w:rPr>
                <w:rFonts w:ascii="Arial" w:cs="Arial" w:eastAsia="Arial" w:hAnsi="Arial"/>
                <w:sz w:val="16"/>
                <w:szCs w:val="16"/>
                <w:b w:val="1"/>
                <w:bCs w:val="1"/>
                <w:color w:val="auto"/>
                <w:w w:val="88"/>
              </w:rPr>
              <w:t>Net basic and dilutive earnings per share attributable to Credicorp's equity holders</w:t>
            </w:r>
          </w:p>
        </w:tc>
        <w:tc>
          <w:tcPr>
            <w:tcW w:w="1460" w:type="dxa"/>
            <w:vAlign w:val="bottom"/>
          </w:tcPr>
          <w:p>
            <w:pPr>
              <w:ind w:left="40"/>
              <w:spacing w:after="0" w:line="173" w:lineRule="exact"/>
              <w:rPr>
                <w:sz w:val="20"/>
                <w:szCs w:val="20"/>
                <w:color w:val="auto"/>
              </w:rPr>
            </w:pPr>
            <w:r>
              <w:rPr>
                <w:rFonts w:ascii="Arial" w:cs="Arial" w:eastAsia="Arial" w:hAnsi="Arial"/>
                <w:sz w:val="16"/>
                <w:szCs w:val="16"/>
                <w:b w:val="1"/>
                <w:bCs w:val="1"/>
                <w:color w:val="auto"/>
              </w:rPr>
              <w:t>(in</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tcPr>
          <w:p>
            <w:pPr>
              <w:ind w:left="120"/>
              <w:spacing w:after="0"/>
              <w:rPr>
                <w:sz w:val="20"/>
                <w:szCs w:val="20"/>
                <w:color w:val="auto"/>
              </w:rPr>
            </w:pPr>
            <w:r>
              <w:rPr>
                <w:rFonts w:ascii="Arial" w:cs="Arial" w:eastAsia="Arial" w:hAnsi="Arial"/>
                <w:sz w:val="16"/>
                <w:szCs w:val="16"/>
                <w:b w:val="1"/>
                <w:bCs w:val="1"/>
                <w:color w:val="auto"/>
              </w:rPr>
              <w:t>Soles):</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Basic</w:t>
            </w:r>
          </w:p>
        </w:tc>
        <w:tc>
          <w:tcPr>
            <w:tcW w:w="1460" w:type="dxa"/>
            <w:vAlign w:val="bottom"/>
          </w:tcPr>
          <w:p>
            <w:pPr>
              <w:jc w:val="center"/>
              <w:ind w:left="221"/>
              <w:spacing w:after="0"/>
              <w:rPr>
                <w:sz w:val="20"/>
                <w:szCs w:val="20"/>
                <w:color w:val="auto"/>
              </w:rPr>
            </w:pPr>
            <w:r>
              <w:rPr>
                <w:rFonts w:ascii="Arial" w:cs="Arial" w:eastAsia="Arial" w:hAnsi="Arial"/>
                <w:sz w:val="16"/>
                <w:szCs w:val="16"/>
                <w:color w:val="auto"/>
                <w:w w:val="89"/>
              </w:rPr>
              <w:t>29</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50.13</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51.49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1460" w:type="dxa"/>
            <w:vAlign w:val="bottom"/>
            <w:shd w:val="clear" w:color="auto" w:fill="CCEEFF"/>
          </w:tcPr>
          <w:p>
            <w:pPr>
              <w:jc w:val="center"/>
              <w:ind w:left="221"/>
              <w:spacing w:after="0"/>
              <w:rPr>
                <w:sz w:val="20"/>
                <w:szCs w:val="20"/>
                <w:color w:val="auto"/>
              </w:rPr>
            </w:pPr>
            <w:r>
              <w:rPr>
                <w:rFonts w:ascii="Arial" w:cs="Arial" w:eastAsia="Arial" w:hAnsi="Arial"/>
                <w:sz w:val="16"/>
                <w:szCs w:val="16"/>
                <w:color w:val="auto"/>
                <w:w w:val="89"/>
              </w:rPr>
              <w:t>29</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49.99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44.15</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5"/>
        </w:trPr>
        <w:tc>
          <w:tcPr>
            <w:tcW w:w="592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5920" w:type="dxa"/>
            <w:vAlign w:val="bottom"/>
            <w:gridSpan w:val="2"/>
          </w:tcPr>
          <w:p>
            <w:pPr>
              <w:spacing w:after="0"/>
              <w:rPr>
                <w:sz w:val="20"/>
                <w:szCs w:val="20"/>
                <w:color w:val="auto"/>
              </w:rPr>
            </w:pPr>
            <w:r>
              <w:rPr>
                <w:rFonts w:ascii="Arial" w:cs="Arial" w:eastAsia="Arial" w:hAnsi="Arial"/>
                <w:sz w:val="16"/>
                <w:szCs w:val="16"/>
                <w:color w:val="auto"/>
              </w:rPr>
              <w:t>CONSOLIDATED STATEMENT OF COMPREHENSIVE INCOME</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20" w:type="dxa"/>
            <w:vAlign w:val="bottom"/>
            <w:gridSpan w:val="2"/>
          </w:tcPr>
          <w:p>
            <w:pPr>
              <w:spacing w:after="0"/>
              <w:rPr>
                <w:sz w:val="20"/>
                <w:szCs w:val="20"/>
                <w:color w:val="auto"/>
              </w:rPr>
            </w:pPr>
            <w:r>
              <w:rPr>
                <w:rFonts w:ascii="Arial" w:cs="Arial" w:eastAsia="Arial" w:hAnsi="Arial"/>
                <w:sz w:val="16"/>
                <w:szCs w:val="16"/>
                <w:color w:val="auto"/>
              </w:rPr>
              <w:t>FOR THE YEARS ENDED DECEMBER 31, 2018, 2017 AND 2016</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 for the year</w:t>
            </w:r>
          </w:p>
        </w:tc>
        <w:tc>
          <w:tcPr>
            <w:tcW w:w="1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4,071,305</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4,181,648</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3,609,980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 be reclassified to profit or loss in subsequent periods:</w:t>
            </w:r>
          </w:p>
        </w:tc>
        <w:tc>
          <w:tcPr>
            <w:tcW w:w="1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on investments at fair value through other comprehensive income</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17(d)</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(642,505)</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00" w:type="dxa"/>
            <w:vAlign w:val="bottom"/>
          </w:tcPr>
          <w:p>
            <w:pPr>
              <w:ind w:left="120"/>
              <w:spacing w:after="0"/>
              <w:rPr>
                <w:sz w:val="20"/>
                <w:szCs w:val="20"/>
                <w:color w:val="auto"/>
              </w:rPr>
            </w:pPr>
            <w:r>
              <w:rPr>
                <w:rFonts w:ascii="Arial" w:cs="Arial" w:eastAsia="Arial" w:hAnsi="Arial"/>
                <w:sz w:val="16"/>
                <w:szCs w:val="16"/>
                <w:color w:val="auto"/>
              </w:rPr>
              <w:t>Income tax</w:t>
            </w:r>
          </w:p>
        </w:tc>
        <w:tc>
          <w:tcPr>
            <w:tcW w:w="1180" w:type="dxa"/>
            <w:vAlign w:val="bottom"/>
          </w:tcPr>
          <w:p>
            <w:pPr>
              <w:ind w:left="460"/>
              <w:spacing w:after="0"/>
              <w:rPr>
                <w:sz w:val="20"/>
                <w:szCs w:val="20"/>
                <w:color w:val="auto"/>
              </w:rPr>
            </w:pPr>
            <w:r>
              <w:rPr>
                <w:rFonts w:ascii="Arial" w:cs="Arial" w:eastAsia="Arial" w:hAnsi="Arial"/>
                <w:sz w:val="16"/>
                <w:szCs w:val="16"/>
                <w:color w:val="auto"/>
              </w:rPr>
              <w:t>17(d)</w:t>
            </w:r>
          </w:p>
        </w:tc>
        <w:tc>
          <w:tcPr>
            <w:tcW w:w="1280" w:type="dxa"/>
            <w:vAlign w:val="bottom"/>
          </w:tcPr>
          <w:p>
            <w:pPr>
              <w:jc w:val="right"/>
              <w:spacing w:after="0"/>
              <w:rPr>
                <w:sz w:val="20"/>
                <w:szCs w:val="20"/>
                <w:color w:val="auto"/>
              </w:rPr>
            </w:pPr>
            <w:r>
              <w:rPr>
                <w:rFonts w:ascii="Arial" w:cs="Arial" w:eastAsia="Arial" w:hAnsi="Arial"/>
                <w:sz w:val="16"/>
                <w:szCs w:val="16"/>
                <w:color w:val="auto"/>
              </w:rPr>
              <w:t>11,831</w:t>
            </w:r>
          </w:p>
        </w:tc>
        <w:tc>
          <w:tcPr>
            <w:tcW w:w="240" w:type="dxa"/>
            <w:vAlign w:val="bottom"/>
          </w:tcPr>
          <w:p>
            <w:pPr>
              <w:spacing w:after="0"/>
              <w:rPr>
                <w:sz w:val="17"/>
                <w:szCs w:val="17"/>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(630,674)</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 on investments available for sale</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17(d)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375,710</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518,658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00" w:type="dxa"/>
            <w:vAlign w:val="bottom"/>
          </w:tcPr>
          <w:p>
            <w:pPr>
              <w:ind w:left="120"/>
              <w:spacing w:after="0"/>
              <w:rPr>
                <w:sz w:val="20"/>
                <w:szCs w:val="20"/>
                <w:color w:val="auto"/>
              </w:rPr>
            </w:pPr>
            <w:r>
              <w:rPr>
                <w:rFonts w:ascii="Arial" w:cs="Arial" w:eastAsia="Arial" w:hAnsi="Arial"/>
                <w:sz w:val="16"/>
                <w:szCs w:val="16"/>
                <w:color w:val="auto"/>
              </w:rPr>
              <w:t>Income tax</w:t>
            </w:r>
          </w:p>
        </w:tc>
        <w:tc>
          <w:tcPr>
            <w:tcW w:w="1180" w:type="dxa"/>
            <w:vAlign w:val="bottom"/>
          </w:tcPr>
          <w:p>
            <w:pPr>
              <w:ind w:left="460"/>
              <w:spacing w:after="0"/>
              <w:rPr>
                <w:sz w:val="20"/>
                <w:szCs w:val="20"/>
                <w:color w:val="auto"/>
              </w:rPr>
            </w:pPr>
            <w:r>
              <w:rPr>
                <w:rFonts w:ascii="Arial" w:cs="Arial" w:eastAsia="Arial" w:hAnsi="Arial"/>
                <w:sz w:val="16"/>
                <w:szCs w:val="16"/>
                <w:color w:val="auto"/>
              </w:rPr>
              <w:t>17(d)</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(13,962)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(22,975)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361,748</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495,683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movement on cash flow hedges</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17(d)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41,241</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(77,369)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00" w:type="dxa"/>
            <w:vAlign w:val="bottom"/>
          </w:tcPr>
          <w:p>
            <w:pPr>
              <w:ind w:left="120"/>
              <w:spacing w:after="0"/>
              <w:rPr>
                <w:sz w:val="20"/>
                <w:szCs w:val="20"/>
                <w:color w:val="auto"/>
              </w:rPr>
            </w:pPr>
            <w:r>
              <w:rPr>
                <w:rFonts w:ascii="Arial" w:cs="Arial" w:eastAsia="Arial" w:hAnsi="Arial"/>
                <w:sz w:val="16"/>
                <w:szCs w:val="16"/>
                <w:color w:val="auto"/>
              </w:rPr>
              <w:t>Income tax</w:t>
            </w:r>
          </w:p>
        </w:tc>
        <w:tc>
          <w:tcPr>
            <w:tcW w:w="1180" w:type="dxa"/>
            <w:vAlign w:val="bottom"/>
          </w:tcPr>
          <w:p>
            <w:pPr>
              <w:ind w:left="460"/>
              <w:spacing w:after="0"/>
              <w:rPr>
                <w:sz w:val="20"/>
                <w:szCs w:val="20"/>
                <w:color w:val="auto"/>
              </w:rPr>
            </w:pPr>
            <w:r>
              <w:rPr>
                <w:rFonts w:ascii="Arial" w:cs="Arial" w:eastAsia="Arial" w:hAnsi="Arial"/>
                <w:sz w:val="16"/>
                <w:szCs w:val="16"/>
                <w:color w:val="auto"/>
              </w:rPr>
              <w:t>17(d)</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(10,942)</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18,719</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30,299</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(58,650)</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(19,815)</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Exchange differences on translation of foreign operations</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17(d)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45,655</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(54,227)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45,655</w:t>
            </w:r>
          </w:p>
        </w:tc>
        <w:tc>
          <w:tcPr>
            <w:tcW w:w="24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(54,227</w:t>
            </w:r>
          </w:p>
        </w:tc>
        <w:tc>
          <w:tcPr>
            <w:tcW w:w="220" w:type="dxa"/>
            <w:vAlign w:val="bottom"/>
            <w:tcBorders>
              <w:bottom w:val="single" w:sz="8" w:color="CCEEFF"/>
            </w:tcBorders>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(26,571</w:t>
            </w:r>
          </w:p>
        </w:tc>
        <w:tc>
          <w:tcPr>
            <w:tcW w:w="120" w:type="dxa"/>
            <w:vAlign w:val="bottom"/>
            <w:tcBorders>
              <w:bottom w:val="single" w:sz="8" w:color="CCEEFF"/>
            </w:tcBorders>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(554,720)</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248,871</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449,297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Not to be reclassified to profit or loss in subsequent periods:</w:t>
            </w: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00" w:type="dxa"/>
            <w:vAlign w:val="bottom"/>
          </w:tcPr>
          <w:p>
            <w:pPr>
              <w:ind w:left="120"/>
              <w:spacing w:after="0" w:line="178" w:lineRule="exact"/>
              <w:rPr>
                <w:sz w:val="20"/>
                <w:szCs w:val="20"/>
                <w:color w:val="auto"/>
              </w:rPr>
            </w:pPr>
            <w:r>
              <w:rPr>
                <w:rFonts w:ascii="Arial" w:cs="Arial" w:eastAsia="Arial" w:hAnsi="Arial"/>
                <w:sz w:val="16"/>
                <w:szCs w:val="16"/>
                <w:color w:val="auto"/>
                <w:w w:val="97"/>
              </w:rPr>
              <w:t>Net gain in equity instruments designated at fair value through other comprehensive</w:t>
            </w: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00" w:type="dxa"/>
            <w:vAlign w:val="bottom"/>
          </w:tcPr>
          <w:p>
            <w:pPr>
              <w:ind w:left="260"/>
              <w:spacing w:after="0"/>
              <w:rPr>
                <w:sz w:val="20"/>
                <w:szCs w:val="20"/>
                <w:color w:val="auto"/>
              </w:rPr>
            </w:pPr>
            <w:r>
              <w:rPr>
                <w:rFonts w:ascii="Arial" w:cs="Arial" w:eastAsia="Arial" w:hAnsi="Arial"/>
                <w:sz w:val="16"/>
                <w:szCs w:val="16"/>
                <w:color w:val="auto"/>
              </w:rPr>
              <w:t>income</w:t>
            </w:r>
          </w:p>
        </w:tc>
        <w:tc>
          <w:tcPr>
            <w:tcW w:w="1180" w:type="dxa"/>
            <w:vAlign w:val="bottom"/>
          </w:tcPr>
          <w:p>
            <w:pPr>
              <w:ind w:left="460"/>
              <w:spacing w:after="0"/>
              <w:rPr>
                <w:sz w:val="20"/>
                <w:szCs w:val="20"/>
                <w:color w:val="auto"/>
              </w:rPr>
            </w:pPr>
            <w:r>
              <w:rPr>
                <w:rFonts w:ascii="Arial" w:cs="Arial" w:eastAsia="Arial" w:hAnsi="Arial"/>
                <w:sz w:val="16"/>
                <w:szCs w:val="16"/>
                <w:color w:val="auto"/>
              </w:rPr>
              <w:t>17(d)</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20,971</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17(d)</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(168)</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20,803</w:t>
            </w:r>
          </w:p>
        </w:tc>
        <w:tc>
          <w:tcPr>
            <w:tcW w:w="24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20,803</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9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Total comprehensive income for the year, net of income tax</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3,537,388</w:t>
            </w:r>
          </w:p>
        </w:tc>
        <w:tc>
          <w:tcPr>
            <w:tcW w:w="240" w:type="dxa"/>
            <w:vAlign w:val="bottom"/>
          </w:tcPr>
          <w:p>
            <w:pPr>
              <w:spacing w:after="0"/>
              <w:rPr>
                <w:sz w:val="16"/>
                <w:szCs w:val="16"/>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4,430,519</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4,059,277</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Credicorp's equity holders</w:t>
            </w:r>
          </w:p>
        </w:tc>
        <w:tc>
          <w:tcPr>
            <w:tcW w:w="1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3,455,682</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4,337,616</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3,961,618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18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81,706</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92,903</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97,659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3,537,388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4,430,519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4,059,277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18" w:name="page19"/>
    <w:bookmarkEnd w:id="18"/>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CHANGES IN EQUITY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2018,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right"/>
              <w:ind w:right="437"/>
              <w:spacing w:after="0"/>
              <w:rPr>
                <w:sz w:val="20"/>
                <w:szCs w:val="20"/>
                <w:color w:val="auto"/>
              </w:rPr>
            </w:pPr>
            <w:r>
              <w:rPr>
                <w:rFonts w:ascii="Arial" w:cs="Arial" w:eastAsia="Arial" w:hAnsi="Arial"/>
                <w:sz w:val="13"/>
                <w:szCs w:val="13"/>
                <w:b w:val="1"/>
                <w:bCs w:val="1"/>
                <w:color w:val="auto"/>
                <w:w w:val="89"/>
              </w:rPr>
              <w:t>Attributable to Credicorp's equity holders.</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297"/>
              <w:spacing w:after="0" w:line="134" w:lineRule="exact"/>
              <w:rPr>
                <w:sz w:val="20"/>
                <w:szCs w:val="20"/>
                <w:color w:val="auto"/>
              </w:rPr>
            </w:pPr>
            <w:r>
              <w:rPr>
                <w:rFonts w:ascii="Arial" w:cs="Arial" w:eastAsia="Arial" w:hAnsi="Arial"/>
                <w:sz w:val="13"/>
                <w:szCs w:val="13"/>
                <w:b w:val="1"/>
                <w:bCs w:val="1"/>
                <w:color w:val="auto"/>
              </w:rPr>
              <w:t>Other reserves</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Available-for-</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Investments</w:t>
            </w:r>
          </w:p>
        </w:tc>
        <w:tc>
          <w:tcPr>
            <w:tcW w:w="94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4"/>
              </w:rPr>
              <w:t>Investments</w:t>
            </w:r>
          </w:p>
        </w:tc>
        <w:tc>
          <w:tcPr>
            <w:tcW w:w="640" w:type="dxa"/>
            <w:vAlign w:val="bottom"/>
            <w:gridSpan w:val="2"/>
            <w:vMerge w:val="restart"/>
          </w:tcPr>
          <w:p>
            <w:pPr>
              <w:jc w:val="center"/>
              <w:ind w:right="78"/>
              <w:spacing w:after="0"/>
              <w:rPr>
                <w:sz w:val="20"/>
                <w:szCs w:val="20"/>
                <w:color w:val="auto"/>
              </w:rPr>
            </w:pPr>
            <w:r>
              <w:rPr>
                <w:rFonts w:ascii="Arial" w:cs="Arial" w:eastAsia="Arial" w:hAnsi="Arial"/>
                <w:sz w:val="13"/>
                <w:szCs w:val="13"/>
                <w:b w:val="1"/>
                <w:bCs w:val="1"/>
                <w:color w:val="auto"/>
                <w:w w:val="84"/>
              </w:rPr>
              <w:t>Cash flow</w:t>
            </w:r>
          </w:p>
        </w:tc>
        <w:tc>
          <w:tcPr>
            <w:tcW w:w="58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Foreign</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62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0"/>
              </w:rPr>
              <w:t>Treasury</w:t>
            </w:r>
          </w:p>
        </w:tc>
        <w:tc>
          <w:tcPr>
            <w:tcW w:w="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Capital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currency</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87"/>
              </w:rPr>
              <w:t>Retained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2"/>
              </w:rPr>
              <w:t>Reserves</w:t>
            </w:r>
          </w:p>
        </w:tc>
        <w:tc>
          <w:tcPr>
            <w:tcW w:w="74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w w:val="83"/>
              </w:rPr>
              <w:t>Put options</w:t>
            </w:r>
          </w:p>
        </w:tc>
        <w:tc>
          <w:tcPr>
            <w:tcW w:w="86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78"/>
              </w:rPr>
              <w:t>sale</w:t>
            </w:r>
          </w:p>
        </w:tc>
        <w:tc>
          <w:tcPr>
            <w:tcW w:w="94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9"/>
              </w:rPr>
              <w:t>in debt</w:t>
            </w:r>
          </w:p>
        </w:tc>
        <w:tc>
          <w:tcPr>
            <w:tcW w:w="9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w w:val="89"/>
              </w:rPr>
              <w:t>in equity</w:t>
            </w:r>
          </w:p>
        </w:tc>
        <w:tc>
          <w:tcPr>
            <w:tcW w:w="640" w:type="dxa"/>
            <w:vAlign w:val="bottom"/>
            <w:gridSpan w:val="2"/>
          </w:tcPr>
          <w:p>
            <w:pPr>
              <w:jc w:val="center"/>
              <w:ind w:right="78"/>
              <w:spacing w:after="0" w:line="131" w:lineRule="exact"/>
              <w:rPr>
                <w:sz w:val="20"/>
                <w:szCs w:val="20"/>
                <w:color w:val="auto"/>
              </w:rPr>
            </w:pPr>
            <w:r>
              <w:rPr>
                <w:rFonts w:ascii="Arial" w:cs="Arial" w:eastAsia="Arial" w:hAnsi="Arial"/>
                <w:sz w:val="13"/>
                <w:szCs w:val="13"/>
                <w:b w:val="1"/>
                <w:bCs w:val="1"/>
                <w:color w:val="auto"/>
                <w:w w:val="83"/>
              </w:rPr>
              <w:t>hedge</w:t>
            </w:r>
          </w:p>
        </w:tc>
        <w:tc>
          <w:tcPr>
            <w:tcW w:w="7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0"/>
              </w:rPr>
              <w:t>translation</w:t>
            </w:r>
          </w:p>
        </w:tc>
        <w:tc>
          <w:tcPr>
            <w:tcW w:w="740" w:type="dxa"/>
            <w:vAlign w:val="bottom"/>
            <w:gridSpan w:val="2"/>
            <w:vMerge w:val="continue"/>
          </w:tcPr>
          <w:p>
            <w:pPr>
              <w:spacing w:after="0"/>
              <w:rPr>
                <w:sz w:val="11"/>
                <w:szCs w:val="1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6"/>
              </w:rPr>
              <w:t>controlling</w:t>
            </w: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stock</w:t>
            </w:r>
          </w:p>
        </w:tc>
        <w:tc>
          <w:tcPr>
            <w:tcW w:w="6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82"/>
              </w:rPr>
              <w:t>stock</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surplus</w:t>
            </w:r>
          </w:p>
        </w:tc>
        <w:tc>
          <w:tcPr>
            <w:tcW w:w="6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investment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instruments (*)</w:t>
            </w:r>
          </w:p>
        </w:tc>
        <w:tc>
          <w:tcPr>
            <w:tcW w:w="94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instruments (*)</w:t>
            </w:r>
          </w:p>
        </w:tc>
        <w:tc>
          <w:tcPr>
            <w:tcW w:w="64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86"/>
              </w:rPr>
              <w:t>reserve</w:t>
            </w: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reserve</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earnings</w:t>
            </w:r>
          </w:p>
        </w:tc>
        <w:tc>
          <w:tcPr>
            <w:tcW w:w="700" w:type="dxa"/>
            <w:vAlign w:val="bottom"/>
            <w:gridSpan w:val="2"/>
            <w:vMerge w:val="continue"/>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940" w:type="dxa"/>
            <w:vAlign w:val="bottom"/>
            <w:tcBorders>
              <w:top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S/(000)</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3"/>
                <w:szCs w:val="13"/>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8"/>
              </w:rPr>
              <w:t>S/(000)</w:t>
            </w:r>
          </w:p>
        </w:tc>
        <w:tc>
          <w:tcPr>
            <w:tcW w:w="180" w:type="dxa"/>
            <w:vAlign w:val="bottom"/>
          </w:tcPr>
          <w:p>
            <w:pPr>
              <w:spacing w:after="0"/>
              <w:rPr>
                <w:sz w:val="13"/>
                <w:szCs w:val="13"/>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1120" w:type="dxa"/>
            <w:vAlign w:val="bottom"/>
            <w:tcBorders>
              <w:right w:val="single" w:sz="8" w:color="CCEEFF"/>
            </w:tcBorders>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Balances at</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w w:val="99"/>
              </w:rPr>
              <w:t>January 1, 2016</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1,318,993</w:t>
            </w:r>
          </w:p>
        </w:tc>
        <w:tc>
          <w:tcPr>
            <w:tcW w:w="14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3"/>
                <w:szCs w:val="13"/>
                <w:color w:val="auto"/>
                <w:w w:val="86"/>
              </w:rPr>
              <w:t>(208,978)</w:t>
            </w: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0"/>
              </w:rPr>
              <w:t>284,171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11,222,031</w:t>
            </w:r>
          </w:p>
        </w:tc>
        <w:tc>
          <w:tcPr>
            <w:tcW w:w="74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(340,353)</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652,904</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45,050</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64,741</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3"/>
              </w:rPr>
              <w:t>3,089,457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16,128,016</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599,554</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16,727,570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w w:val="91"/>
              </w:rPr>
              <w:t>Changes in equity in</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4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2016 -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Net profit for the</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year</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w w:val="93"/>
              </w:rPr>
              <w:t>3,514,582</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6"/>
              </w:rPr>
              <w:t>3,514,582</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95,398</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3"/>
              </w:rPr>
              <w:t>3,609,980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Other</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comprehensive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income, Note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Pr>
          <w:p>
            <w:pPr>
              <w:ind w:left="120"/>
              <w:spacing w:after="0"/>
              <w:rPr>
                <w:sz w:val="20"/>
                <w:szCs w:val="20"/>
                <w:color w:val="auto"/>
              </w:rPr>
            </w:pPr>
            <w:r>
              <w:rPr>
                <w:rFonts w:ascii="Arial" w:cs="Arial" w:eastAsia="Arial" w:hAnsi="Arial"/>
                <w:sz w:val="13"/>
                <w:szCs w:val="13"/>
                <w:color w:val="auto"/>
              </w:rPr>
              <w:t>17(d)</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493,884</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
              <w:spacing w:after="0"/>
              <w:rPr>
                <w:sz w:val="20"/>
                <w:szCs w:val="20"/>
                <w:color w:val="auto"/>
              </w:rPr>
            </w:pPr>
            <w:r>
              <w:rPr>
                <w:rFonts w:ascii="Arial" w:cs="Arial" w:eastAsia="Arial" w:hAnsi="Arial"/>
                <w:sz w:val="13"/>
                <w:szCs w:val="13"/>
                <w:color w:val="auto"/>
              </w:rPr>
              <w:t>(20,400)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(26,448)</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447,036</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2,261</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449,297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20" w:type="dxa"/>
            <w:vAlign w:val="bottom"/>
            <w:tcBorders>
              <w:top w:val="single" w:sz="8" w:color="CCEEFF"/>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Total comprehensive</w:t>
            </w: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940" w:type="dxa"/>
            <w:vAlign w:val="bottom"/>
            <w:tcBorders>
              <w:top w:val="single" w:sz="8" w:color="auto"/>
              <w:right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income</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493,884</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
              <w:spacing w:after="0" w:line="146" w:lineRule="exact"/>
              <w:rPr>
                <w:sz w:val="20"/>
                <w:szCs w:val="20"/>
                <w:color w:val="auto"/>
              </w:rPr>
            </w:pPr>
            <w:r>
              <w:rPr>
                <w:rFonts w:ascii="Arial" w:cs="Arial" w:eastAsia="Arial" w:hAnsi="Arial"/>
                <w:sz w:val="13"/>
                <w:szCs w:val="13"/>
                <w:color w:val="auto"/>
              </w:rPr>
              <w:t>(20,400)</w:t>
            </w:r>
          </w:p>
        </w:tc>
        <w:tc>
          <w:tcPr>
            <w:tcW w:w="7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(26,448)</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w w:val="93"/>
              </w:rPr>
              <w:t>3,514,582</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6"/>
              </w:rPr>
              <w:t>3,961,618</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97,659</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3"/>
              </w:rPr>
              <w:t>4,059,277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w w:val="95"/>
              </w:rPr>
              <w:t>Transfer of retained</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earnings to</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reserves, Note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17(c)</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w w:val="96"/>
              </w:rPr>
              <w:t>2,316,370</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w w:val="87"/>
              </w:rPr>
              <w:t>(2,316,370)</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Dividend</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w w:val="98"/>
              </w:rPr>
              <w:t>distribution, Note</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17(e)</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(653,326)</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(653,326)</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(653,326)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Dividends of</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subsidiaries</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(34,514)</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(34,514)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w w:val="90"/>
              </w:rPr>
              <w:t>Purchase of treasury</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w w:val="96"/>
              </w:rPr>
              <w:t>stock, Note 17(b)</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78"/>
              <w:spacing w:after="0" w:line="146" w:lineRule="exact"/>
              <w:rPr>
                <w:sz w:val="20"/>
                <w:szCs w:val="20"/>
                <w:color w:val="auto"/>
              </w:rPr>
            </w:pPr>
            <w:r>
              <w:rPr>
                <w:rFonts w:ascii="Arial" w:cs="Arial" w:eastAsia="Arial" w:hAnsi="Arial"/>
                <w:sz w:val="13"/>
                <w:szCs w:val="13"/>
                <w:color w:val="auto"/>
              </w:rPr>
              <w:t>(2,604)</w:t>
            </w:r>
          </w:p>
        </w:tc>
        <w:tc>
          <w:tcPr>
            <w:tcW w:w="5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86"/>
              </w:rPr>
              <w:t>(63,924)</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(66,528)</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(66,528)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Share-based</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payment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transactions</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2,260</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w w:val="95"/>
              </w:rPr>
              <w:t>60,629</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690</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63,579</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63,579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Acquisition of non-</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controlling</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interest, Note</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2(d)</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340,353</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(123,980)</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216,373</w:t>
            </w:r>
          </w:p>
        </w:tc>
        <w:tc>
          <w:tcPr>
            <w:tcW w:w="82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(216,373)</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Others</w:t>
            </w:r>
          </w:p>
        </w:tc>
        <w:tc>
          <w:tcPr>
            <w:tcW w:w="6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3"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6,403</w:t>
            </w:r>
          </w:p>
        </w:tc>
        <w:tc>
          <w:tcPr>
            <w:tcW w:w="7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6,403</w:t>
            </w:r>
          </w:p>
        </w:tc>
        <w:tc>
          <w:tcPr>
            <w:tcW w:w="8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14,050</w:t>
            </w: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20,453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120" w:type="dxa"/>
            <w:vAlign w:val="bottom"/>
            <w:tcBorders>
              <w:top w:val="single" w:sz="8" w:color="CCEEFF"/>
              <w:right w:val="single" w:sz="8" w:color="CCEEFF"/>
            </w:tcBorders>
            <w:shd w:val="clear" w:color="auto" w:fill="CCEEFF"/>
          </w:tcPr>
          <w:p>
            <w:pPr>
              <w:spacing w:after="0" w:line="91" w:lineRule="exact"/>
              <w:rPr>
                <w:sz w:val="20"/>
                <w:szCs w:val="20"/>
                <w:color w:val="auto"/>
              </w:rPr>
            </w:pPr>
            <w:r>
              <w:rPr>
                <w:rFonts w:ascii="Arial" w:cs="Arial" w:eastAsia="Arial" w:hAnsi="Arial"/>
                <w:sz w:val="9"/>
                <w:szCs w:val="9"/>
                <w:b w:val="1"/>
                <w:bCs w:val="1"/>
                <w:color w:val="auto"/>
              </w:rPr>
              <w:t>Balances at</w:t>
            </w: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right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940" w:type="dxa"/>
            <w:vAlign w:val="bottom"/>
            <w:tcBorders>
              <w:top w:val="single" w:sz="8" w:color="auto"/>
              <w:right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December 31,</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2016</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1,318,993</w:t>
            </w:r>
          </w:p>
        </w:tc>
        <w:tc>
          <w:tcPr>
            <w:tcW w:w="14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3"/>
                <w:szCs w:val="13"/>
                <w:color w:val="auto"/>
                <w:w w:val="86"/>
              </w:rPr>
              <w:t>(209,322)</w:t>
            </w: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0"/>
              </w:rPr>
              <w:t>280,876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13,539,091</w:t>
            </w:r>
          </w:p>
        </w:tc>
        <w:tc>
          <w:tcPr>
            <w:tcW w:w="74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1,146,788</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24,650</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38,293</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3"/>
              </w:rPr>
              <w:t>3,516,766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19,656,135</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460,376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20,116,511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w w:val="91"/>
              </w:rPr>
              <w:t>Changes in equity in</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2017 -</w:t>
            </w: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Net profit for the</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year</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93"/>
              </w:rPr>
              <w:t>4,091,753</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6"/>
              </w:rPr>
              <w:t>4,091,753</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89,895</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w w:val="93"/>
              </w:rPr>
              <w:t>4,181,648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Other</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comprehensive</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income, Note</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17(d)</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357,628</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(57,431)</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(54,334)</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245,863</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3,008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248,871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20" w:type="dxa"/>
            <w:vAlign w:val="bottom"/>
          </w:tcPr>
          <w:p>
            <w:pPr>
              <w:spacing w:after="0" w:line="95" w:lineRule="exact"/>
              <w:rPr>
                <w:sz w:val="20"/>
                <w:szCs w:val="20"/>
                <w:color w:val="auto"/>
              </w:rPr>
            </w:pPr>
            <w:r>
              <w:rPr>
                <w:rFonts w:ascii="Arial" w:cs="Arial" w:eastAsia="Arial" w:hAnsi="Arial"/>
                <w:sz w:val="9"/>
                <w:szCs w:val="9"/>
                <w:color w:val="auto"/>
              </w:rPr>
              <w:t>Total comprehensive</w:t>
            </w:r>
          </w:p>
        </w:tc>
        <w:tc>
          <w:tcPr>
            <w:tcW w:w="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income</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357,628</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
              <w:spacing w:after="0" w:line="146" w:lineRule="exact"/>
              <w:rPr>
                <w:sz w:val="20"/>
                <w:szCs w:val="20"/>
                <w:color w:val="auto"/>
              </w:rPr>
            </w:pPr>
            <w:r>
              <w:rPr>
                <w:rFonts w:ascii="Arial" w:cs="Arial" w:eastAsia="Arial" w:hAnsi="Arial"/>
                <w:sz w:val="13"/>
                <w:szCs w:val="13"/>
                <w:color w:val="auto"/>
              </w:rPr>
              <w:t>(57,431)</w:t>
            </w:r>
          </w:p>
        </w:tc>
        <w:tc>
          <w:tcPr>
            <w:tcW w:w="7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(54,334)</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93"/>
              </w:rPr>
              <w:t>4,091,753</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6"/>
              </w:rPr>
              <w:t>4,337,616</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92,903</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w w:val="93"/>
              </w:rPr>
              <w:t>4,430,519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w w:val="95"/>
              </w:rPr>
              <w:t>Transfer of retained</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earnings to</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reserves, Note</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17(c)</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w w:val="96"/>
              </w:rPr>
              <w:t>2,354,954</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w w:val="87"/>
              </w:rPr>
              <w:t>(2,354,954)</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Dividend</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w w:val="98"/>
              </w:rPr>
              <w:t>distribution, Note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17(e)</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(979,989)</w:t>
            </w: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(979,989)</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(979,989)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Dividends of</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subsidiaries</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(50,234)</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(50,234)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Additional</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dividends, Note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17(e)</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w w:val="90"/>
              </w:rPr>
              <w:t>(1,252,255)</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w w:val="90"/>
              </w:rPr>
              <w:t>(1,252,255)</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w w:val="87"/>
              </w:rPr>
              <w:t>(1,252,255)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w w:val="90"/>
              </w:rPr>
              <w:t>Purchase of treasury</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w w:val="96"/>
              </w:rPr>
              <w:t>stock, Note 17(b)</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78"/>
              <w:spacing w:after="0" w:line="146" w:lineRule="exact"/>
              <w:rPr>
                <w:sz w:val="20"/>
                <w:szCs w:val="20"/>
                <w:color w:val="auto"/>
              </w:rPr>
            </w:pPr>
            <w:r>
              <w:rPr>
                <w:rFonts w:ascii="Arial" w:cs="Arial" w:eastAsia="Arial" w:hAnsi="Arial"/>
                <w:sz w:val="13"/>
                <w:szCs w:val="13"/>
                <w:color w:val="auto"/>
              </w:rPr>
              <w:t>(2,141)</w:t>
            </w:r>
          </w:p>
        </w:tc>
        <w:tc>
          <w:tcPr>
            <w:tcW w:w="5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86"/>
              </w:rPr>
              <w:t>(68,867)</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(71,008)</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(71,008)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Share-based</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payment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transactions</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2,526</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w w:val="95"/>
              </w:rPr>
              <w:t>59,939</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5,919</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68,384</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68,384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Others</w:t>
            </w:r>
          </w:p>
        </w:tc>
        <w:tc>
          <w:tcPr>
            <w:tcW w:w="660" w:type="dxa"/>
            <w:vAlign w:val="bottom"/>
            <w:tcBorders>
              <w:right w:val="single" w:sz="8" w:color="CCEEFF"/>
            </w:tcBorders>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3"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(2,316)</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(2,316)</w:t>
            </w:r>
          </w:p>
        </w:tc>
        <w:tc>
          <w:tcPr>
            <w:tcW w:w="820" w:type="dxa"/>
            <w:vAlign w:val="bottom"/>
            <w:tcBorders>
              <w:right w:val="single" w:sz="8" w:color="CCEEFF"/>
            </w:tcBorders>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(5,909)</w:t>
            </w:r>
          </w:p>
        </w:tc>
        <w:tc>
          <w:tcPr>
            <w:tcW w:w="6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(8,225)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120" w:type="dxa"/>
            <w:vAlign w:val="bottom"/>
          </w:tcPr>
          <w:p>
            <w:pPr>
              <w:spacing w:after="0" w:line="91" w:lineRule="exact"/>
              <w:rPr>
                <w:sz w:val="20"/>
                <w:szCs w:val="20"/>
                <w:color w:val="auto"/>
              </w:rPr>
            </w:pPr>
            <w:r>
              <w:rPr>
                <w:rFonts w:ascii="Arial" w:cs="Arial" w:eastAsia="Arial" w:hAnsi="Arial"/>
                <w:sz w:val="9"/>
                <w:szCs w:val="9"/>
                <w:b w:val="1"/>
                <w:bCs w:val="1"/>
                <w:color w:val="auto"/>
              </w:rPr>
              <w:t>Balances at</w:t>
            </w:r>
          </w:p>
        </w:tc>
        <w:tc>
          <w:tcPr>
            <w:tcW w:w="5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b w:val="1"/>
                <w:bCs w:val="1"/>
                <w:color w:val="auto"/>
              </w:rPr>
              <w:t>December 31,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2017</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1,318,993</w:t>
            </w:r>
          </w:p>
        </w:tc>
        <w:tc>
          <w:tcPr>
            <w:tcW w:w="140" w:type="dxa"/>
            <w:vAlign w:val="bottom"/>
          </w:tcPr>
          <w:p>
            <w:pPr>
              <w:spacing w:after="0"/>
              <w:rPr>
                <w:sz w:val="13"/>
                <w:szCs w:val="13"/>
                <w:color w:val="auto"/>
              </w:rPr>
            </w:pPr>
          </w:p>
        </w:tc>
        <w:tc>
          <w:tcPr>
            <w:tcW w:w="620" w:type="dxa"/>
            <w:vAlign w:val="bottom"/>
            <w:gridSpan w:val="2"/>
          </w:tcPr>
          <w:p>
            <w:pPr>
              <w:jc w:val="right"/>
              <w:ind w:right="78"/>
              <w:spacing w:after="0"/>
              <w:rPr>
                <w:sz w:val="20"/>
                <w:szCs w:val="20"/>
                <w:color w:val="auto"/>
              </w:rPr>
            </w:pPr>
            <w:r>
              <w:rPr>
                <w:rFonts w:ascii="Arial" w:cs="Arial" w:eastAsia="Arial" w:hAnsi="Arial"/>
                <w:sz w:val="13"/>
                <w:szCs w:val="13"/>
                <w:color w:val="auto"/>
                <w:w w:val="86"/>
              </w:rPr>
              <w:t>(208,937)</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w w:val="80"/>
              </w:rPr>
              <w:t>271,948</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14,647,709</w:t>
            </w: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1,504,416</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
              <w:spacing w:after="0"/>
              <w:rPr>
                <w:sz w:val="20"/>
                <w:szCs w:val="20"/>
                <w:color w:val="auto"/>
              </w:rPr>
            </w:pPr>
            <w:r>
              <w:rPr>
                <w:rFonts w:ascii="Arial" w:cs="Arial" w:eastAsia="Arial" w:hAnsi="Arial"/>
                <w:sz w:val="13"/>
                <w:szCs w:val="13"/>
                <w:color w:val="auto"/>
              </w:rPr>
              <w:t>(32,781)</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(16,041)</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4,271,260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21,756,567</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497,136</w:t>
            </w:r>
          </w:p>
        </w:tc>
        <w:tc>
          <w:tcPr>
            <w:tcW w:w="560" w:type="dxa"/>
            <w:vAlign w:val="bottom"/>
          </w:tcPr>
          <w:p>
            <w:pPr>
              <w:jc w:val="right"/>
              <w:spacing w:after="0"/>
              <w:rPr>
                <w:sz w:val="20"/>
                <w:szCs w:val="20"/>
                <w:color w:val="auto"/>
              </w:rPr>
            </w:pPr>
            <w:r>
              <w:rPr>
                <w:rFonts w:ascii="Arial" w:cs="Arial" w:eastAsia="Arial" w:hAnsi="Arial"/>
                <w:sz w:val="13"/>
                <w:szCs w:val="13"/>
                <w:color w:val="auto"/>
                <w:w w:val="82"/>
              </w:rPr>
              <w:t>22,253,703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Change in</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accounting</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policy, Note 3(a)</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(1,504,416)</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853,747</w:t>
            </w: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431,711</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27,318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(191,640)</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(191,640)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120" w:type="dxa"/>
            <w:vAlign w:val="bottom"/>
          </w:tcPr>
          <w:p>
            <w:pPr>
              <w:spacing w:after="0" w:line="91" w:lineRule="exact"/>
              <w:rPr>
                <w:sz w:val="20"/>
                <w:szCs w:val="20"/>
                <w:color w:val="auto"/>
              </w:rPr>
            </w:pPr>
            <w:r>
              <w:rPr>
                <w:rFonts w:ascii="Arial" w:cs="Arial" w:eastAsia="Arial" w:hAnsi="Arial"/>
                <w:sz w:val="9"/>
                <w:szCs w:val="9"/>
                <w:b w:val="1"/>
                <w:bCs w:val="1"/>
                <w:color w:val="auto"/>
              </w:rPr>
              <w:t>Balances at</w:t>
            </w:r>
          </w:p>
        </w:tc>
        <w:tc>
          <w:tcPr>
            <w:tcW w:w="5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b w:val="1"/>
                <w:bCs w:val="1"/>
                <w:color w:val="auto"/>
                <w:w w:val="99"/>
              </w:rPr>
              <w:t>January 1, 2018</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3"/>
                <w:szCs w:val="13"/>
                <w:b w:val="1"/>
                <w:bCs w:val="1"/>
                <w:color w:val="auto"/>
              </w:rPr>
              <w:t>(restated)</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1,318,993</w:t>
            </w:r>
          </w:p>
        </w:tc>
        <w:tc>
          <w:tcPr>
            <w:tcW w:w="140" w:type="dxa"/>
            <w:vAlign w:val="bottom"/>
          </w:tcPr>
          <w:p>
            <w:pPr>
              <w:spacing w:after="0"/>
              <w:rPr>
                <w:sz w:val="14"/>
                <w:szCs w:val="14"/>
                <w:color w:val="auto"/>
              </w:rPr>
            </w:pPr>
          </w:p>
        </w:tc>
        <w:tc>
          <w:tcPr>
            <w:tcW w:w="620" w:type="dxa"/>
            <w:vAlign w:val="bottom"/>
            <w:gridSpan w:val="2"/>
          </w:tcPr>
          <w:p>
            <w:pPr>
              <w:jc w:val="right"/>
              <w:ind w:right="78"/>
              <w:spacing w:after="0"/>
              <w:rPr>
                <w:sz w:val="20"/>
                <w:szCs w:val="20"/>
                <w:color w:val="auto"/>
              </w:rPr>
            </w:pPr>
            <w:r>
              <w:rPr>
                <w:rFonts w:ascii="Arial" w:cs="Arial" w:eastAsia="Arial" w:hAnsi="Arial"/>
                <w:sz w:val="13"/>
                <w:szCs w:val="13"/>
                <w:color w:val="auto"/>
                <w:w w:val="86"/>
              </w:rPr>
              <w:t>(208,937)</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w w:val="80"/>
              </w:rPr>
              <w:t>271,948</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14,647,709</w:t>
            </w: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853,747</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431,711</w:t>
            </w:r>
          </w:p>
        </w:tc>
        <w:tc>
          <w:tcPr>
            <w:tcW w:w="640" w:type="dxa"/>
            <w:vAlign w:val="bottom"/>
            <w:gridSpan w:val="2"/>
          </w:tcPr>
          <w:p>
            <w:pPr>
              <w:jc w:val="right"/>
              <w:ind w:right="38"/>
              <w:spacing w:after="0"/>
              <w:rPr>
                <w:sz w:val="20"/>
                <w:szCs w:val="20"/>
                <w:color w:val="auto"/>
              </w:rPr>
            </w:pPr>
            <w:r>
              <w:rPr>
                <w:rFonts w:ascii="Arial" w:cs="Arial" w:eastAsia="Arial" w:hAnsi="Arial"/>
                <w:sz w:val="13"/>
                <w:szCs w:val="13"/>
                <w:color w:val="auto"/>
              </w:rPr>
              <w:t>(32,781)</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(16,041)</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4,298,578</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21,564,927</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497,136</w:t>
            </w:r>
          </w:p>
        </w:tc>
        <w:tc>
          <w:tcPr>
            <w:tcW w:w="560" w:type="dxa"/>
            <w:vAlign w:val="bottom"/>
          </w:tcPr>
          <w:p>
            <w:pPr>
              <w:jc w:val="right"/>
              <w:spacing w:after="0"/>
              <w:rPr>
                <w:sz w:val="20"/>
                <w:szCs w:val="20"/>
                <w:color w:val="auto"/>
              </w:rPr>
            </w:pPr>
            <w:r>
              <w:rPr>
                <w:rFonts w:ascii="Arial" w:cs="Arial" w:eastAsia="Arial" w:hAnsi="Arial"/>
                <w:sz w:val="13"/>
                <w:szCs w:val="13"/>
                <w:color w:val="auto"/>
                <w:w w:val="82"/>
              </w:rPr>
              <w:t>22,062,063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20" w:type="dxa"/>
            <w:vAlign w:val="bottom"/>
            <w:tcBorders>
              <w:top w:val="single" w:sz="8" w:color="CCEEFF"/>
              <w:right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40" w:type="dxa"/>
            <w:vAlign w:val="bottom"/>
            <w:tcBorders>
              <w:top w:val="single" w:sz="8" w:color="auto"/>
              <w:right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w w:val="91"/>
              </w:rPr>
              <w:t>Changes in equity in</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4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2018 -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Net profit for the</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year</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w w:val="93"/>
              </w:rPr>
              <w:t>3,983,865</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6"/>
              </w:rPr>
              <w:t>3,983,865</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87,440</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3"/>
              </w:rPr>
              <w:t>4,071,305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Other</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comprehensive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income, Note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Pr>
          <w:p>
            <w:pPr>
              <w:ind w:left="120"/>
              <w:spacing w:after="0"/>
              <w:rPr>
                <w:sz w:val="20"/>
                <w:szCs w:val="20"/>
                <w:color w:val="auto"/>
              </w:rPr>
            </w:pPr>
            <w:r>
              <w:rPr>
                <w:rFonts w:ascii="Arial" w:cs="Arial" w:eastAsia="Arial" w:hAnsi="Arial"/>
                <w:sz w:val="13"/>
                <w:szCs w:val="13"/>
                <w:color w:val="auto"/>
              </w:rPr>
              <w:t>17(d)</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(624,277)</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20,840</w:t>
            </w:r>
          </w:p>
        </w:tc>
        <w:tc>
          <w:tcPr>
            <w:tcW w:w="640" w:type="dxa"/>
            <w:vAlign w:val="bottom"/>
            <w:gridSpan w:val="2"/>
          </w:tcPr>
          <w:p>
            <w:pPr>
              <w:jc w:val="right"/>
              <w:ind w:right="78"/>
              <w:spacing w:after="0"/>
              <w:rPr>
                <w:sz w:val="20"/>
                <w:szCs w:val="20"/>
                <w:color w:val="auto"/>
              </w:rPr>
            </w:pPr>
            <w:r>
              <w:rPr>
                <w:rFonts w:ascii="Arial" w:cs="Arial" w:eastAsia="Arial" w:hAnsi="Arial"/>
                <w:sz w:val="13"/>
                <w:szCs w:val="13"/>
                <w:color w:val="auto"/>
              </w:rPr>
              <w:t>29,620</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45,634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(528,183)</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(5,734)</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(533,917)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20" w:type="dxa"/>
            <w:vAlign w:val="bottom"/>
            <w:tcBorders>
              <w:top w:val="single" w:sz="8" w:color="CCEEFF"/>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Total comprehensive</w:t>
            </w: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940" w:type="dxa"/>
            <w:vAlign w:val="bottom"/>
            <w:tcBorders>
              <w:top w:val="single" w:sz="8" w:color="auto"/>
              <w:right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income</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(624,277)</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20,840</w:t>
            </w:r>
          </w:p>
        </w:tc>
        <w:tc>
          <w:tcPr>
            <w:tcW w:w="640" w:type="dxa"/>
            <w:vAlign w:val="bottom"/>
            <w:gridSpan w:val="2"/>
            <w:shd w:val="clear" w:color="auto" w:fill="CCEEFF"/>
          </w:tcPr>
          <w:p>
            <w:pPr>
              <w:jc w:val="right"/>
              <w:ind w:right="78"/>
              <w:spacing w:after="0" w:line="146" w:lineRule="exact"/>
              <w:rPr>
                <w:sz w:val="20"/>
                <w:szCs w:val="20"/>
                <w:color w:val="auto"/>
              </w:rPr>
            </w:pPr>
            <w:r>
              <w:rPr>
                <w:rFonts w:ascii="Arial" w:cs="Arial" w:eastAsia="Arial" w:hAnsi="Arial"/>
                <w:sz w:val="13"/>
                <w:szCs w:val="13"/>
                <w:color w:val="auto"/>
              </w:rPr>
              <w:t>29,620</w:t>
            </w: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45,634</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w w:val="93"/>
              </w:rPr>
              <w:t>3,983,865</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6"/>
              </w:rPr>
              <w:t>3,455,682</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81,706</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3"/>
              </w:rPr>
              <w:t>3,537,388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w w:val="95"/>
              </w:rPr>
              <w:t>Transfer of retained</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earnings to</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3"/>
                <w:szCs w:val="13"/>
                <w:color w:val="auto"/>
              </w:rPr>
              <w:t>reserves, Note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17(c)</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w w:val="96"/>
              </w:rPr>
              <w:t>2,933,617</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w w:val="87"/>
              </w:rPr>
              <w:t>(2,933,617)</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Dividend</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w w:val="98"/>
              </w:rPr>
              <w:t>distribution, Note</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17(e)</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w w:val="87"/>
              </w:rPr>
              <w:t>(1,130,427)</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w w:val="90"/>
              </w:rPr>
              <w:t>(1,130,427)</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w w:val="87"/>
              </w:rPr>
              <w:t>(1,130,427)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rPr>
              <w:t>Dividends of</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rPr>
              <w:t>subsidiaries</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(45,134)</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(45,134)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Acquisition of non-</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controlling</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interest</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(70,046)</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(70,046)</w:t>
            </w:r>
          </w:p>
        </w:tc>
        <w:tc>
          <w:tcPr>
            <w:tcW w:w="82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(104,426)</w:t>
            </w: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(174,472)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line="114" w:lineRule="exact"/>
              <w:rPr>
                <w:sz w:val="20"/>
                <w:szCs w:val="20"/>
                <w:color w:val="auto"/>
              </w:rPr>
            </w:pPr>
            <w:r>
              <w:rPr>
                <w:rFonts w:ascii="Arial" w:cs="Arial" w:eastAsia="Arial" w:hAnsi="Arial"/>
                <w:sz w:val="13"/>
                <w:szCs w:val="13"/>
                <w:color w:val="auto"/>
                <w:w w:val="90"/>
              </w:rPr>
              <w:t>Purchase of treasury</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Pr>
          <w:p>
            <w:pPr>
              <w:ind w:left="120"/>
              <w:spacing w:after="0" w:line="146" w:lineRule="exact"/>
              <w:rPr>
                <w:sz w:val="20"/>
                <w:szCs w:val="20"/>
                <w:color w:val="auto"/>
              </w:rPr>
            </w:pPr>
            <w:r>
              <w:rPr>
                <w:rFonts w:ascii="Arial" w:cs="Arial" w:eastAsia="Arial" w:hAnsi="Arial"/>
                <w:sz w:val="13"/>
                <w:szCs w:val="13"/>
                <w:color w:val="auto"/>
                <w:w w:val="96"/>
              </w:rPr>
              <w:t>stock, Note 17(b)</w:t>
            </w:r>
          </w:p>
        </w:tc>
        <w:tc>
          <w:tcPr>
            <w:tcW w:w="6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78"/>
              <w:spacing w:after="0" w:line="146" w:lineRule="exact"/>
              <w:rPr>
                <w:sz w:val="20"/>
                <w:szCs w:val="20"/>
                <w:color w:val="auto"/>
              </w:rPr>
            </w:pPr>
            <w:r>
              <w:rPr>
                <w:rFonts w:ascii="Arial" w:cs="Arial" w:eastAsia="Arial" w:hAnsi="Arial"/>
                <w:sz w:val="13"/>
                <w:szCs w:val="13"/>
                <w:color w:val="auto"/>
              </w:rPr>
              <w:t>(1,869)</w:t>
            </w:r>
          </w:p>
        </w:tc>
        <w:tc>
          <w:tcPr>
            <w:tcW w:w="5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86"/>
              </w:rPr>
              <w:t>(93,544)</w:t>
            </w: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(95,413)</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(95,413)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Share-based</w:t>
            </w: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right w:val="single" w:sz="8" w:color="CCEEFF"/>
            </w:tcBorders>
            <w:shd w:val="clear" w:color="auto" w:fill="CCEEFF"/>
          </w:tcPr>
          <w:p>
            <w:pPr>
              <w:ind w:left="120"/>
              <w:spacing w:after="0" w:line="131" w:lineRule="exact"/>
              <w:rPr>
                <w:sz w:val="20"/>
                <w:szCs w:val="20"/>
                <w:color w:val="auto"/>
              </w:rPr>
            </w:pPr>
            <w:r>
              <w:rPr>
                <w:rFonts w:ascii="Arial" w:cs="Arial" w:eastAsia="Arial" w:hAnsi="Arial"/>
                <w:sz w:val="13"/>
                <w:szCs w:val="13"/>
                <w:color w:val="auto"/>
              </w:rPr>
              <w:t>payment</w:t>
            </w: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20" w:type="dxa"/>
            <w:vAlign w:val="bottom"/>
            <w:tcBorders>
              <w:right w:val="single" w:sz="8" w:color="CCEEFF"/>
            </w:tcBorders>
            <w:shd w:val="clear" w:color="auto" w:fill="CCEEFF"/>
          </w:tcPr>
          <w:p>
            <w:pPr>
              <w:ind w:left="120"/>
              <w:spacing w:after="0" w:line="146" w:lineRule="exact"/>
              <w:rPr>
                <w:sz w:val="20"/>
                <w:szCs w:val="20"/>
                <w:color w:val="auto"/>
              </w:rPr>
            </w:pPr>
            <w:r>
              <w:rPr>
                <w:rFonts w:ascii="Arial" w:cs="Arial" w:eastAsia="Arial" w:hAnsi="Arial"/>
                <w:sz w:val="13"/>
                <w:szCs w:val="13"/>
                <w:color w:val="auto"/>
              </w:rPr>
              <w:t>transactions</w:t>
            </w:r>
          </w:p>
        </w:tc>
        <w:tc>
          <w:tcPr>
            <w:tcW w:w="6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2,812</w:t>
            </w:r>
          </w:p>
        </w:tc>
        <w:tc>
          <w:tcPr>
            <w:tcW w:w="56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w w:val="95"/>
              </w:rPr>
              <w:t>67,790</w:t>
            </w: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17,230</w:t>
            </w:r>
          </w:p>
        </w:tc>
        <w:tc>
          <w:tcPr>
            <w:tcW w:w="740" w:type="dxa"/>
            <w:vAlign w:val="bottom"/>
            <w:tcBorders>
              <w:right w:val="single" w:sz="8" w:color="CCEEFF"/>
            </w:tcBorders>
            <w:gridSpan w:val="2"/>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87,832</w:t>
            </w:r>
          </w:p>
        </w:tc>
        <w:tc>
          <w:tcPr>
            <w:tcW w:w="820" w:type="dxa"/>
            <w:vAlign w:val="bottom"/>
            <w:tcBorders>
              <w:right w:val="single" w:sz="8" w:color="CCEEFF"/>
            </w:tcBorders>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87,832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Others</w:t>
            </w:r>
          </w:p>
        </w:tc>
        <w:tc>
          <w:tcPr>
            <w:tcW w:w="6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18"/>
              <w:spacing w:after="0" w:line="143"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26,688</w:t>
            </w:r>
          </w:p>
        </w:tc>
        <w:tc>
          <w:tcPr>
            <w:tcW w:w="7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26,688</w:t>
            </w: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(2,449)</w:t>
            </w: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24,239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Borders>
              <w:top w:val="single" w:sz="8" w:color="CCEEFF"/>
              <w:right w:val="single" w:sz="8" w:color="CCEEFF"/>
            </w:tcBorders>
            <w:shd w:val="clear" w:color="auto" w:fill="CCEEFF"/>
          </w:tcPr>
          <w:p>
            <w:pPr>
              <w:spacing w:after="0" w:line="99" w:lineRule="exact"/>
              <w:rPr>
                <w:sz w:val="20"/>
                <w:szCs w:val="20"/>
                <w:color w:val="auto"/>
              </w:rPr>
            </w:pPr>
            <w:r>
              <w:rPr>
                <w:rFonts w:ascii="Arial" w:cs="Arial" w:eastAsia="Arial" w:hAnsi="Arial"/>
                <w:sz w:val="11"/>
                <w:szCs w:val="11"/>
                <w:b w:val="1"/>
                <w:bCs w:val="1"/>
                <w:color w:val="auto"/>
              </w:rPr>
              <w:t>Balances at</w:t>
            </w:r>
          </w:p>
        </w:tc>
        <w:tc>
          <w:tcPr>
            <w:tcW w:w="5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1,318,993</w:t>
            </w: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(207,994</w:t>
            </w:r>
          </w:p>
        </w:tc>
        <w:tc>
          <w:tcPr>
            <w:tcW w:w="160" w:type="dxa"/>
            <w:vAlign w:val="bottom"/>
            <w:tcBorders>
              <w:top w:val="single" w:sz="8" w:color="CCEEFF"/>
              <w:right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40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w w:val="95"/>
              </w:rPr>
              <w:t>246,194</w:t>
            </w: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17,598,556</w:t>
            </w: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229,470</w:t>
            </w: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940" w:type="dxa"/>
            <w:vAlign w:val="bottom"/>
            <w:tcBorders>
              <w:top w:val="single" w:sz="8" w:color="auto"/>
              <w:right w:val="single" w:sz="8" w:color="CCEEFF"/>
            </w:tcBorders>
            <w:shd w:val="clear" w:color="auto" w:fill="CCEEFF"/>
          </w:tcPr>
          <w:p>
            <w:pPr>
              <w:jc w:val="right"/>
              <w:ind w:right="57"/>
              <w:spacing w:after="0" w:line="99" w:lineRule="exact"/>
              <w:rPr>
                <w:sz w:val="20"/>
                <w:szCs w:val="20"/>
                <w:color w:val="auto"/>
              </w:rPr>
            </w:pPr>
            <w:r>
              <w:rPr>
                <w:rFonts w:ascii="Arial" w:cs="Arial" w:eastAsia="Arial" w:hAnsi="Arial"/>
                <w:sz w:val="11"/>
                <w:szCs w:val="11"/>
                <w:color w:val="auto"/>
              </w:rPr>
              <w:t>452,551</w:t>
            </w:r>
          </w:p>
        </w:tc>
        <w:tc>
          <w:tcPr>
            <w:tcW w:w="5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(3,161</w:t>
            </w:r>
          </w:p>
        </w:tc>
        <w:tc>
          <w:tcPr>
            <w:tcW w:w="12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58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29,593</w:t>
            </w: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4,175,041</w:t>
            </w: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23,839,243</w:t>
            </w: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rPr>
              <w:t>426,833</w:t>
            </w: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1"/>
                <w:szCs w:val="11"/>
                <w:color w:val="auto"/>
                <w:w w:val="98"/>
              </w:rPr>
              <w:t>24,266,076</w:t>
            </w: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Borders>
              <w:bottom w:val="single" w:sz="8" w:color="CCEEFF"/>
              <w:right w:val="single" w:sz="8" w:color="CCEEFF"/>
            </w:tcBorders>
            <w:shd w:val="clear" w:color="auto" w:fill="CCEEFF"/>
          </w:tcPr>
          <w:p>
            <w:pPr>
              <w:ind w:left="120"/>
              <w:spacing w:after="0" w:line="123" w:lineRule="exact"/>
              <w:rPr>
                <w:sz w:val="20"/>
                <w:szCs w:val="20"/>
                <w:color w:val="auto"/>
              </w:rPr>
            </w:pPr>
            <w:r>
              <w:rPr>
                <w:rFonts w:ascii="Arial" w:cs="Arial" w:eastAsia="Arial" w:hAnsi="Arial"/>
                <w:sz w:val="13"/>
                <w:szCs w:val="13"/>
                <w:b w:val="1"/>
                <w:bCs w:val="1"/>
                <w:color w:val="auto"/>
              </w:rPr>
              <w:t>December 31,</w:t>
            </w: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4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bottom w:val="single" w:sz="8" w:color="CCEEFF"/>
              <w:right w:val="single" w:sz="8" w:color="CCEEFF"/>
            </w:tcBorders>
            <w:vMerge w:val="restart"/>
            <w:shd w:val="clear" w:color="auto" w:fill="CCEEFF"/>
          </w:tcPr>
          <w:p>
            <w:pPr>
              <w:ind w:left="120"/>
              <w:spacing w:after="0" w:line="76" w:lineRule="exact"/>
              <w:rPr>
                <w:sz w:val="20"/>
                <w:szCs w:val="20"/>
                <w:color w:val="auto"/>
              </w:rPr>
            </w:pPr>
            <w:r>
              <w:rPr>
                <w:rFonts w:ascii="Arial" w:cs="Arial" w:eastAsia="Arial" w:hAnsi="Arial"/>
                <w:sz w:val="8"/>
                <w:szCs w:val="8"/>
                <w:b w:val="1"/>
                <w:bCs w:val="1"/>
                <w:color w:val="auto"/>
              </w:rPr>
              <w:t>2018</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bottom w:val="single" w:sz="8" w:color="auto"/>
              <w:right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940" w:type="dxa"/>
            <w:vAlign w:val="bottom"/>
            <w:tcBorders>
              <w:right w:val="single" w:sz="8" w:color="CCEEFF"/>
            </w:tcBorders>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40"/>
          </w:cols>
          <w:pgMar w:left="240" w:top="810" w:right="219" w:bottom="0" w:gutter="0" w:footer="0" w:header="0"/>
        </w:sectPr>
      </w:pPr>
    </w:p>
    <w:bookmarkStart w:id="19" w:name="page20"/>
    <w:bookmarkEnd w:id="19"/>
    <w:p>
      <w:pPr>
        <w:ind w:left="5" w:right="4599" w:hanging="5"/>
        <w:spacing w:after="0" w:line="624" w:lineRule="auto"/>
        <w:tabs>
          <w:tab w:leader="none" w:pos="229" w:val="left"/>
        </w:tabs>
        <w:numPr>
          <w:ilvl w:val="0"/>
          <w:numId w:val="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2407285</wp:posOffset>
            </wp:positionH>
            <wp:positionV relativeFrom="page">
              <wp:posOffset>88900</wp:posOffset>
            </wp:positionV>
            <wp:extent cx="7556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565" cy="15240"/>
                    </a:xfrm>
                    <a:prstGeom prst="rect">
                      <a:avLst/>
                    </a:prstGeom>
                    <a:noFill/>
                  </pic:spPr>
                </pic:pic>
              </a:graphicData>
            </a:graphic>
          </wp:anchor>
        </w:drawing>
        <w:drawing>
          <wp:anchor simplePos="0" relativeHeight="251657728" behindDoc="1" locked="0" layoutInCell="0" allowOverlap="1">
            <wp:simplePos x="0" y="0"/>
            <wp:positionH relativeFrom="page">
              <wp:posOffset>2874010</wp:posOffset>
            </wp:positionH>
            <wp:positionV relativeFrom="page">
              <wp:posOffset>88900</wp:posOffset>
            </wp:positionV>
            <wp:extent cx="7556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565" cy="15240"/>
                    </a:xfrm>
                    <a:prstGeom prst="rect">
                      <a:avLst/>
                    </a:prstGeom>
                    <a:noFill/>
                  </pic:spPr>
                </pic:pic>
              </a:graphicData>
            </a:graphic>
          </wp:anchor>
        </w:drawing>
        <w:drawing>
          <wp:anchor simplePos="0" relativeHeight="251657728" behindDoc="1" locked="0" layoutInCell="0" allowOverlap="1">
            <wp:simplePos x="0" y="0"/>
            <wp:positionH relativeFrom="page">
              <wp:posOffset>3415665</wp:posOffset>
            </wp:positionH>
            <wp:positionV relativeFrom="page">
              <wp:posOffset>88900</wp:posOffset>
            </wp:positionV>
            <wp:extent cx="755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5565" cy="15240"/>
                    </a:xfrm>
                    <a:prstGeom prst="rect">
                      <a:avLst/>
                    </a:prstGeom>
                    <a:noFill/>
                  </pic:spPr>
                </pic:pic>
              </a:graphicData>
            </a:graphic>
          </wp:anchor>
        </w:drawing>
        <w:drawing>
          <wp:anchor simplePos="0" relativeHeight="251657728" behindDoc="1" locked="0" layoutInCell="0" allowOverlap="1">
            <wp:simplePos x="0" y="0"/>
            <wp:positionH relativeFrom="page">
              <wp:posOffset>4010660</wp:posOffset>
            </wp:positionH>
            <wp:positionV relativeFrom="page">
              <wp:posOffset>88900</wp:posOffset>
            </wp:positionV>
            <wp:extent cx="755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565" cy="15240"/>
                    </a:xfrm>
                    <a:prstGeom prst="rect">
                      <a:avLst/>
                    </a:prstGeom>
                    <a:noFill/>
                  </pic:spPr>
                </pic:pic>
              </a:graphicData>
            </a:graphic>
          </wp:anchor>
        </w:drawing>
        <w:drawing>
          <wp:anchor simplePos="0" relativeHeight="251657728" behindDoc="1" locked="0" layoutInCell="0" allowOverlap="1">
            <wp:simplePos x="0" y="0"/>
            <wp:positionH relativeFrom="page">
              <wp:posOffset>4605020</wp:posOffset>
            </wp:positionH>
            <wp:positionV relativeFrom="page">
              <wp:posOffset>88900</wp:posOffset>
            </wp:positionV>
            <wp:extent cx="7556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565" cy="15240"/>
                    </a:xfrm>
                    <a:prstGeom prst="rect">
                      <a:avLst/>
                    </a:prstGeom>
                    <a:noFill/>
                  </pic:spPr>
                </pic:pic>
              </a:graphicData>
            </a:graphic>
          </wp:anchor>
        </w:drawing>
        <w:drawing>
          <wp:anchor simplePos="0" relativeHeight="251657728" behindDoc="1" locked="0" layoutInCell="0" allowOverlap="1">
            <wp:simplePos x="0" y="0"/>
            <wp:positionH relativeFrom="page">
              <wp:posOffset>5019040</wp:posOffset>
            </wp:positionH>
            <wp:positionV relativeFrom="page">
              <wp:posOffset>88900</wp:posOffset>
            </wp:positionV>
            <wp:extent cx="755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565" cy="15240"/>
                    </a:xfrm>
                    <a:prstGeom prst="rect">
                      <a:avLst/>
                    </a:prstGeom>
                    <a:noFill/>
                  </pic:spPr>
                </pic:pic>
              </a:graphicData>
            </a:graphic>
          </wp:anchor>
        </w:drawing>
        <w:drawing>
          <wp:anchor simplePos="0" relativeHeight="251657728" behindDoc="1" locked="0" layoutInCell="0" allowOverlap="1">
            <wp:simplePos x="0" y="0"/>
            <wp:positionH relativeFrom="page">
              <wp:posOffset>6411595</wp:posOffset>
            </wp:positionH>
            <wp:positionV relativeFrom="page">
              <wp:posOffset>88900</wp:posOffset>
            </wp:positionV>
            <wp:extent cx="8255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0" cy="15240"/>
                    </a:xfrm>
                    <a:prstGeom prst="rect">
                      <a:avLst/>
                    </a:prstGeom>
                    <a:noFill/>
                  </pic:spPr>
                </pic:pic>
              </a:graphicData>
            </a:graphic>
          </wp:anchor>
        </w:drawing>
        <w:drawing>
          <wp:anchor simplePos="0" relativeHeight="251657728" behindDoc="1" locked="0" layoutInCell="0" allowOverlap="1">
            <wp:simplePos x="0" y="0"/>
            <wp:positionH relativeFrom="page">
              <wp:posOffset>7367270</wp:posOffset>
            </wp:positionH>
            <wp:positionV relativeFrom="page">
              <wp:posOffset>88900</wp:posOffset>
            </wp:positionV>
            <wp:extent cx="4508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085" cy="15240"/>
                    </a:xfrm>
                    <a:prstGeom prst="rect">
                      <a:avLst/>
                    </a:prstGeom>
                    <a:noFill/>
                  </pic:spPr>
                </pic:pic>
              </a:graphicData>
            </a:graphic>
          </wp:anchor>
        </w:drawing>
        <w:drawing>
          <wp:anchor simplePos="0" relativeHeight="251657728" behindDoc="1" locked="0" layoutInCell="0" allowOverlap="1">
            <wp:simplePos x="0" y="0"/>
            <wp:positionH relativeFrom="page">
              <wp:posOffset>6878320</wp:posOffset>
            </wp:positionH>
            <wp:positionV relativeFrom="page">
              <wp:posOffset>88900</wp:posOffset>
            </wp:positionV>
            <wp:extent cx="12827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270" cy="15240"/>
                    </a:xfrm>
                    <a:prstGeom prst="rect">
                      <a:avLst/>
                    </a:prstGeom>
                    <a:noFill/>
                  </pic:spPr>
                </pic:pic>
              </a:graphicData>
            </a:graphic>
          </wp:anchor>
        </w:drawing>
        <w:drawing>
          <wp:anchor simplePos="0" relativeHeight="251657728" behindDoc="1" locked="0" layoutInCell="0" allowOverlap="1">
            <wp:simplePos x="0" y="0"/>
            <wp:positionH relativeFrom="page">
              <wp:posOffset>6968490</wp:posOffset>
            </wp:positionH>
            <wp:positionV relativeFrom="page">
              <wp:posOffset>111760</wp:posOffset>
            </wp:positionV>
            <wp:extent cx="3746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page">
              <wp:posOffset>5929630</wp:posOffset>
            </wp:positionH>
            <wp:positionV relativeFrom="page">
              <wp:posOffset>88900</wp:posOffset>
            </wp:positionV>
            <wp:extent cx="12065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650" cy="15240"/>
                    </a:xfrm>
                    <a:prstGeom prst="rect">
                      <a:avLst/>
                    </a:prstGeom>
                    <a:noFill/>
                  </pic:spPr>
                </pic:pic>
              </a:graphicData>
            </a:graphic>
          </wp:anchor>
        </w:drawing>
        <w:drawing>
          <wp:anchor simplePos="0" relativeHeight="251657728" behindDoc="1" locked="0" layoutInCell="0" allowOverlap="1">
            <wp:simplePos x="0" y="0"/>
            <wp:positionH relativeFrom="page">
              <wp:posOffset>6012180</wp:posOffset>
            </wp:positionH>
            <wp:positionV relativeFrom="page">
              <wp:posOffset>111760</wp:posOffset>
            </wp:positionV>
            <wp:extent cx="3746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page">
              <wp:posOffset>5462905</wp:posOffset>
            </wp:positionH>
            <wp:positionV relativeFrom="page">
              <wp:posOffset>88900</wp:posOffset>
            </wp:positionV>
            <wp:extent cx="11303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030" cy="15240"/>
                    </a:xfrm>
                    <a:prstGeom prst="rect">
                      <a:avLst/>
                    </a:prstGeom>
                    <a:noFill/>
                  </pic:spPr>
                </pic:pic>
              </a:graphicData>
            </a:graphic>
          </wp:anchor>
        </w:drawing>
        <w:drawing>
          <wp:anchor simplePos="0" relativeHeight="251657728" behindDoc="1" locked="0" layoutInCell="0" allowOverlap="1">
            <wp:simplePos x="0" y="0"/>
            <wp:positionH relativeFrom="page">
              <wp:posOffset>5538470</wp:posOffset>
            </wp:positionH>
            <wp:positionV relativeFrom="page">
              <wp:posOffset>111760</wp:posOffset>
            </wp:positionV>
            <wp:extent cx="374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page">
              <wp:posOffset>1948180</wp:posOffset>
            </wp:positionH>
            <wp:positionV relativeFrom="page">
              <wp:posOffset>88900</wp:posOffset>
            </wp:positionV>
            <wp:extent cx="977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 cy="15240"/>
                    </a:xfrm>
                    <a:prstGeom prst="rect">
                      <a:avLst/>
                    </a:prstGeom>
                    <a:noFill/>
                  </pic:spPr>
                </pic:pic>
              </a:graphicData>
            </a:graphic>
          </wp:anchor>
        </w:drawing>
        <w:drawing>
          <wp:anchor simplePos="0" relativeHeight="251657728" behindDoc="1" locked="0" layoutInCell="0" allowOverlap="1">
            <wp:simplePos x="0" y="0"/>
            <wp:positionH relativeFrom="page">
              <wp:posOffset>2015490</wp:posOffset>
            </wp:positionH>
            <wp:positionV relativeFrom="page">
              <wp:posOffset>111760</wp:posOffset>
            </wp:positionV>
            <wp:extent cx="2984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page">
              <wp:posOffset>1586865</wp:posOffset>
            </wp:positionH>
            <wp:positionV relativeFrom="page">
              <wp:posOffset>88900</wp:posOffset>
            </wp:positionV>
            <wp:extent cx="9779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 cy="15240"/>
                    </a:xfrm>
                    <a:prstGeom prst="rect">
                      <a:avLst/>
                    </a:prstGeom>
                    <a:noFill/>
                  </pic:spPr>
                </pic:pic>
              </a:graphicData>
            </a:graphic>
          </wp:anchor>
        </w:drawing>
        <w:drawing>
          <wp:anchor simplePos="0" relativeHeight="251657728" behindDoc="1" locked="0" layoutInCell="0" allowOverlap="1">
            <wp:simplePos x="0" y="0"/>
            <wp:positionH relativeFrom="page">
              <wp:posOffset>1654175</wp:posOffset>
            </wp:positionH>
            <wp:positionV relativeFrom="page">
              <wp:posOffset>111760</wp:posOffset>
            </wp:positionV>
            <wp:extent cx="2984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88900</wp:posOffset>
            </wp:positionV>
            <wp:extent cx="9017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170" cy="15240"/>
                    </a:xfrm>
                    <a:prstGeom prst="rect">
                      <a:avLst/>
                    </a:prstGeom>
                    <a:noFill/>
                  </pic:spPr>
                </pic:pic>
              </a:graphicData>
            </a:graphic>
          </wp:anchor>
        </w:drawing>
        <w:drawing>
          <wp:anchor simplePos="0" relativeHeight="251657728" behindDoc="1" locked="0" layoutInCell="0" allowOverlap="1">
            <wp:simplePos x="0" y="0"/>
            <wp:positionH relativeFrom="page">
              <wp:posOffset>1263015</wp:posOffset>
            </wp:positionH>
            <wp:positionV relativeFrom="page">
              <wp:posOffset>111760</wp:posOffset>
            </wp:positionV>
            <wp:extent cx="2984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88900</wp:posOffset>
            </wp:positionV>
            <wp:extent cx="73025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250" cy="15240"/>
                    </a:xfrm>
                    <a:prstGeom prst="rect">
                      <a:avLst/>
                    </a:prstGeom>
                    <a:noFill/>
                  </pic:spPr>
                </pic:pic>
              </a:graphicData>
            </a:graphic>
          </wp:anchor>
        </w:drawing>
        <w:drawing>
          <wp:anchor simplePos="0" relativeHeight="251657728" behindDoc="1" locked="0" layoutInCell="0" allowOverlap="1">
            <wp:simplePos x="0" y="0"/>
            <wp:positionH relativeFrom="page">
              <wp:posOffset>848995</wp:posOffset>
            </wp:positionH>
            <wp:positionV relativeFrom="page">
              <wp:posOffset>111760</wp:posOffset>
            </wp:positionV>
            <wp:extent cx="2984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845" cy="7620"/>
                    </a:xfrm>
                    <a:prstGeom prst="rect">
                      <a:avLst/>
                    </a:prstGeom>
                    <a:noFill/>
                  </pic:spPr>
                </pic:pic>
              </a:graphicData>
            </a:graphic>
          </wp:anchor>
        </w:drawing>
        <w:t>These are classified as investments at fair value through other comprehensive income The accompanying notes are an integral part of these consolidated financial statements.</w:t>
      </w:r>
    </w:p>
    <w:p>
      <w:pPr>
        <w:spacing w:after="0" w:line="111" w:lineRule="exact"/>
        <w:rPr>
          <w:rFonts w:ascii="Arial" w:cs="Arial" w:eastAsia="Arial" w:hAnsi="Arial"/>
          <w:sz w:val="14"/>
          <w:szCs w:val="14"/>
          <w:color w:val="auto"/>
        </w:rPr>
      </w:pPr>
    </w:p>
    <w:p>
      <w:pPr>
        <w:ind w:left="5645" w:hanging="91"/>
        <w:spacing w:after="0"/>
        <w:tabs>
          <w:tab w:leader="none" w:pos="5645" w:val="left"/>
        </w:tabs>
        <w:numPr>
          <w:ilvl w:val="1"/>
          <w:numId w:val="9"/>
        </w:numPr>
        <w:rPr>
          <w:rFonts w:ascii="Arial" w:cs="Arial" w:eastAsia="Arial" w:hAnsi="Arial"/>
          <w:sz w:val="15"/>
          <w:szCs w:val="15"/>
          <w:color w:val="auto"/>
        </w:rPr>
      </w:pPr>
      <w:r>
        <w:rPr>
          <w:rFonts w:ascii="Arial" w:cs="Arial" w:eastAsia="Arial" w:hAnsi="Arial"/>
          <w:sz w:val="15"/>
          <w:szCs w:val="15"/>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2631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224"/>
          </w:cols>
          <w:pgMar w:left="235" w:top="364"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5"/>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SUBSIDIARIAS</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5420" w:type="dxa"/>
            <w:vAlign w:val="bottom"/>
            <w:gridSpan w:val="2"/>
          </w:tcPr>
          <w:p>
            <w:pPr>
              <w:spacing w:after="0"/>
              <w:rPr>
                <w:sz w:val="20"/>
                <w:szCs w:val="20"/>
                <w:color w:val="auto"/>
              </w:rPr>
            </w:pPr>
            <w:r>
              <w:rPr>
                <w:rFonts w:ascii="Arial" w:cs="Arial" w:eastAsia="Arial" w:hAnsi="Arial"/>
                <w:sz w:val="16"/>
                <w:szCs w:val="16"/>
                <w:color w:val="auto"/>
              </w:rPr>
              <w:t>CONSOLIDATED STATEMENT OF CASH FLOWS</w:t>
            </w: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20" w:type="dxa"/>
            <w:vAlign w:val="bottom"/>
            <w:gridSpan w:val="2"/>
          </w:tcPr>
          <w:p>
            <w:pPr>
              <w:spacing w:after="0"/>
              <w:rPr>
                <w:sz w:val="20"/>
                <w:szCs w:val="20"/>
                <w:color w:val="auto"/>
              </w:rPr>
            </w:pPr>
            <w:r>
              <w:rPr>
                <w:rFonts w:ascii="Arial" w:cs="Arial" w:eastAsia="Arial" w:hAnsi="Arial"/>
                <w:sz w:val="16"/>
                <w:szCs w:val="16"/>
                <w:color w:val="auto"/>
              </w:rPr>
              <w:t>FOR THE YEARS ENDED DECEMBER 31, 2018, 2017 AND 2016</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80" w:type="dxa"/>
            <w:vAlign w:val="bottom"/>
          </w:tcPr>
          <w:p>
            <w:pPr>
              <w:jc w:val="center"/>
              <w:ind w:left="441"/>
              <w:spacing w:after="0"/>
              <w:rPr>
                <w:sz w:val="20"/>
                <w:szCs w:val="20"/>
                <w:color w:val="auto"/>
              </w:rPr>
            </w:pPr>
            <w:r>
              <w:rPr>
                <w:rFonts w:ascii="Arial" w:cs="Arial" w:eastAsia="Arial" w:hAnsi="Arial"/>
                <w:sz w:val="16"/>
                <w:szCs w:val="16"/>
                <w:b w:val="1"/>
                <w:bCs w:val="1"/>
                <w:color w:val="auto"/>
                <w:w w:val="89"/>
              </w:rPr>
              <w:t>Note</w:t>
            </w: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5"/>
              </w:rPr>
              <w:t>S/000</w:t>
            </w:r>
          </w:p>
        </w:tc>
        <w:tc>
          <w:tcPr>
            <w:tcW w:w="2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5"/>
              </w:rPr>
              <w:t>S/000</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5"/>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FROM OPERATING ACTIVITIES</w:t>
            </w:r>
          </w:p>
        </w:tc>
        <w:tc>
          <w:tcPr>
            <w:tcW w:w="16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Net profit for the year</w:t>
            </w:r>
          </w:p>
        </w:tc>
        <w:tc>
          <w:tcPr>
            <w:tcW w:w="16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4,071,305</w:t>
            </w:r>
          </w:p>
        </w:tc>
        <w:tc>
          <w:tcPr>
            <w:tcW w:w="2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4,181,648</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3,609,980</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b w:val="1"/>
                <w:bCs w:val="1"/>
                <w:color w:val="auto"/>
                <w:w w:val="90"/>
              </w:rPr>
              <w:t>Adjustment to reconcile net profit to net cash arising from operating activities:</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168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1"/>
              </w:rPr>
              <w:t>7(d)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1,814,898</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2,057,478</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2,063,209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80" w:type="dxa"/>
            <w:vAlign w:val="bottom"/>
          </w:tcPr>
          <w:p>
            <w:pPr>
              <w:jc w:val="center"/>
              <w:ind w:left="441"/>
              <w:spacing w:after="0"/>
              <w:rPr>
                <w:sz w:val="20"/>
                <w:szCs w:val="20"/>
                <w:color w:val="auto"/>
              </w:rPr>
            </w:pPr>
            <w:r>
              <w:rPr>
                <w:rFonts w:ascii="Arial" w:cs="Arial" w:eastAsia="Arial" w:hAnsi="Arial"/>
                <w:sz w:val="16"/>
                <w:szCs w:val="16"/>
                <w:color w:val="auto"/>
                <w:w w:val="88"/>
              </w:rPr>
              <w:t>10 and 11(a)</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429,122</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419,975</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407,061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Depreciation of investment properties</w:t>
            </w:r>
          </w:p>
        </w:tc>
        <w:tc>
          <w:tcPr>
            <w:tcW w:w="168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0"/>
              </w:rPr>
              <w:t>12(e)</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7,405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6,440</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Deferred income tax</w:t>
            </w:r>
          </w:p>
        </w:tc>
        <w:tc>
          <w:tcPr>
            <w:tcW w:w="1680" w:type="dxa"/>
            <w:vAlign w:val="bottom"/>
          </w:tcPr>
          <w:p>
            <w:pPr>
              <w:jc w:val="center"/>
              <w:ind w:left="461"/>
              <w:spacing w:after="0"/>
              <w:rPr>
                <w:sz w:val="20"/>
                <w:szCs w:val="20"/>
                <w:color w:val="auto"/>
              </w:rPr>
            </w:pPr>
            <w:r>
              <w:rPr>
                <w:rFonts w:ascii="Arial" w:cs="Arial" w:eastAsia="Arial" w:hAnsi="Arial"/>
                <w:sz w:val="16"/>
                <w:szCs w:val="16"/>
                <w:color w:val="auto"/>
                <w:w w:val="90"/>
              </w:rPr>
              <w:t>18(b)</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91,101</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(3,556)</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28,228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Adjustment of technical reserves</w:t>
            </w:r>
          </w:p>
        </w:tc>
        <w:tc>
          <w:tcPr>
            <w:tcW w:w="168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0"/>
              </w:rPr>
              <w:t>24(a)</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713,433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605,072</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507,484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Net gain on securities</w:t>
            </w:r>
          </w:p>
        </w:tc>
        <w:tc>
          <w:tcPr>
            <w:tcW w:w="1680" w:type="dxa"/>
            <w:vAlign w:val="bottom"/>
          </w:tcPr>
          <w:p>
            <w:pPr>
              <w:jc w:val="center"/>
              <w:ind w:left="441"/>
              <w:spacing w:after="0"/>
              <w:rPr>
                <w:sz w:val="20"/>
                <w:szCs w:val="20"/>
                <w:color w:val="auto"/>
              </w:rPr>
            </w:pPr>
            <w:r>
              <w:rPr>
                <w:rFonts w:ascii="Arial" w:cs="Arial" w:eastAsia="Arial" w:hAnsi="Arial"/>
                <w:sz w:val="16"/>
                <w:szCs w:val="16"/>
                <w:color w:val="auto"/>
                <w:w w:val="89"/>
              </w:rPr>
              <w:t>23</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(242,829)</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(760,772)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(339,930)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goodwill</w:t>
            </w:r>
          </w:p>
        </w:tc>
        <w:tc>
          <w:tcPr>
            <w:tcW w:w="168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0"/>
              </w:rPr>
              <w:t>11(b)</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38,189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Provision for sundry risks</w:t>
            </w:r>
          </w:p>
        </w:tc>
        <w:tc>
          <w:tcPr>
            <w:tcW w:w="1680" w:type="dxa"/>
            <w:vAlign w:val="bottom"/>
          </w:tcPr>
          <w:p>
            <w:pPr>
              <w:jc w:val="center"/>
              <w:ind w:left="441"/>
              <w:spacing w:after="0"/>
              <w:rPr>
                <w:sz w:val="20"/>
                <w:szCs w:val="20"/>
                <w:color w:val="auto"/>
              </w:rPr>
            </w:pPr>
            <w:r>
              <w:rPr>
                <w:rFonts w:ascii="Arial" w:cs="Arial" w:eastAsia="Arial" w:hAnsi="Arial"/>
                <w:sz w:val="16"/>
                <w:szCs w:val="16"/>
                <w:color w:val="auto"/>
                <w:w w:val="97"/>
              </w:rPr>
              <w:t>12(f)</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42,236</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29,023</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28,093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w w:val="94"/>
              </w:rPr>
              <w:t>Net loss (gain) on financial assets designated at fair value through profit and loss</w:t>
            </w:r>
          </w:p>
        </w:tc>
        <w:tc>
          <w:tcPr>
            <w:tcW w:w="168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89"/>
              </w:rPr>
              <w:t>8</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53,935</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(67,633)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Net gain of trading derivatives</w:t>
            </w:r>
          </w:p>
        </w:tc>
        <w:tc>
          <w:tcPr>
            <w:tcW w:w="16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(13,262)</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(103,580)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(44,500)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(Gain) loss on sales of property, furniture and equipment</w:t>
            </w:r>
          </w:p>
        </w:tc>
        <w:tc>
          <w:tcPr>
            <w:tcW w:w="16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(54,952)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(36,970)</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45,076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Net loss (gain) from sale of seized and recovered assets</w:t>
            </w:r>
          </w:p>
        </w:tc>
        <w:tc>
          <w:tcPr>
            <w:tcW w:w="1680" w:type="dxa"/>
            <w:vAlign w:val="bottom"/>
          </w:tcPr>
          <w:p>
            <w:pPr>
              <w:jc w:val="center"/>
              <w:ind w:left="441"/>
              <w:spacing w:after="0"/>
              <w:rPr>
                <w:sz w:val="20"/>
                <w:szCs w:val="20"/>
                <w:color w:val="auto"/>
              </w:rPr>
            </w:pPr>
            <w:r>
              <w:rPr>
                <w:rFonts w:ascii="Arial" w:cs="Arial" w:eastAsia="Arial" w:hAnsi="Arial"/>
                <w:sz w:val="16"/>
                <w:szCs w:val="16"/>
                <w:color w:val="auto"/>
                <w:w w:val="89"/>
              </w:rPr>
              <w:t>28</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3,411</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(2,494)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Expense for share-based payment transactions</w:t>
            </w:r>
          </w:p>
        </w:tc>
        <w:tc>
          <w:tcPr>
            <w:tcW w:w="168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89"/>
              </w:rPr>
              <w:t>26</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65,547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62,043</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73,930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Others</w:t>
            </w:r>
          </w:p>
        </w:tc>
        <w:tc>
          <w:tcPr>
            <w:tcW w:w="16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(16,022)</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2,363</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78,254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changes in assets and liabilities</w:t>
            </w:r>
          </w:p>
        </w:tc>
        <w:tc>
          <w:tcPr>
            <w:tcW w:w="16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b w:val="1"/>
                <w:bCs w:val="1"/>
                <w:color w:val="auto"/>
              </w:rPr>
              <w:t>Net (increase) decrease in assets</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Loans</w:t>
            </w:r>
          </w:p>
        </w:tc>
        <w:tc>
          <w:tcPr>
            <w:tcW w:w="16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(10,236,155)</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(8,387,767)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(6,636,536)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Investments at fair value through profit or loss</w:t>
            </w:r>
          </w:p>
        </w:tc>
        <w:tc>
          <w:tcPr>
            <w:tcW w:w="16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530,918</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(16,400)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(1,694,949)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Investments at fair value through other comprehensive income</w:t>
            </w:r>
          </w:p>
        </w:tc>
        <w:tc>
          <w:tcPr>
            <w:tcW w:w="16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(837,699)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Investments available-for-sale</w:t>
            </w:r>
          </w:p>
        </w:tc>
        <w:tc>
          <w:tcPr>
            <w:tcW w:w="16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(5,380,789)</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562,679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Cash collateral, reverse repurchase agreements and securities borrowings</w:t>
            </w:r>
          </w:p>
        </w:tc>
        <w:tc>
          <w:tcPr>
            <w:tcW w:w="16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3,604,105</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3,134,530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Other assets</w:t>
            </w:r>
          </w:p>
        </w:tc>
        <w:tc>
          <w:tcPr>
            <w:tcW w:w="16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(1,078,163)</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425,245</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1,502,444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liabilities</w:t>
            </w:r>
          </w:p>
        </w:tc>
        <w:tc>
          <w:tcPr>
            <w:tcW w:w="16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16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5,583,328</w:t>
            </w:r>
          </w:p>
        </w:tc>
        <w:tc>
          <w:tcPr>
            <w:tcW w:w="2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12,779,204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(1,981,653)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6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267,383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661,747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(188,720)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16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(4,069,121)</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(1,661,576)</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518,755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Bonds and notes issued</w:t>
            </w:r>
          </w:p>
        </w:tc>
        <w:tc>
          <w:tcPr>
            <w:tcW w:w="16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(1,264,573)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788,144</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274,766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Other liabilities</w:t>
            </w:r>
          </w:p>
        </w:tc>
        <w:tc>
          <w:tcPr>
            <w:tcW w:w="16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1,481,198</w:t>
            </w:r>
          </w:p>
        </w:tc>
        <w:tc>
          <w:tcPr>
            <w:tcW w:w="2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1,584,847</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1,004,803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Income tax paid</w:t>
            </w:r>
          </w:p>
        </w:tc>
        <w:tc>
          <w:tcPr>
            <w:tcW w:w="16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(1,106,700)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(1,014,907)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(1,108,641)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0" w:type="dxa"/>
            <w:vAlign w:val="bottom"/>
          </w:tcPr>
          <w:p>
            <w:pPr>
              <w:spacing w:after="0" w:line="181" w:lineRule="exact"/>
              <w:rPr>
                <w:sz w:val="20"/>
                <w:szCs w:val="20"/>
                <w:color w:val="auto"/>
              </w:rPr>
            </w:pPr>
            <w:r>
              <w:rPr>
                <w:rFonts w:ascii="Arial" w:cs="Arial" w:eastAsia="Arial" w:hAnsi="Arial"/>
                <w:sz w:val="16"/>
                <w:szCs w:val="16"/>
                <w:b w:val="1"/>
                <w:bCs w:val="1"/>
                <w:color w:val="auto"/>
              </w:rPr>
              <w:t>Net cash flow from operating activities</w:t>
            </w:r>
          </w:p>
        </w:tc>
        <w:tc>
          <w:tcPr>
            <w:tcW w:w="168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(121,962</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9,301,315</w:t>
            </w:r>
          </w:p>
        </w:tc>
        <w:tc>
          <w:tcPr>
            <w:tcW w:w="2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(1,367,604</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121"/>
              <w:spacing w:after="0"/>
              <w:rPr>
                <w:sz w:val="20"/>
                <w:szCs w:val="20"/>
                <w:color w:val="auto"/>
              </w:rPr>
            </w:pPr>
            <w:r>
              <w:rPr>
                <w:rFonts w:ascii="Arial" w:cs="Arial" w:eastAsia="Arial" w:hAnsi="Arial"/>
                <w:sz w:val="16"/>
                <w:szCs w:val="16"/>
                <w:color w:val="auto"/>
              </w:rPr>
              <w:t>- 14 -</w:t>
            </w: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0" w:right="21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40" w:type="dxa"/>
            <w:vAlign w:val="bottom"/>
            <w:gridSpan w:val="2"/>
          </w:tcPr>
          <w:p>
            <w:pPr>
              <w:spacing w:after="0"/>
              <w:rPr>
                <w:sz w:val="20"/>
                <w:szCs w:val="20"/>
                <w:color w:val="auto"/>
              </w:rPr>
            </w:pPr>
            <w:r>
              <w:rPr>
                <w:rFonts w:ascii="Arial" w:cs="Arial" w:eastAsia="Arial" w:hAnsi="Arial"/>
                <w:sz w:val="16"/>
                <w:szCs w:val="16"/>
                <w:color w:val="auto"/>
              </w:rPr>
              <w:t>CONSOLIDATED STATEMENT OF CASH FLOWS (CONTINUED)</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6"/>
                <w:szCs w:val="16"/>
                <w:b w:val="1"/>
                <w:bCs w:val="1"/>
                <w:color w:val="auto"/>
              </w:rPr>
              <w:t>Note</w:t>
            </w: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5"/>
              </w:rPr>
              <w:t>S/000</w:t>
            </w:r>
          </w:p>
        </w:tc>
        <w:tc>
          <w:tcPr>
            <w:tcW w:w="2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5"/>
              </w:rPr>
              <w:t>S/000</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5"/>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Revenue from sale of property, furniture and equipment</w:t>
            </w:r>
          </w:p>
        </w:tc>
        <w:tc>
          <w:tcPr>
            <w:tcW w:w="96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95,063</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44,137</w:t>
            </w:r>
          </w:p>
        </w:tc>
        <w:tc>
          <w:tcPr>
            <w:tcW w:w="1360" w:type="dxa"/>
            <w:vAlign w:val="bottom"/>
            <w:gridSpan w:val="2"/>
          </w:tcPr>
          <w:p>
            <w:pPr>
              <w:jc w:val="right"/>
              <w:ind w:right="41"/>
              <w:spacing w:after="0"/>
              <w:rPr>
                <w:sz w:val="20"/>
                <w:szCs w:val="20"/>
                <w:color w:val="auto"/>
              </w:rPr>
            </w:pPr>
            <w:r>
              <w:rPr>
                <w:rFonts w:ascii="Arial" w:cs="Arial" w:eastAsia="Arial" w:hAnsi="Arial"/>
                <w:sz w:val="16"/>
                <w:szCs w:val="16"/>
                <w:color w:val="auto"/>
              </w:rPr>
              <w:t>47,044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Revenue from sale of investment property</w:t>
            </w:r>
          </w:p>
        </w:tc>
        <w:tc>
          <w:tcPr>
            <w:tcW w:w="9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25,628</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115,705</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Purchase of property, furniture and equipment</w:t>
            </w:r>
          </w:p>
        </w:tc>
        <w:tc>
          <w:tcPr>
            <w:tcW w:w="960" w:type="dxa"/>
            <w:vAlign w:val="bottom"/>
          </w:tcPr>
          <w:p>
            <w:pPr>
              <w:jc w:val="center"/>
              <w:ind w:right="121"/>
              <w:spacing w:after="0"/>
              <w:rPr>
                <w:sz w:val="20"/>
                <w:szCs w:val="20"/>
                <w:color w:val="auto"/>
              </w:rPr>
            </w:pPr>
            <w:r>
              <w:rPr>
                <w:rFonts w:ascii="Arial" w:cs="Arial" w:eastAsia="Arial" w:hAnsi="Arial"/>
                <w:sz w:val="16"/>
                <w:szCs w:val="16"/>
                <w:color w:val="auto"/>
                <w:w w:val="89"/>
              </w:rPr>
              <w:t>10</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(181,459)</w:t>
            </w: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(143,851)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(110,151)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Purchase of investment property</w:t>
            </w:r>
          </w:p>
        </w:tc>
        <w:tc>
          <w:tcPr>
            <w:tcW w:w="96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12(e)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(49,519)</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(9,217)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(88,186)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Additions of intangible assets</w:t>
            </w:r>
          </w:p>
        </w:tc>
        <w:tc>
          <w:tcPr>
            <w:tcW w:w="960" w:type="dxa"/>
            <w:vAlign w:val="bottom"/>
          </w:tcPr>
          <w:p>
            <w:pPr>
              <w:jc w:val="center"/>
              <w:ind w:right="121"/>
              <w:spacing w:after="0"/>
              <w:rPr>
                <w:sz w:val="20"/>
                <w:szCs w:val="20"/>
                <w:color w:val="auto"/>
              </w:rPr>
            </w:pPr>
            <w:r>
              <w:rPr>
                <w:rFonts w:ascii="Arial" w:cs="Arial" w:eastAsia="Arial" w:hAnsi="Arial"/>
                <w:sz w:val="16"/>
                <w:szCs w:val="16"/>
                <w:color w:val="auto"/>
                <w:w w:val="85"/>
              </w:rPr>
              <w:t>11(a)</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(419,789)</w:t>
            </w: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(271,722)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(277,346)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Amortized cost investments</w:t>
            </w:r>
          </w:p>
        </w:tc>
        <w:tc>
          <w:tcPr>
            <w:tcW w:w="9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295,990</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Held-to-maturity investments</w:t>
            </w:r>
          </w:p>
        </w:tc>
        <w:tc>
          <w:tcPr>
            <w:tcW w:w="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670,620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(1,550,332)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Net cash flows from investing activities</w:t>
            </w:r>
          </w:p>
        </w:tc>
        <w:tc>
          <w:tcPr>
            <w:tcW w:w="9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(234,086</w:t>
            </w:r>
          </w:p>
        </w:tc>
        <w:tc>
          <w:tcPr>
            <w:tcW w:w="24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405,672</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(1,978,971</w:t>
            </w:r>
          </w:p>
        </w:tc>
        <w:tc>
          <w:tcPr>
            <w:tcW w:w="12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9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Dividends paid</w:t>
            </w:r>
          </w:p>
        </w:tc>
        <w:tc>
          <w:tcPr>
            <w:tcW w:w="960" w:type="dxa"/>
            <w:vAlign w:val="bottom"/>
          </w:tcPr>
          <w:p>
            <w:pPr>
              <w:jc w:val="center"/>
              <w:ind w:right="101"/>
              <w:spacing w:after="0"/>
              <w:rPr>
                <w:sz w:val="20"/>
                <w:szCs w:val="20"/>
                <w:color w:val="auto"/>
              </w:rPr>
            </w:pPr>
            <w:r>
              <w:rPr>
                <w:rFonts w:ascii="Arial" w:cs="Arial" w:eastAsia="Arial" w:hAnsi="Arial"/>
                <w:sz w:val="16"/>
                <w:szCs w:val="16"/>
                <w:color w:val="auto"/>
                <w:w w:val="90"/>
              </w:rPr>
              <w:t>17(e)</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(1,130,427)</w:t>
            </w: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(979,989)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(653,326)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Additional dividends</w:t>
            </w:r>
          </w:p>
        </w:tc>
        <w:tc>
          <w:tcPr>
            <w:tcW w:w="96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17(e)</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(1,252,255)</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Subordinated bonds and notes issued</w:t>
            </w:r>
          </w:p>
        </w:tc>
        <w:tc>
          <w:tcPr>
            <w:tcW w:w="9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(40,049)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(401,257)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stock</w:t>
            </w:r>
          </w:p>
        </w:tc>
        <w:tc>
          <w:tcPr>
            <w:tcW w:w="96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17(b)</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(95,413)</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(71,008)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(66,528)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Acquisition of non-controlling interest</w:t>
            </w:r>
          </w:p>
        </w:tc>
        <w:tc>
          <w:tcPr>
            <w:tcW w:w="9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(174,472)</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(489,866)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Net cash flows from financing activities</w:t>
            </w:r>
          </w:p>
        </w:tc>
        <w:tc>
          <w:tcPr>
            <w:tcW w:w="9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(1,400,312</w:t>
            </w:r>
          </w:p>
        </w:tc>
        <w:tc>
          <w:tcPr>
            <w:tcW w:w="24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(2,343,301</w:t>
            </w:r>
          </w:p>
        </w:tc>
        <w:tc>
          <w:tcPr>
            <w:tcW w:w="220" w:type="dxa"/>
            <w:vAlign w:val="bottom"/>
            <w:tcBorders>
              <w:top w:val="single" w:sz="8" w:color="CCEEFF"/>
            </w:tcBorders>
            <w:shd w:val="clear" w:color="auto" w:fill="CCEEFF"/>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(1,610,977</w:t>
            </w:r>
          </w:p>
        </w:tc>
        <w:tc>
          <w:tcPr>
            <w:tcW w:w="12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12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color w:val="auto"/>
                <w:w w:val="88"/>
              </w:rPr>
              <w:t>Net increase (decrease) of cash and cash equivalents before effect of changes in exchange</w:t>
            </w:r>
          </w:p>
        </w:tc>
        <w:tc>
          <w:tcPr>
            <w:tcW w:w="9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jc w:val="right"/>
              <w:ind w:right="5661"/>
              <w:spacing w:after="0"/>
              <w:rPr>
                <w:sz w:val="20"/>
                <w:szCs w:val="20"/>
                <w:color w:val="auto"/>
              </w:rPr>
            </w:pPr>
            <w:r>
              <w:rPr>
                <w:rFonts w:ascii="Arial" w:cs="Arial" w:eastAsia="Arial" w:hAnsi="Arial"/>
                <w:sz w:val="16"/>
                <w:szCs w:val="16"/>
                <w:b w:val="1"/>
                <w:bCs w:val="1"/>
                <w:color w:val="auto"/>
              </w:rPr>
              <w:t>rate</w:t>
            </w:r>
          </w:p>
        </w:tc>
        <w:tc>
          <w:tcPr>
            <w:tcW w:w="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(1,756,360)</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7,363,686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(4,957,552)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20" w:type="dxa"/>
            <w:vAlign w:val="bottom"/>
          </w:tcPr>
          <w:p>
            <w:pPr>
              <w:spacing w:after="0" w:line="181" w:lineRule="exact"/>
              <w:rPr>
                <w:sz w:val="20"/>
                <w:szCs w:val="20"/>
                <w:color w:val="auto"/>
              </w:rPr>
            </w:pPr>
            <w:r>
              <w:rPr>
                <w:rFonts w:ascii="Arial" w:cs="Arial" w:eastAsia="Arial" w:hAnsi="Arial"/>
                <w:sz w:val="16"/>
                <w:szCs w:val="16"/>
                <w:color w:val="auto"/>
              </w:rPr>
              <w:t>Effect of changes in exchange rate of cash and cash equivalents</w:t>
            </w:r>
          </w:p>
        </w:tc>
        <w:tc>
          <w:tcPr>
            <w:tcW w:w="960" w:type="dxa"/>
            <w:vAlign w:val="bottom"/>
          </w:tcPr>
          <w:p>
            <w:pPr>
              <w:spacing w:after="0"/>
              <w:rPr>
                <w:sz w:val="15"/>
                <w:szCs w:val="15"/>
                <w:color w:val="auto"/>
              </w:rPr>
            </w:pPr>
          </w:p>
        </w:tc>
        <w:tc>
          <w:tcPr>
            <w:tcW w:w="12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704,966</w:t>
            </w:r>
          </w:p>
        </w:tc>
        <w:tc>
          <w:tcPr>
            <w:tcW w:w="24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(784,685)</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(454,120)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the beginning of the year</w:t>
            </w:r>
          </w:p>
        </w:tc>
        <w:tc>
          <w:tcPr>
            <w:tcW w:w="9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23,212,197</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16,633,196</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22,044,868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96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22,160,803</w:t>
            </w:r>
          </w:p>
        </w:tc>
        <w:tc>
          <w:tcPr>
            <w:tcW w:w="24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23,212,197</w:t>
            </w:r>
          </w:p>
        </w:tc>
        <w:tc>
          <w:tcPr>
            <w:tcW w:w="2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16,633,196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b w:val="1"/>
                <w:bCs w:val="1"/>
                <w:color w:val="auto"/>
              </w:rPr>
              <w:t>Additional information from cash flows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Interest received</w:t>
            </w:r>
          </w:p>
        </w:tc>
        <w:tc>
          <w:tcPr>
            <w:tcW w:w="9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11,469,209</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10,935,640</w:t>
            </w:r>
          </w:p>
        </w:tc>
        <w:tc>
          <w:tcPr>
            <w:tcW w:w="13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10,640,157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Interest paid</w:t>
            </w:r>
          </w:p>
        </w:tc>
        <w:tc>
          <w:tcPr>
            <w:tcW w:w="9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(3,034,140)</w:t>
            </w:r>
          </w:p>
        </w:tc>
        <w:tc>
          <w:tcPr>
            <w:tcW w:w="1460" w:type="dxa"/>
            <w:vAlign w:val="bottom"/>
            <w:gridSpan w:val="2"/>
          </w:tcPr>
          <w:p>
            <w:pPr>
              <w:jc w:val="right"/>
              <w:ind w:right="81"/>
              <w:spacing w:after="0"/>
              <w:rPr>
                <w:sz w:val="20"/>
                <w:szCs w:val="20"/>
                <w:color w:val="auto"/>
              </w:rPr>
            </w:pPr>
            <w:r>
              <w:rPr>
                <w:rFonts w:ascii="Arial" w:cs="Arial" w:eastAsia="Arial" w:hAnsi="Arial"/>
                <w:sz w:val="16"/>
                <w:szCs w:val="16"/>
                <w:color w:val="auto"/>
              </w:rPr>
              <w:t>(2,885,989)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(2,772,891)</w:t>
            </w:r>
          </w:p>
        </w:tc>
        <w:tc>
          <w:tcPr>
            <w:tcW w:w="0" w:type="dxa"/>
            <w:vAlign w:val="bottom"/>
          </w:tcPr>
          <w:p>
            <w:pPr>
              <w:spacing w:after="0"/>
              <w:rPr>
                <w:sz w:val="1"/>
                <w:szCs w:val="1"/>
                <w:color w:val="auto"/>
              </w:rPr>
            </w:pPr>
          </w:p>
        </w:tc>
      </w:tr>
      <w:tr>
        <w:trPr>
          <w:trHeight w:val="557"/>
        </w:trPr>
        <w:tc>
          <w:tcPr>
            <w:tcW w:w="20" w:type="dxa"/>
            <w:vAlign w:val="bottom"/>
          </w:tcPr>
          <w:p>
            <w:pPr>
              <w:spacing w:after="0"/>
              <w:rPr>
                <w:sz w:val="24"/>
                <w:szCs w:val="24"/>
                <w:color w:val="auto"/>
              </w:rPr>
            </w:pPr>
          </w:p>
        </w:tc>
        <w:tc>
          <w:tcPr>
            <w:tcW w:w="6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- 15 -</w:t>
            </w: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4" w:right="219" w:bottom="1440" w:gutter="0" w:footer="0" w:header="0"/>
        </w:sectPr>
      </w:pPr>
    </w:p>
    <w:bookmarkStart w:id="22" w:name="page23"/>
    <w:bookmarkEnd w:id="22"/>
    <w:p>
      <w:pPr>
        <w:ind w:left="5"/>
        <w:spacing w:after="0"/>
        <w:rPr>
          <w:sz w:val="20"/>
          <w:szCs w:val="20"/>
          <w:color w:val="auto"/>
        </w:rPr>
      </w:pPr>
      <w:r>
        <w:rPr>
          <w:rFonts w:ascii="Arial" w:cs="Arial" w:eastAsia="Arial" w:hAnsi="Arial"/>
          <w:sz w:val="16"/>
          <w:szCs w:val="16"/>
          <w:color w:val="auto"/>
        </w:rPr>
        <w:t>CONSOLIDATED STATEMENT OF CASH FLOWS (CONTINUED)</w:t>
      </w:r>
    </w:p>
    <w:p>
      <w:pPr>
        <w:spacing w:after="0" w:line="19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Reconciliation of liabilities arising from financing activities:</w:t>
      </w:r>
    </w:p>
    <w:p>
      <w:pPr>
        <w:spacing w:after="0" w:line="17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5"/>
              </w:rPr>
              <w:t>Changes that generate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w w:val="86"/>
              </w:rPr>
              <w:t>Changes that do not generate cash flows</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At January</w:t>
            </w: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cash flows</w:t>
            </w:r>
          </w:p>
        </w:tc>
        <w:tc>
          <w:tcPr>
            <w:tcW w:w="2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9"/>
              </w:rPr>
              <w:t>At December</w:t>
            </w:r>
          </w:p>
        </w:tc>
        <w:tc>
          <w:tcPr>
            <w:tcW w:w="0" w:type="dxa"/>
            <w:vAlign w:val="bottom"/>
          </w:tcPr>
          <w:p>
            <w:pPr>
              <w:spacing w:after="0"/>
              <w:rPr>
                <w:sz w:val="1"/>
                <w:szCs w:val="1"/>
                <w:color w:val="auto"/>
              </w:rPr>
            </w:pPr>
          </w:p>
        </w:tc>
      </w:tr>
      <w:tr>
        <w:trPr>
          <w:trHeight w:val="102"/>
        </w:trPr>
        <w:tc>
          <w:tcPr>
            <w:tcW w:w="2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60" w:type="dxa"/>
            <w:vAlign w:val="bottom"/>
            <w:gridSpan w:val="2"/>
          </w:tcPr>
          <w:p>
            <w:pPr>
              <w:jc w:val="center"/>
              <w:ind w:right="240"/>
              <w:spacing w:after="0" w:line="103" w:lineRule="exact"/>
              <w:rPr>
                <w:sz w:val="20"/>
                <w:szCs w:val="20"/>
                <w:color w:val="auto"/>
              </w:rPr>
            </w:pPr>
            <w:r>
              <w:rPr>
                <w:rFonts w:ascii="Arial" w:cs="Arial" w:eastAsia="Arial" w:hAnsi="Arial"/>
                <w:sz w:val="11"/>
                <w:szCs w:val="11"/>
                <w:b w:val="1"/>
                <w:bCs w:val="1"/>
                <w:color w:val="auto"/>
              </w:rPr>
              <w:t>New</w:t>
            </w:r>
          </w:p>
        </w:tc>
        <w:tc>
          <w:tcPr>
            <w:tcW w:w="92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Amortization</w:t>
            </w:r>
          </w:p>
        </w:tc>
        <w:tc>
          <w:tcPr>
            <w:tcW w:w="240" w:type="dxa"/>
            <w:vAlign w:val="bottom"/>
          </w:tcPr>
          <w:p>
            <w:pPr>
              <w:spacing w:after="0"/>
              <w:rPr>
                <w:sz w:val="8"/>
                <w:szCs w:val="8"/>
                <w:color w:val="auto"/>
              </w:rPr>
            </w:pPr>
          </w:p>
        </w:tc>
        <w:tc>
          <w:tcPr>
            <w:tcW w:w="1020" w:type="dxa"/>
            <w:vAlign w:val="bottom"/>
            <w:gridSpan w:val="2"/>
          </w:tcPr>
          <w:p>
            <w:pPr>
              <w:jc w:val="center"/>
              <w:ind w:right="100"/>
              <w:spacing w:after="0" w:line="103" w:lineRule="exact"/>
              <w:rPr>
                <w:sz w:val="20"/>
                <w:szCs w:val="20"/>
                <w:color w:val="auto"/>
              </w:rPr>
            </w:pPr>
            <w:r>
              <w:rPr>
                <w:rFonts w:ascii="Arial" w:cs="Arial" w:eastAsia="Arial" w:hAnsi="Arial"/>
                <w:sz w:val="11"/>
                <w:szCs w:val="11"/>
                <w:b w:val="1"/>
                <w:bCs w:val="1"/>
                <w:color w:val="auto"/>
                <w:w w:val="99"/>
              </w:rPr>
              <w:t>Exchange</w:t>
            </w:r>
          </w:p>
        </w:tc>
        <w:tc>
          <w:tcPr>
            <w:tcW w:w="140" w:type="dxa"/>
            <w:vAlign w:val="bottom"/>
          </w:tcPr>
          <w:p>
            <w:pPr>
              <w:spacing w:after="0"/>
              <w:rPr>
                <w:sz w:val="8"/>
                <w:szCs w:val="8"/>
                <w:color w:val="auto"/>
              </w:rPr>
            </w:pPr>
          </w:p>
        </w:tc>
        <w:tc>
          <w:tcPr>
            <w:tcW w:w="114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rPr>
              <w:t>Changes in</w:t>
            </w:r>
          </w:p>
        </w:tc>
        <w:tc>
          <w:tcPr>
            <w:tcW w:w="112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rPr>
              <w:t>Discontinuing</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Others</w:t>
            </w: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1, 2018</w:t>
            </w:r>
          </w:p>
        </w:tc>
        <w:tc>
          <w:tcPr>
            <w:tcW w:w="2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issues</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of principal (*)</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difference</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fair value</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of hedge (*)</w:t>
            </w:r>
          </w:p>
        </w:tc>
        <w:tc>
          <w:tcPr>
            <w:tcW w:w="1100" w:type="dxa"/>
            <w:vAlign w:val="bottom"/>
            <w:gridSpan w:val="2"/>
            <w:vMerge w:val="continue"/>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6"/>
              </w:rPr>
              <w:t>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200" w:type="dxa"/>
            <w:vAlign w:val="bottom"/>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Subordinated bonds: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Amortized cost</w:t>
            </w: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2,257,516</w:t>
            </w:r>
          </w:p>
        </w:tc>
        <w:tc>
          <w:tcPr>
            <w:tcW w:w="24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0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183,791</w:t>
            </w:r>
          </w:p>
        </w:tc>
        <w:tc>
          <w:tcPr>
            <w:tcW w:w="1280" w:type="dxa"/>
            <w:vAlign w:val="bottom"/>
            <w:gridSpan w:val="3"/>
          </w:tcPr>
          <w:p>
            <w:pPr>
              <w:jc w:val="right"/>
              <w:ind w:right="220"/>
              <w:spacing w:after="0" w:line="131" w:lineRule="exact"/>
              <w:rPr>
                <w:sz w:val="20"/>
                <w:szCs w:val="20"/>
                <w:color w:val="auto"/>
              </w:rPr>
            </w:pPr>
            <w:r>
              <w:rPr>
                <w:rFonts w:ascii="Arial" w:cs="Arial" w:eastAsia="Arial" w:hAnsi="Arial"/>
                <w:sz w:val="13"/>
                <w:szCs w:val="13"/>
                <w:color w:val="auto"/>
              </w:rPr>
              <w:t>164</w:t>
            </w:r>
          </w:p>
        </w:tc>
        <w:tc>
          <w:tcPr>
            <w:tcW w:w="112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2,951,813</w:t>
            </w:r>
          </w:p>
        </w:tc>
        <w:tc>
          <w:tcPr>
            <w:tcW w:w="11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31,117</w:t>
            </w:r>
          </w:p>
        </w:tc>
        <w:tc>
          <w:tcPr>
            <w:tcW w:w="102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5,424,401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Fair value</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2,989,873</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17,210</w:t>
            </w:r>
          </w:p>
        </w:tc>
        <w:tc>
          <w:tcPr>
            <w:tcW w:w="128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(55,270)</w:t>
            </w:r>
          </w:p>
        </w:tc>
        <w:tc>
          <w:tcPr>
            <w:tcW w:w="11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(2,951,813)</w:t>
            </w:r>
          </w:p>
        </w:tc>
        <w:tc>
          <w:tcPr>
            <w:tcW w:w="11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5,247,389</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201,001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(55,106)</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31,117</w:t>
            </w:r>
          </w:p>
        </w:tc>
        <w:tc>
          <w:tcPr>
            <w:tcW w:w="20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5,424,401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Fair value hedge</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(34,290)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(9,245)</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(293)</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31,185</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12,643</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5"/>
              </w:rPr>
              <w:t>Changes that generate</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w w:val="86"/>
              </w:rPr>
              <w:t>Changes that do not generate cash flows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At January</w:t>
            </w: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cash flows</w:t>
            </w:r>
          </w:p>
        </w:tc>
        <w:tc>
          <w:tcPr>
            <w:tcW w:w="2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9"/>
              </w:rPr>
              <w:t>At December</w:t>
            </w:r>
          </w:p>
        </w:tc>
        <w:tc>
          <w:tcPr>
            <w:tcW w:w="0" w:type="dxa"/>
            <w:vAlign w:val="bottom"/>
          </w:tcPr>
          <w:p>
            <w:pPr>
              <w:spacing w:after="0"/>
              <w:rPr>
                <w:sz w:val="1"/>
                <w:szCs w:val="1"/>
                <w:color w:val="auto"/>
              </w:rPr>
            </w:pPr>
          </w:p>
        </w:tc>
      </w:tr>
      <w:tr>
        <w:trPr>
          <w:trHeight w:val="102"/>
        </w:trPr>
        <w:tc>
          <w:tcPr>
            <w:tcW w:w="2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60" w:type="dxa"/>
            <w:vAlign w:val="bottom"/>
            <w:gridSpan w:val="2"/>
          </w:tcPr>
          <w:p>
            <w:pPr>
              <w:jc w:val="center"/>
              <w:ind w:right="240"/>
              <w:spacing w:after="0" w:line="103" w:lineRule="exact"/>
              <w:rPr>
                <w:sz w:val="20"/>
                <w:szCs w:val="20"/>
                <w:color w:val="auto"/>
              </w:rPr>
            </w:pPr>
            <w:r>
              <w:rPr>
                <w:rFonts w:ascii="Arial" w:cs="Arial" w:eastAsia="Arial" w:hAnsi="Arial"/>
                <w:sz w:val="11"/>
                <w:szCs w:val="11"/>
                <w:b w:val="1"/>
                <w:bCs w:val="1"/>
                <w:color w:val="auto"/>
              </w:rPr>
              <w:t>New</w:t>
            </w:r>
          </w:p>
        </w:tc>
        <w:tc>
          <w:tcPr>
            <w:tcW w:w="92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Amortization</w:t>
            </w:r>
          </w:p>
        </w:tc>
        <w:tc>
          <w:tcPr>
            <w:tcW w:w="240" w:type="dxa"/>
            <w:vAlign w:val="bottom"/>
          </w:tcPr>
          <w:p>
            <w:pPr>
              <w:spacing w:after="0"/>
              <w:rPr>
                <w:sz w:val="8"/>
                <w:szCs w:val="8"/>
                <w:color w:val="auto"/>
              </w:rPr>
            </w:pPr>
          </w:p>
        </w:tc>
        <w:tc>
          <w:tcPr>
            <w:tcW w:w="1020" w:type="dxa"/>
            <w:vAlign w:val="bottom"/>
            <w:gridSpan w:val="2"/>
          </w:tcPr>
          <w:p>
            <w:pPr>
              <w:jc w:val="center"/>
              <w:ind w:right="100"/>
              <w:spacing w:after="0" w:line="103" w:lineRule="exact"/>
              <w:rPr>
                <w:sz w:val="20"/>
                <w:szCs w:val="20"/>
                <w:color w:val="auto"/>
              </w:rPr>
            </w:pPr>
            <w:r>
              <w:rPr>
                <w:rFonts w:ascii="Arial" w:cs="Arial" w:eastAsia="Arial" w:hAnsi="Arial"/>
                <w:sz w:val="11"/>
                <w:szCs w:val="11"/>
                <w:b w:val="1"/>
                <w:bCs w:val="1"/>
                <w:color w:val="auto"/>
                <w:w w:val="99"/>
              </w:rPr>
              <w:t>Exchange</w:t>
            </w:r>
          </w:p>
        </w:tc>
        <w:tc>
          <w:tcPr>
            <w:tcW w:w="140" w:type="dxa"/>
            <w:vAlign w:val="bottom"/>
          </w:tcPr>
          <w:p>
            <w:pPr>
              <w:spacing w:after="0"/>
              <w:rPr>
                <w:sz w:val="8"/>
                <w:szCs w:val="8"/>
                <w:color w:val="auto"/>
              </w:rPr>
            </w:pPr>
          </w:p>
        </w:tc>
        <w:tc>
          <w:tcPr>
            <w:tcW w:w="114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rPr>
              <w:t>Changes in</w:t>
            </w:r>
          </w:p>
        </w:tc>
        <w:tc>
          <w:tcPr>
            <w:tcW w:w="112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rPr>
              <w:t>Discontinuing</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Others</w:t>
            </w: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1, 2017</w:t>
            </w:r>
          </w:p>
        </w:tc>
        <w:tc>
          <w:tcPr>
            <w:tcW w:w="2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issues</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of principal</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difference</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fair value</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of hedge</w:t>
            </w:r>
          </w:p>
        </w:tc>
        <w:tc>
          <w:tcPr>
            <w:tcW w:w="1100" w:type="dxa"/>
            <w:vAlign w:val="bottom"/>
            <w:gridSpan w:val="2"/>
            <w:vMerge w:val="continue"/>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6"/>
              </w:rPr>
              <w:t>31, 2017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2"/>
              </w:rPr>
              <w:t>S/000</w:t>
            </w:r>
          </w:p>
        </w:tc>
        <w:tc>
          <w:tcPr>
            <w:tcW w:w="200" w:type="dxa"/>
            <w:vAlign w:val="bottom"/>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S/000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Subordinated bonds: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Amortized cost</w:t>
            </w: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2,371,073</w:t>
            </w: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29,953</w:t>
            </w:r>
          </w:p>
        </w:tc>
        <w:tc>
          <w:tcPr>
            <w:tcW w:w="11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(70,002)</w:t>
            </w:r>
          </w:p>
        </w:tc>
        <w:tc>
          <w:tcPr>
            <w:tcW w:w="102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(70,522)</w:t>
            </w:r>
          </w:p>
        </w:tc>
        <w:tc>
          <w:tcPr>
            <w:tcW w:w="1280" w:type="dxa"/>
            <w:vAlign w:val="bottom"/>
            <w:gridSpan w:val="3"/>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(2,986)</w:t>
            </w:r>
          </w:p>
        </w:tc>
        <w:tc>
          <w:tcPr>
            <w:tcW w:w="102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2,257,516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Fair value</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3,189,921</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(166,645)</w:t>
            </w:r>
          </w:p>
        </w:tc>
        <w:tc>
          <w:tcPr>
            <w:tcW w:w="128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(39,137)</w:t>
            </w:r>
          </w:p>
        </w:tc>
        <w:tc>
          <w:tcPr>
            <w:tcW w:w="11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5,734</w:t>
            </w:r>
          </w:p>
        </w:tc>
        <w:tc>
          <w:tcPr>
            <w:tcW w:w="10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2,989,873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5,560,994</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29,953</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(70,002)</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(237,167)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(39,137)</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2,748</w:t>
            </w:r>
          </w:p>
        </w:tc>
        <w:tc>
          <w:tcPr>
            <w:tcW w:w="20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5,247,389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400" w:type="dxa"/>
            <w:vAlign w:val="bottom"/>
            <w:gridSpan w:val="2"/>
            <w:shd w:val="clear" w:color="auto" w:fill="CCEEFF"/>
          </w:tcPr>
          <w:p>
            <w:pPr>
              <w:spacing w:after="0"/>
              <w:rPr>
                <w:sz w:val="11"/>
                <w:szCs w:val="11"/>
                <w:color w:val="auto"/>
              </w:rPr>
            </w:pPr>
          </w:p>
        </w:tc>
        <w:tc>
          <w:tcPr>
            <w:tcW w:w="1160" w:type="dxa"/>
            <w:vAlign w:val="bottom"/>
            <w:gridSpan w:val="2"/>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rPr>
                <w:sz w:val="11"/>
                <w:szCs w:val="11"/>
                <w:color w:val="auto"/>
              </w:rPr>
            </w:pPr>
          </w:p>
        </w:tc>
        <w:tc>
          <w:tcPr>
            <w:tcW w:w="1280" w:type="dxa"/>
            <w:vAlign w:val="bottom"/>
            <w:gridSpan w:val="3"/>
            <w:shd w:val="clear" w:color="auto" w:fill="CCEEFF"/>
          </w:tcPr>
          <w:p>
            <w:pPr>
              <w:spacing w:after="0"/>
              <w:rPr>
                <w:sz w:val="11"/>
                <w:szCs w:val="11"/>
                <w:color w:val="auto"/>
              </w:rPr>
            </w:pPr>
          </w:p>
        </w:tc>
        <w:tc>
          <w:tcPr>
            <w:tcW w:w="1120" w:type="dxa"/>
            <w:vAlign w:val="bottom"/>
            <w:gridSpan w:val="2"/>
            <w:shd w:val="clear" w:color="auto" w:fill="CCEEFF"/>
          </w:tcPr>
          <w:p>
            <w:pPr>
              <w:spacing w:after="0"/>
              <w:rPr>
                <w:sz w:val="11"/>
                <w:szCs w:val="11"/>
                <w:color w:val="auto"/>
              </w:rPr>
            </w:pPr>
          </w:p>
        </w:tc>
        <w:tc>
          <w:tcPr>
            <w:tcW w:w="1100" w:type="dxa"/>
            <w:vAlign w:val="bottom"/>
            <w:gridSpan w:val="2"/>
            <w:shd w:val="clear" w:color="auto" w:fill="CCEEFF"/>
          </w:tcPr>
          <w:p>
            <w:pPr>
              <w:spacing w:after="0"/>
              <w:rPr>
                <w:sz w:val="11"/>
                <w:szCs w:val="11"/>
                <w:color w:val="auto"/>
              </w:rPr>
            </w:pPr>
          </w:p>
        </w:tc>
        <w:tc>
          <w:tcPr>
            <w:tcW w:w="102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Fair value hedge</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(77,508)</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2,512</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39,250</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1,456</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(34,290)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25" w:right="600" w:hanging="225"/>
        <w:spacing w:after="0" w:line="269" w:lineRule="auto"/>
        <w:tabs>
          <w:tab w:leader="none" w:pos="2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first quarter of 2018, the Group discontinued the fair value hedge of certain liability bonds; as a result, these bonds were reclassified as financial liabilities at amortized cost. See explanation in Note 16(a).</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8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4" w:right="219" w:bottom="1440" w:gutter="0" w:footer="0" w:header="0"/>
        </w:sectPr>
      </w:pPr>
    </w:p>
    <w:bookmarkStart w:id="23" w:name="page24"/>
    <w:bookmarkEnd w:id="23"/>
    <w:p>
      <w:pPr>
        <w:ind w:left="5"/>
        <w:spacing w:after="0"/>
        <w:rPr>
          <w:sz w:val="20"/>
          <w:szCs w:val="20"/>
          <w:color w:val="auto"/>
        </w:rPr>
      </w:pPr>
      <w:r>
        <w:rPr>
          <w:rFonts w:ascii="Arial" w:cs="Arial" w:eastAsia="Arial" w:hAnsi="Arial"/>
          <w:sz w:val="16"/>
          <w:szCs w:val="16"/>
          <w:b w:val="1"/>
          <w:bCs w:val="1"/>
          <w:color w:val="auto"/>
        </w:rPr>
        <w:t>CREDICORP LTD. AND SUBSIDIARIES</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NOTES TO THE CONSOLIDATED FINANCIAL STATEMENTS</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color w:val="auto"/>
        </w:rPr>
        <w:t>AS OF DECEMBER 31, 2018 AND 2017</w:t>
      </w:r>
    </w:p>
    <w:p>
      <w:pPr>
        <w:spacing w:after="0" w:line="180" w:lineRule="exact"/>
        <w:rPr>
          <w:sz w:val="20"/>
          <w:szCs w:val="20"/>
          <w:color w:val="auto"/>
        </w:rPr>
      </w:pPr>
    </w:p>
    <w:p>
      <w:pPr>
        <w:ind w:left="285" w:hanging="285"/>
        <w:spacing w:after="0"/>
        <w:tabs>
          <w:tab w:leader="none" w:pos="28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OPERATIONS</w:t>
      </w:r>
    </w:p>
    <w:p>
      <w:pPr>
        <w:spacing w:after="0" w:line="199" w:lineRule="exact"/>
        <w:rPr>
          <w:rFonts w:ascii="Arial" w:cs="Arial" w:eastAsia="Arial" w:hAnsi="Arial"/>
          <w:sz w:val="16"/>
          <w:szCs w:val="16"/>
          <w:b w:val="1"/>
          <w:bCs w:val="1"/>
          <w:color w:val="auto"/>
        </w:rPr>
      </w:pPr>
    </w:p>
    <w:p>
      <w:pPr>
        <w:ind w:left="285" w:right="400"/>
        <w:spacing w:after="0" w:line="269" w:lineRule="auto"/>
        <w:rPr>
          <w:rFonts w:ascii="Arial" w:cs="Arial" w:eastAsia="Arial" w:hAnsi="Arial"/>
          <w:sz w:val="16"/>
          <w:szCs w:val="16"/>
          <w:b w:val="1"/>
          <w:bCs w:val="1"/>
          <w:color w:val="auto"/>
        </w:rPr>
      </w:pPr>
      <w:r>
        <w:rPr>
          <w:rFonts w:ascii="Arial" w:cs="Arial" w:eastAsia="Arial" w:hAnsi="Arial"/>
          <w:sz w:val="16"/>
          <w:szCs w:val="16"/>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56" w:lineRule="exact"/>
        <w:rPr>
          <w:rFonts w:ascii="Arial" w:cs="Arial" w:eastAsia="Arial" w:hAnsi="Arial"/>
          <w:sz w:val="16"/>
          <w:szCs w:val="16"/>
          <w:b w:val="1"/>
          <w:bCs w:val="1"/>
          <w:color w:val="auto"/>
        </w:rPr>
      </w:pPr>
    </w:p>
    <w:p>
      <w:pPr>
        <w:ind w:left="285" w:right="140"/>
        <w:spacing w:after="0" w:line="254" w:lineRule="auto"/>
        <w:rPr>
          <w:rFonts w:ascii="Arial" w:cs="Arial" w:eastAsia="Arial" w:hAnsi="Arial"/>
          <w:sz w:val="16"/>
          <w:szCs w:val="16"/>
          <w:b w:val="1"/>
          <w:bCs w:val="1"/>
          <w:color w:val="auto"/>
        </w:rPr>
      </w:pPr>
      <w:r>
        <w:rPr>
          <w:rFonts w:ascii="Arial" w:cs="Arial" w:eastAsia="Arial" w:hAnsi="Arial"/>
          <w:sz w:val="16"/>
          <w:szCs w:val="16"/>
          <w:color w:val="auto"/>
        </w:rPr>
        <w:t>Credicorp Ltd., through its banking and non-banking subsidiaries and its associate Entidad Prestadora de Salud, provides a wide range of financial, insurance and health services and products mainly throughout Peru and in certain other countries (See Note 3(b)). Its major subsidiary is Banco de Crédito del Perú (hereinafter “BCP” or the “Bank”), a Peruvian universal bank. Credicorp’s address is Clarendon House 2 Church Street Hamilton, Bermuda; likewise, administration offices of its representative in Peru are located in Calle Centenario Nº156, La Molina, Lima, Peru.</w:t>
      </w:r>
    </w:p>
    <w:p>
      <w:pPr>
        <w:spacing w:after="0" w:line="169" w:lineRule="exact"/>
        <w:rPr>
          <w:rFonts w:ascii="Arial" w:cs="Arial" w:eastAsia="Arial" w:hAnsi="Arial"/>
          <w:sz w:val="16"/>
          <w:szCs w:val="16"/>
          <w:b w:val="1"/>
          <w:bCs w:val="1"/>
          <w:color w:val="auto"/>
        </w:rPr>
      </w:pPr>
    </w:p>
    <w:p>
      <w:pPr>
        <w:ind w:left="285"/>
        <w:spacing w:after="0"/>
        <w:rPr>
          <w:rFonts w:ascii="Arial" w:cs="Arial" w:eastAsia="Arial" w:hAnsi="Arial"/>
          <w:sz w:val="16"/>
          <w:szCs w:val="16"/>
          <w:b w:val="1"/>
          <w:bCs w:val="1"/>
          <w:color w:val="auto"/>
        </w:rPr>
      </w:pPr>
      <w:r>
        <w:rPr>
          <w:rFonts w:ascii="Arial" w:cs="Arial" w:eastAsia="Arial" w:hAnsi="Arial"/>
          <w:sz w:val="16"/>
          <w:szCs w:val="16"/>
          <w:color w:val="auto"/>
        </w:rPr>
        <w:t>Credicorp is listed on the Lima and New York stock exchanges.</w:t>
      </w:r>
    </w:p>
    <w:p>
      <w:pPr>
        <w:spacing w:after="0" w:line="195" w:lineRule="exact"/>
        <w:rPr>
          <w:sz w:val="20"/>
          <w:szCs w:val="20"/>
          <w:color w:val="auto"/>
        </w:rPr>
      </w:pPr>
    </w:p>
    <w:p>
      <w:pPr>
        <w:ind w:left="285"/>
        <w:spacing w:after="0" w:line="254" w:lineRule="auto"/>
        <w:rPr>
          <w:sz w:val="20"/>
          <w:szCs w:val="20"/>
          <w:color w:val="auto"/>
        </w:rPr>
      </w:pPr>
      <w:r>
        <w:rPr>
          <w:rFonts w:ascii="Arial" w:cs="Arial" w:eastAsia="Arial" w:hAnsi="Arial"/>
          <w:sz w:val="16"/>
          <w:szCs w:val="16"/>
          <w:color w:val="auto"/>
        </w:rPr>
        <w:t>The consolidated financial statements as of December 31, 2017 and for the year then ended were approved by the General Shareholders Meeting dated March 28, 2018. The consolidated financial statements as of December 31, 2018 and for the year then ended were approved by the Audit Committee and Management on February 26, 2019, and will be submitted for their final approval by the Board of Directors and the General Shareholders’ Meeting within the period established by law; in Management’s opinion, the consolidated financial statements will be approved without modifications.</w:t>
      </w:r>
    </w:p>
    <w:p>
      <w:pPr>
        <w:spacing w:after="0" w:line="165" w:lineRule="exact"/>
        <w:rPr>
          <w:sz w:val="20"/>
          <w:szCs w:val="20"/>
          <w:color w:val="auto"/>
        </w:rPr>
      </w:pPr>
    </w:p>
    <w:p>
      <w:pPr>
        <w:ind w:left="285" w:hanging="285"/>
        <w:spacing w:after="0"/>
        <w:tabs>
          <w:tab w:leader="none" w:pos="28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MERGER AND ACQUISITIONS</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Acquisition of non-controlling interest of Mibanco, Banco de la Microempresa S.A. (Mibanco) -</w:t>
      </w:r>
    </w:p>
    <w:p>
      <w:pPr>
        <w:spacing w:after="0" w:line="195" w:lineRule="exact"/>
        <w:rPr>
          <w:rFonts w:ascii="Arial" w:cs="Arial" w:eastAsia="Arial" w:hAnsi="Arial"/>
          <w:sz w:val="16"/>
          <w:szCs w:val="16"/>
          <w:color w:val="auto"/>
        </w:rPr>
      </w:pPr>
    </w:p>
    <w:p>
      <w:pPr>
        <w:ind w:left="565" w:right="100"/>
        <w:spacing w:after="0" w:line="303" w:lineRule="auto"/>
        <w:rPr>
          <w:rFonts w:ascii="Arial" w:cs="Arial" w:eastAsia="Arial" w:hAnsi="Arial"/>
          <w:sz w:val="16"/>
          <w:szCs w:val="16"/>
          <w:color w:val="auto"/>
        </w:rPr>
      </w:pPr>
      <w:r>
        <w:rPr>
          <w:rFonts w:ascii="Arial" w:cs="Arial" w:eastAsia="Arial" w:hAnsi="Arial"/>
          <w:sz w:val="15"/>
          <w:szCs w:val="15"/>
          <w:color w:val="auto"/>
        </w:rPr>
        <w:t>On April 18, 2018, Credicorp Ltd. through its subsidiaries Grupo Crédito S.A. and Banco de Crédito del Perú S.A. acquired 3.23 percent and 0.06 percent, respectively, of the share capital of Mibanco, which was held by minority shareholders for approximately S/129.0 million and S/2.4 million, respectively.</w:t>
      </w:r>
    </w:p>
    <w:p>
      <w:pPr>
        <w:spacing w:after="0" w:line="133" w:lineRule="exact"/>
        <w:rPr>
          <w:rFonts w:ascii="Arial" w:cs="Arial" w:eastAsia="Arial" w:hAnsi="Arial"/>
          <w:sz w:val="16"/>
          <w:szCs w:val="16"/>
          <w:color w:val="auto"/>
        </w:rPr>
      </w:pPr>
    </w:p>
    <w:p>
      <w:pPr>
        <w:ind w:left="565" w:right="40"/>
        <w:spacing w:after="0" w:line="269" w:lineRule="auto"/>
        <w:rPr>
          <w:rFonts w:ascii="Arial" w:cs="Arial" w:eastAsia="Arial" w:hAnsi="Arial"/>
          <w:sz w:val="16"/>
          <w:szCs w:val="16"/>
          <w:color w:val="auto"/>
        </w:rPr>
      </w:pPr>
      <w:r>
        <w:rPr>
          <w:rFonts w:ascii="Arial" w:cs="Arial" w:eastAsia="Arial" w:hAnsi="Arial"/>
          <w:sz w:val="16"/>
          <w:szCs w:val="16"/>
          <w:color w:val="auto"/>
        </w:rPr>
        <w:t>Additionally, on May 22 and 23, 2018, BCP acquired 1.22 percent and 0.05 percent, respectively, of the share capital of Mibanco, which was held by minority shareholders for approximately S/47.3 million and S/1.9 million, respectively.</w:t>
      </w:r>
    </w:p>
    <w:p>
      <w:pPr>
        <w:spacing w:after="0" w:line="156"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These acquisitions of non-controlling interest were recorded as an equity transaction.</w:t>
      </w:r>
    </w:p>
    <w:p>
      <w:pPr>
        <w:spacing w:after="0" w:line="195"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In view of said acquisitions, Credicorp Ltd. increased its interest in the share capital of Mibanco from 93.18 percent to 97.74 percent.</w:t>
      </w:r>
    </w:p>
    <w:p>
      <w:pPr>
        <w:spacing w:after="0" w:line="195" w:lineRule="exact"/>
        <w:rPr>
          <w:rFonts w:ascii="Arial" w:cs="Arial" w:eastAsia="Arial" w:hAnsi="Arial"/>
          <w:sz w:val="16"/>
          <w:szCs w:val="16"/>
          <w:color w:val="auto"/>
        </w:rPr>
      </w:pPr>
    </w:p>
    <w:p>
      <w:pPr>
        <w:ind w:left="565" w:hanging="281"/>
        <w:spacing w:after="0"/>
        <w:tabs>
          <w:tab w:leader="none" w:pos="5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Merger by absorption between Credicorp Capital Holding Chile S.A. and Inversiones IMT S.A. -</w:t>
      </w:r>
    </w:p>
    <w:p>
      <w:pPr>
        <w:spacing w:after="0" w:line="195" w:lineRule="exact"/>
        <w:rPr>
          <w:rFonts w:ascii="Arial" w:cs="Arial" w:eastAsia="Arial" w:hAnsi="Arial"/>
          <w:sz w:val="16"/>
          <w:szCs w:val="16"/>
          <w:color w:val="auto"/>
        </w:rPr>
      </w:pPr>
    </w:p>
    <w:p>
      <w:pPr>
        <w:ind w:left="565" w:right="100"/>
        <w:spacing w:after="0" w:line="269" w:lineRule="auto"/>
        <w:rPr>
          <w:rFonts w:ascii="Arial" w:cs="Arial" w:eastAsia="Arial" w:hAnsi="Arial"/>
          <w:sz w:val="16"/>
          <w:szCs w:val="16"/>
          <w:color w:val="auto"/>
        </w:rPr>
      </w:pPr>
      <w:r>
        <w:rPr>
          <w:rFonts w:ascii="Arial" w:cs="Arial" w:eastAsia="Arial" w:hAnsi="Arial"/>
          <w:sz w:val="16"/>
          <w:szCs w:val="16"/>
          <w:color w:val="auto"/>
        </w:rPr>
        <w:t>On February 21, 2018, the Private Investment Fund Series B, administered by Credicorp Capital S.A., sold, ceded and transferred to Credicorp Capital Holding Chile S.A. the 11 shares of Inversiones IMT S.A. which it owned.</w:t>
      </w:r>
    </w:p>
    <w:p>
      <w:pPr>
        <w:spacing w:after="0" w:line="156" w:lineRule="exact"/>
        <w:rPr>
          <w:rFonts w:ascii="Arial" w:cs="Arial" w:eastAsia="Arial" w:hAnsi="Arial"/>
          <w:sz w:val="16"/>
          <w:szCs w:val="16"/>
          <w:color w:val="auto"/>
        </w:rPr>
      </w:pPr>
    </w:p>
    <w:p>
      <w:pPr>
        <w:ind w:left="565" w:right="20"/>
        <w:spacing w:after="0" w:line="342" w:lineRule="auto"/>
        <w:rPr>
          <w:rFonts w:ascii="Arial" w:cs="Arial" w:eastAsia="Arial" w:hAnsi="Arial"/>
          <w:sz w:val="16"/>
          <w:szCs w:val="16"/>
          <w:color w:val="auto"/>
        </w:rPr>
      </w:pPr>
      <w:r>
        <w:rPr>
          <w:rFonts w:ascii="Arial" w:cs="Arial" w:eastAsia="Arial" w:hAnsi="Arial"/>
          <w:sz w:val="14"/>
          <w:szCs w:val="14"/>
          <w:color w:val="auto"/>
        </w:rPr>
        <w:t>As a result of the sale, the entity Credicorp Capital Holding Chile S.A. became the holder of 100.0 percent of the share capital of Inversiones IMT S.A. for an uninterrupted period that exceeded 10 days, which is a cause for corporate dissolution, according to article 103 numeral 2 of the Law regarding Joint Stock Companies, in Chile.</w:t>
      </w:r>
    </w:p>
    <w:p>
      <w:pPr>
        <w:spacing w:after="0" w:line="299" w:lineRule="exact"/>
        <w:rPr>
          <w:rFonts w:ascii="Arial" w:cs="Arial" w:eastAsia="Arial" w:hAnsi="Arial"/>
          <w:sz w:val="16"/>
          <w:szCs w:val="16"/>
          <w:color w:val="auto"/>
        </w:rPr>
      </w:pPr>
    </w:p>
    <w:p>
      <w:pPr>
        <w:ind w:left="5645" w:hanging="91"/>
        <w:spacing w:after="0"/>
        <w:tabs>
          <w:tab w:leader="none" w:pos="5645" w:val="left"/>
        </w:tabs>
        <w:numPr>
          <w:ilvl w:val="2"/>
          <w:numId w:val="12"/>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0" w:right="219" w:bottom="1440" w:gutter="0" w:footer="0" w:header="0"/>
        </w:sectPr>
      </w:pPr>
    </w:p>
    <w:bookmarkStart w:id="24" w:name="page25"/>
    <w:bookmarkEnd w:id="24"/>
    <w:p>
      <w:pPr>
        <w:ind w:left="281" w:right="220"/>
        <w:spacing w:after="0" w:line="258" w:lineRule="auto"/>
        <w:rPr>
          <w:sz w:val="20"/>
          <w:szCs w:val="20"/>
          <w:color w:val="auto"/>
        </w:rPr>
      </w:pPr>
      <w:r>
        <w:rPr>
          <w:rFonts w:ascii="Arial" w:cs="Arial" w:eastAsia="Arial" w:hAnsi="Arial"/>
          <w:sz w:val="16"/>
          <w:szCs w:val="16"/>
          <w:color w:val="auto"/>
        </w:rPr>
        <w:t>Subsequently, on March 3, 2018, the merger by absorption between Inversiones IMT S.A. (absorbed entity) and Credicorp Capital Holding Chile S.A. (absorbing entity) was made effective; the latter acquiring all the assets, liabilities, rights and obligations of Inversiones IMT S.A., without needing to proceed with the liquidation of the dissolved company.</w:t>
      </w:r>
    </w:p>
    <w:p>
      <w:pPr>
        <w:spacing w:after="0" w:line="16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Said transaction has not generated a significant impact on the Group’s consolidated financial statements.</w:t>
      </w:r>
    </w:p>
    <w:p>
      <w:pPr>
        <w:spacing w:after="0" w:line="195" w:lineRule="exact"/>
        <w:rPr>
          <w:sz w:val="20"/>
          <w:szCs w:val="20"/>
          <w:color w:val="auto"/>
        </w:rPr>
      </w:pPr>
    </w:p>
    <w:p>
      <w:pPr>
        <w:ind w:left="281" w:hanging="281"/>
        <w:spacing w:after="0" w:line="269" w:lineRule="auto"/>
        <w:tabs>
          <w:tab w:leader="none" w:pos="2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Merger by absorption between El Pacífico Vida Compañía de Seguros y Reaseguros (Pacífico Vida) and El Pacífico Peruano-Suiza Compañía de Seguros y Reaseguros (PPS) -</w:t>
      </w:r>
    </w:p>
    <w:p>
      <w:pPr>
        <w:spacing w:after="0" w:line="156" w:lineRule="exact"/>
        <w:rPr>
          <w:rFonts w:ascii="Arial" w:cs="Arial" w:eastAsia="Arial" w:hAnsi="Arial"/>
          <w:sz w:val="16"/>
          <w:szCs w:val="16"/>
          <w:color w:val="auto"/>
        </w:rPr>
      </w:pPr>
    </w:p>
    <w:p>
      <w:pPr>
        <w:ind w:left="281" w:right="20"/>
        <w:spacing w:after="0" w:line="254" w:lineRule="auto"/>
        <w:rPr>
          <w:rFonts w:ascii="Arial" w:cs="Arial" w:eastAsia="Arial" w:hAnsi="Arial"/>
          <w:sz w:val="16"/>
          <w:szCs w:val="16"/>
          <w:color w:val="auto"/>
        </w:rPr>
      </w:pPr>
      <w:r>
        <w:rPr>
          <w:rFonts w:ascii="Arial" w:cs="Arial" w:eastAsia="Arial" w:hAnsi="Arial"/>
          <w:sz w:val="16"/>
          <w:szCs w:val="16"/>
          <w:color w:val="auto"/>
        </w:rPr>
        <w:t>At the Obligatory Annual Shareholders’ Meeting of Pacífico Vida, held on February 23, 2017, the merger by absorption was approved between Pacífico Vida (absorbing entity) and PPS (absorbed entity), and the amendments to their corporate denomination and purpose. Furthermore, it was agreed that said merger would come into effect on the date of the approval of the Public Deed, subject to the prior authorization of the Superintendencia de Banca, Seguros y AFP (authority that regulates banking, insurance and pension fund management activities in Peru, hereinafter “SBS”).</w:t>
      </w:r>
    </w:p>
    <w:p>
      <w:pPr>
        <w:spacing w:after="0" w:line="169"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In this sense, the SBS through Resolution N° 2836-2017, dated July 19, 2017, authorized the following to Pacífico Vida:</w:t>
      </w:r>
    </w:p>
    <w:p>
      <w:pPr>
        <w:spacing w:after="0" w:line="195" w:lineRule="exact"/>
        <w:rPr>
          <w:rFonts w:ascii="Arial" w:cs="Arial" w:eastAsia="Arial" w:hAnsi="Arial"/>
          <w:sz w:val="16"/>
          <w:szCs w:val="16"/>
          <w:color w:val="auto"/>
        </w:rPr>
      </w:pPr>
    </w:p>
    <w:p>
      <w:pPr>
        <w:ind w:left="561" w:hanging="276"/>
        <w:spacing w:after="0"/>
        <w:tabs>
          <w:tab w:leader="none" w:pos="561"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merger by absorption.</w:t>
      </w:r>
    </w:p>
    <w:p>
      <w:pPr>
        <w:spacing w:after="0" w:line="16" w:lineRule="exact"/>
        <w:rPr>
          <w:rFonts w:ascii="Arial" w:cs="Arial" w:eastAsia="Arial" w:hAnsi="Arial"/>
          <w:sz w:val="16"/>
          <w:szCs w:val="16"/>
          <w:color w:val="auto"/>
        </w:rPr>
      </w:pPr>
    </w:p>
    <w:p>
      <w:pPr>
        <w:ind w:left="561" w:hanging="276"/>
        <w:spacing w:after="0"/>
        <w:tabs>
          <w:tab w:leader="none" w:pos="561"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increase in its share capital by the amount of S/571,009,670, thereby increasing its new share capital to the total of S/1,121,316,750.</w:t>
      </w:r>
    </w:p>
    <w:p>
      <w:pPr>
        <w:spacing w:after="0" w:line="5" w:lineRule="exact"/>
        <w:rPr>
          <w:rFonts w:ascii="Arial" w:cs="Arial" w:eastAsia="Arial" w:hAnsi="Arial"/>
          <w:sz w:val="16"/>
          <w:szCs w:val="16"/>
          <w:color w:val="auto"/>
        </w:rPr>
      </w:pPr>
    </w:p>
    <w:p>
      <w:pPr>
        <w:ind w:left="561" w:right="60" w:hanging="276"/>
        <w:spacing w:after="0" w:line="254" w:lineRule="auto"/>
        <w:tabs>
          <w:tab w:leader="none" w:pos="561"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amendment in its corporate denomination to Pacífico Compañía de Seguros y Reaseguros S.A., being able to use the abbreviated name “Pacífico Seguros”; and to change its corporate purpose in order to be able to operate in the branches of life and general insurance.</w:t>
      </w:r>
    </w:p>
    <w:p>
      <w:pPr>
        <w:spacing w:after="0" w:line="168" w:lineRule="exact"/>
        <w:rPr>
          <w:sz w:val="20"/>
          <w:szCs w:val="20"/>
          <w:color w:val="auto"/>
        </w:rPr>
      </w:pPr>
    </w:p>
    <w:p>
      <w:pPr>
        <w:ind w:left="281" w:right="540"/>
        <w:spacing w:after="0" w:line="258" w:lineRule="auto"/>
        <w:rPr>
          <w:sz w:val="20"/>
          <w:szCs w:val="20"/>
          <w:color w:val="auto"/>
        </w:rPr>
      </w:pPr>
      <w:r>
        <w:rPr>
          <w:rFonts w:ascii="Arial" w:cs="Arial" w:eastAsia="Arial" w:hAnsi="Arial"/>
          <w:sz w:val="16"/>
          <w:szCs w:val="16"/>
          <w:color w:val="auto"/>
        </w:rPr>
        <w:t>Subsequently, on August 1, 2017, the signing of the Public Deed of Fusion was formalized, with the merger by absorption becoming effective as from said date; consequently, Pacífico Vida absorbs the totality of the assets, liabilities, rights and obligations of PPS, with the latter becoming extinguished, without dissolution or liquidation.</w:t>
      </w:r>
    </w:p>
    <w:p>
      <w:pPr>
        <w:spacing w:after="0" w:line="16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This transaction has not generated a significant impact on the Group's consolidated financial statements.</w:t>
      </w:r>
    </w:p>
    <w:p>
      <w:pPr>
        <w:spacing w:after="0" w:line="195" w:lineRule="exact"/>
        <w:rPr>
          <w:sz w:val="20"/>
          <w:szCs w:val="20"/>
          <w:color w:val="auto"/>
        </w:rPr>
      </w:pPr>
    </w:p>
    <w:p>
      <w:pPr>
        <w:ind w:left="281" w:right="420" w:hanging="281"/>
        <w:spacing w:after="0" w:line="269" w:lineRule="auto"/>
        <w:tabs>
          <w:tab w:leader="none" w:pos="2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Acquisition of the non-controlling interest of Credicorp Capital Colombia S.A. (formerly Correval) and Inversiones IMT S.A. (absorbed in March 2018 by Credicorp Capital Holding Chile S.A.) -</w:t>
      </w:r>
    </w:p>
    <w:p>
      <w:pPr>
        <w:spacing w:after="0" w:line="156" w:lineRule="exact"/>
        <w:rPr>
          <w:rFonts w:ascii="Arial" w:cs="Arial" w:eastAsia="Arial" w:hAnsi="Arial"/>
          <w:sz w:val="16"/>
          <w:szCs w:val="16"/>
          <w:color w:val="auto"/>
        </w:rPr>
      </w:pPr>
    </w:p>
    <w:p>
      <w:pPr>
        <w:ind w:left="281" w:right="180"/>
        <w:spacing w:after="0" w:line="302" w:lineRule="auto"/>
        <w:rPr>
          <w:rFonts w:ascii="Arial" w:cs="Arial" w:eastAsia="Arial" w:hAnsi="Arial"/>
          <w:sz w:val="16"/>
          <w:szCs w:val="16"/>
          <w:color w:val="auto"/>
        </w:rPr>
      </w:pPr>
      <w:r>
        <w:rPr>
          <w:rFonts w:ascii="Arial" w:cs="Arial" w:eastAsia="Arial" w:hAnsi="Arial"/>
          <w:sz w:val="14"/>
          <w:szCs w:val="14"/>
          <w:color w:val="auto"/>
        </w:rPr>
        <w:t>In the Board Meetings of Credicorp held on February 24, and July 20 of 2016, capital contributions were approved in favor of Credicorp Capital Ltd. for an amount of US$15.4 million and US$106.3 million, respectively, for the purpose of acquiring all of the shares held by the minority shareholders of Credicorp Capital Colombia S.A. (49.0 percent) and Inversiones IMT S.A. (39.4 percent) at said date, exercising the sale option agreed with them amounting, at that time, to S/489.9 million (S/340.4 million at the time of the signing of the contract and S/149.5 million related to the appreciation of that option recorded in the period from 2013 until its execution date).</w:t>
      </w:r>
    </w:p>
    <w:p>
      <w:pPr>
        <w:spacing w:after="0" w:line="137" w:lineRule="exact"/>
        <w:rPr>
          <w:rFonts w:ascii="Arial" w:cs="Arial" w:eastAsia="Arial" w:hAnsi="Arial"/>
          <w:sz w:val="16"/>
          <w:szCs w:val="16"/>
          <w:color w:val="auto"/>
        </w:rPr>
      </w:pPr>
    </w:p>
    <w:p>
      <w:pPr>
        <w:ind w:left="281" w:right="60"/>
        <w:spacing w:after="0" w:line="269" w:lineRule="auto"/>
        <w:rPr>
          <w:rFonts w:ascii="Arial" w:cs="Arial" w:eastAsia="Arial" w:hAnsi="Arial"/>
          <w:sz w:val="16"/>
          <w:szCs w:val="16"/>
          <w:color w:val="auto"/>
        </w:rPr>
      </w:pPr>
      <w:r>
        <w:rPr>
          <w:rFonts w:ascii="Arial" w:cs="Arial" w:eastAsia="Arial" w:hAnsi="Arial"/>
          <w:sz w:val="16"/>
          <w:szCs w:val="16"/>
          <w:color w:val="auto"/>
        </w:rPr>
        <w:t>It should be mentioned that in said Board meetings, a capital contribution in favor of Credicorp Capital Ltd. was initially approved for a total amount of US$121.7 million; however, Management subsequently decided that the contribution would only be for US$120.1 million.</w:t>
      </w:r>
    </w:p>
    <w:p>
      <w:pPr>
        <w:spacing w:after="0" w:line="156" w:lineRule="exact"/>
        <w:rPr>
          <w:rFonts w:ascii="Arial" w:cs="Arial" w:eastAsia="Arial" w:hAnsi="Arial"/>
          <w:sz w:val="16"/>
          <w:szCs w:val="16"/>
          <w:color w:val="auto"/>
        </w:rPr>
      </w:pPr>
    </w:p>
    <w:p>
      <w:pPr>
        <w:ind w:left="281" w:right="320"/>
        <w:spacing w:after="0" w:line="342" w:lineRule="auto"/>
        <w:rPr>
          <w:rFonts w:ascii="Arial" w:cs="Arial" w:eastAsia="Arial" w:hAnsi="Arial"/>
          <w:sz w:val="16"/>
          <w:szCs w:val="16"/>
          <w:color w:val="auto"/>
        </w:rPr>
      </w:pPr>
      <w:r>
        <w:rPr>
          <w:rFonts w:ascii="Arial" w:cs="Arial" w:eastAsia="Arial" w:hAnsi="Arial"/>
          <w:sz w:val="14"/>
          <w:szCs w:val="14"/>
          <w:color w:val="auto"/>
        </w:rPr>
        <w:t>Credicorp Capital Ltd. made capital contributions in favor of Credicorp Capital Holding Chile S.A. and Credicorp Capital Holding Colombia S.A.S. for approximately US$49.2 million and US$44.2 million, respectively, to enable said entities to execute directly the purchase and sale options (PUT) of the minority shareholders.</w:t>
      </w:r>
    </w:p>
    <w:p>
      <w:pPr>
        <w:spacing w:after="0" w:line="299" w:lineRule="exact"/>
        <w:rPr>
          <w:rFonts w:ascii="Arial" w:cs="Arial" w:eastAsia="Arial" w:hAnsi="Arial"/>
          <w:sz w:val="16"/>
          <w:szCs w:val="16"/>
          <w:color w:val="auto"/>
        </w:rPr>
      </w:pPr>
    </w:p>
    <w:p>
      <w:pPr>
        <w:ind w:left="5361" w:hanging="91"/>
        <w:spacing w:after="0"/>
        <w:tabs>
          <w:tab w:leader="none" w:pos="5361" w:val="left"/>
        </w:tabs>
        <w:numPr>
          <w:ilvl w:val="1"/>
          <w:numId w:val="14"/>
        </w:numPr>
        <w:rPr>
          <w:rFonts w:ascii="Arial" w:cs="Arial" w:eastAsia="Arial" w:hAnsi="Arial"/>
          <w:sz w:val="16"/>
          <w:szCs w:val="16"/>
          <w:color w:val="auto"/>
        </w:rPr>
      </w:pPr>
      <w:r>
        <w:rPr>
          <w:rFonts w:ascii="Arial" w:cs="Arial" w:eastAsia="Arial" w:hAnsi="Arial"/>
          <w:sz w:val="16"/>
          <w:szCs w:val="16"/>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4" w:right="219" w:bottom="1440" w:gutter="0" w:footer="0" w:header="0"/>
        </w:sectPr>
      </w:pPr>
    </w:p>
    <w:bookmarkStart w:id="25" w:name="page26"/>
    <w:bookmarkEnd w:id="25"/>
    <w:p>
      <w:pPr>
        <w:ind w:left="560" w:right="120"/>
        <w:spacing w:after="0" w:line="254" w:lineRule="auto"/>
        <w:rPr>
          <w:sz w:val="20"/>
          <w:szCs w:val="20"/>
          <w:color w:val="auto"/>
        </w:rPr>
      </w:pPr>
      <w:r>
        <w:rPr>
          <w:rFonts w:ascii="Arial" w:cs="Arial" w:eastAsia="Arial" w:hAnsi="Arial"/>
          <w:sz w:val="16"/>
          <w:szCs w:val="16"/>
          <w:color w:val="auto"/>
        </w:rPr>
        <w:t>Accordingly, on May 20 and August 1 of 2016, Credicorp Capital Holding Chile S.A. executed the purchase option of Inversiones IMT S.A shares, acquiring the 39.4 percent share held by the minority shareholders, for approximately US$73.7 million (equivalent to S/241.4 million), through which, Credicorp Capital Holding Chile S.A. became the owner, directly and indirectly, of 100 percent of the capital stock of Inversiones IMT S.A (11 shares of the capital stock of Inversiones IMT S.A. are held by Fondo de Inversión Privado Serie B, an indirect subsidiary of Credicorp Capital Holding Chile S.A.).</w:t>
      </w:r>
    </w:p>
    <w:p>
      <w:pPr>
        <w:spacing w:after="0" w:line="169" w:lineRule="exact"/>
        <w:rPr>
          <w:sz w:val="20"/>
          <w:szCs w:val="20"/>
          <w:color w:val="auto"/>
        </w:rPr>
      </w:pPr>
    </w:p>
    <w:p>
      <w:pPr>
        <w:ind w:left="560" w:right="60"/>
        <w:spacing w:after="0" w:line="269" w:lineRule="auto"/>
        <w:rPr>
          <w:sz w:val="20"/>
          <w:szCs w:val="20"/>
          <w:color w:val="auto"/>
        </w:rPr>
      </w:pPr>
      <w:r>
        <w:rPr>
          <w:rFonts w:ascii="Arial" w:cs="Arial" w:eastAsia="Arial" w:hAnsi="Arial"/>
          <w:sz w:val="16"/>
          <w:szCs w:val="16"/>
          <w:color w:val="auto"/>
        </w:rPr>
        <w:t>The amount paid by Credicorp Capital Holding Chile was made up of: (i) US$49.2 million originating from the capital contribution of Credicorp Capital Ltd., (ii) US$20.0 million obtained through a financing from a local Chilean bank and (iii) own funds of approximately US$4.5 million.</w:t>
      </w:r>
    </w:p>
    <w:p>
      <w:pPr>
        <w:spacing w:after="0" w:line="157" w:lineRule="exact"/>
        <w:rPr>
          <w:sz w:val="20"/>
          <w:szCs w:val="20"/>
          <w:color w:val="auto"/>
        </w:rPr>
      </w:pPr>
    </w:p>
    <w:p>
      <w:pPr>
        <w:ind w:left="560" w:right="60"/>
        <w:spacing w:after="0" w:line="258" w:lineRule="auto"/>
        <w:rPr>
          <w:sz w:val="20"/>
          <w:szCs w:val="20"/>
          <w:color w:val="auto"/>
        </w:rPr>
      </w:pPr>
      <w:r>
        <w:rPr>
          <w:rFonts w:ascii="Arial" w:cs="Arial" w:eastAsia="Arial" w:hAnsi="Arial"/>
          <w:sz w:val="16"/>
          <w:szCs w:val="16"/>
          <w:color w:val="auto"/>
        </w:rPr>
        <w:t>Furthermore, on May 20, June 1 and August 1, of 2016, Credicorp Capital Holding Colombia S.A.S. executed the purchase option of Credicorp Capital Colombia S.A., purchasing the 30.32 percent share held by the minority shareholders for approximately US$45.2 million (equivalent to S/152.4 million), through which, Credicorp Capital Holding Colombia S.A.S. became the owner of 81.32 percent of the share capital of Credicorp Capital Colombia S.A.</w:t>
      </w:r>
    </w:p>
    <w:p>
      <w:pPr>
        <w:spacing w:after="0" w:line="165" w:lineRule="exact"/>
        <w:rPr>
          <w:sz w:val="20"/>
          <w:szCs w:val="20"/>
          <w:color w:val="auto"/>
        </w:rPr>
      </w:pPr>
    </w:p>
    <w:p>
      <w:pPr>
        <w:ind w:left="560" w:right="20"/>
        <w:spacing w:after="0" w:line="269" w:lineRule="auto"/>
        <w:rPr>
          <w:sz w:val="20"/>
          <w:szCs w:val="20"/>
          <w:color w:val="auto"/>
        </w:rPr>
      </w:pPr>
      <w:r>
        <w:rPr>
          <w:rFonts w:ascii="Arial" w:cs="Arial" w:eastAsia="Arial" w:hAnsi="Arial"/>
          <w:sz w:val="16"/>
          <w:szCs w:val="16"/>
          <w:color w:val="auto"/>
        </w:rPr>
        <w:t>The amount paid by Credicorp Capital Holding Colombia S.A.S. is made up of US$44.2 million originating from the capital contribution of Credicorp Capital Ltd. and US$1.0 million of own funds.</w:t>
      </w:r>
    </w:p>
    <w:p>
      <w:pPr>
        <w:spacing w:after="0" w:line="157" w:lineRule="exact"/>
        <w:rPr>
          <w:sz w:val="20"/>
          <w:szCs w:val="20"/>
          <w:color w:val="auto"/>
        </w:rPr>
      </w:pPr>
    </w:p>
    <w:p>
      <w:pPr>
        <w:ind w:left="560"/>
        <w:spacing w:after="0" w:line="254" w:lineRule="auto"/>
        <w:rPr>
          <w:sz w:val="20"/>
          <w:szCs w:val="20"/>
          <w:color w:val="auto"/>
        </w:rPr>
      </w:pPr>
      <w:r>
        <w:rPr>
          <w:rFonts w:ascii="Arial" w:cs="Arial" w:eastAsia="Arial" w:hAnsi="Arial"/>
          <w:sz w:val="16"/>
          <w:szCs w:val="16"/>
          <w:color w:val="auto"/>
        </w:rPr>
        <w:t>Finally, on September 30, 2016, Credicorp Capital Ltd. executed the remaining purchase option of Credicorp Capital Colombia S.A., purchasing the 18.68 percent share held by the minority shareholders, by means of the purchase of the entities Coby Business Inc. and Artigas Global Corp, both Panamanian companies whose only assets are their shares of Credicorp Capital Colombia S.A. The total amount of the purchase was US$28.3 million (equivalent to S/96.1 million), of which Credicorp Capital Ltd. paid US$26.7 million in cash (which originated from Credicorp´s capital contribution).</w:t>
      </w:r>
    </w:p>
    <w:p>
      <w:pPr>
        <w:spacing w:after="0" w:line="169" w:lineRule="exact"/>
        <w:rPr>
          <w:sz w:val="20"/>
          <w:szCs w:val="20"/>
          <w:color w:val="auto"/>
        </w:rPr>
      </w:pPr>
    </w:p>
    <w:p>
      <w:pPr>
        <w:ind w:left="560" w:right="80"/>
        <w:spacing w:after="0" w:line="254" w:lineRule="auto"/>
        <w:rPr>
          <w:sz w:val="20"/>
          <w:szCs w:val="20"/>
          <w:color w:val="auto"/>
        </w:rPr>
      </w:pPr>
      <w:r>
        <w:rPr>
          <w:rFonts w:ascii="Arial" w:cs="Arial" w:eastAsia="Arial" w:hAnsi="Arial"/>
          <w:sz w:val="16"/>
          <w:szCs w:val="16"/>
          <w:color w:val="auto"/>
        </w:rPr>
        <w:t>The total contribution of Credicorp Ltd. in Credicorp Capital Ltd. was US$120.1 million and with the financing taken by Credicorp Capital Holding Chile S.A., all of the purchase options were exercised, resulting in the achievement of a 100 percent share in Inversiones IMT S.A. and in Credicorp Capital Colombia S.A. With this operation, the process was concluded of establishing a regional investment bank which operates in the Integrated Latin American Market (MILA), involving the stock exchanges of Peru, Colombia and Chile.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impacts of the operation on the financial statements of the Group are summarized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6"/>
                <w:szCs w:val="16"/>
                <w:b w:val="1"/>
                <w:bCs w:val="1"/>
                <w:color w:val="auto"/>
              </w:rPr>
              <w:t>Companies acquired</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66"/>
        </w:trPr>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line="166" w:lineRule="exact"/>
              <w:rPr>
                <w:sz w:val="20"/>
                <w:szCs w:val="20"/>
                <w:color w:val="auto"/>
              </w:rPr>
            </w:pPr>
            <w:r>
              <w:rPr>
                <w:rFonts w:ascii="Arial" w:cs="Arial" w:eastAsia="Arial" w:hAnsi="Arial"/>
                <w:sz w:val="16"/>
                <w:szCs w:val="16"/>
                <w:b w:val="1"/>
                <w:bCs w:val="1"/>
                <w:color w:val="auto"/>
                <w:w w:val="89"/>
              </w:rPr>
              <w:t>Coby</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0"/>
        </w:trPr>
        <w:tc>
          <w:tcPr>
            <w:tcW w:w="5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Credicorp</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Business Inc.</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Inversiones</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y Artigas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5"/>
        </w:trPr>
        <w:tc>
          <w:tcPr>
            <w:tcW w:w="5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IMT S.A.</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Colombia S.A.</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Global Corp.</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7"/>
                <w:szCs w:val="17"/>
                <w:color w:val="auto"/>
              </w:rPr>
            </w:pPr>
          </w:p>
        </w:tc>
      </w:tr>
      <w:tr>
        <w:trPr>
          <w:trHeight w:val="183"/>
        </w:trPr>
        <w:tc>
          <w:tcPr>
            <w:tcW w:w="5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Assets and liabilities acquired / Non controlling interest</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103,630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69,482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43,261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216,373</w:t>
            </w: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Payment made / execution of sale option</w:t>
            </w:r>
          </w:p>
        </w:tc>
        <w:tc>
          <w:tcPr>
            <w:tcW w:w="2340" w:type="dxa"/>
            <w:vAlign w:val="bottom"/>
            <w:gridSpan w:val="3"/>
          </w:tcPr>
          <w:p>
            <w:pPr>
              <w:jc w:val="right"/>
              <w:ind w:right="160"/>
              <w:spacing w:after="0"/>
              <w:rPr>
                <w:sz w:val="20"/>
                <w:szCs w:val="20"/>
                <w:color w:val="auto"/>
              </w:rPr>
            </w:pPr>
            <w:r>
              <w:rPr>
                <w:rFonts w:ascii="Arial" w:cs="Arial" w:eastAsia="Arial" w:hAnsi="Arial"/>
                <w:sz w:val="16"/>
                <w:szCs w:val="16"/>
                <w:color w:val="auto"/>
              </w:rPr>
              <w:t>(241,420)</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(152,379)</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(96,067)</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(489,866)</w:t>
            </w: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Higher value paid</w:t>
            </w:r>
          </w:p>
        </w:tc>
        <w:tc>
          <w:tcPr>
            <w:tcW w:w="2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(137,790)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(82,897)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(52,806)</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(273,493)</w:t>
            </w:r>
          </w:p>
        </w:tc>
        <w:tc>
          <w:tcPr>
            <w:tcW w:w="240" w:type="dxa"/>
            <w:vAlign w:val="bottom"/>
          </w:tcPr>
          <w:p>
            <w:pPr>
              <w:spacing w:after="0"/>
              <w:rPr>
                <w:sz w:val="16"/>
                <w:szCs w:val="16"/>
                <w:color w:val="auto"/>
              </w:rPr>
            </w:pPr>
          </w:p>
        </w:tc>
      </w:tr>
      <w:tr>
        <w:trPr>
          <w:trHeight w:val="568"/>
        </w:trPr>
        <w:tc>
          <w:tcPr>
            <w:tcW w:w="5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981"/>
              <w:spacing w:after="0"/>
              <w:rPr>
                <w:sz w:val="20"/>
                <w:szCs w:val="20"/>
                <w:color w:val="auto"/>
              </w:rPr>
            </w:pPr>
            <w:r>
              <w:rPr>
                <w:rFonts w:ascii="Arial" w:cs="Arial" w:eastAsia="Arial" w:hAnsi="Arial"/>
                <w:sz w:val="16"/>
                <w:szCs w:val="16"/>
                <w:color w:val="auto"/>
              </w:rPr>
              <w:t>- 19 -</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14" w:right="219" w:bottom="1440" w:gutter="0" w:footer="0" w:header="0"/>
        </w:sectPr>
      </w:pPr>
    </w:p>
    <w:bookmarkStart w:id="26" w:name="page27"/>
    <w:bookmarkEnd w:id="26"/>
    <w:p>
      <w:pPr>
        <w:ind w:left="285" w:hanging="285"/>
        <w:spacing w:after="0"/>
        <w:tabs>
          <w:tab w:leader="none" w:pos="285"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199" w:lineRule="exact"/>
        <w:rPr>
          <w:rFonts w:ascii="Arial" w:cs="Arial" w:eastAsia="Arial" w:hAnsi="Arial"/>
          <w:sz w:val="16"/>
          <w:szCs w:val="16"/>
          <w:b w:val="1"/>
          <w:bCs w:val="1"/>
          <w:color w:val="auto"/>
        </w:rPr>
      </w:pPr>
    </w:p>
    <w:p>
      <w:pPr>
        <w:ind w:left="285"/>
        <w:spacing w:after="0"/>
        <w:rPr>
          <w:rFonts w:ascii="Arial" w:cs="Arial" w:eastAsia="Arial" w:hAnsi="Arial"/>
          <w:sz w:val="16"/>
          <w:szCs w:val="16"/>
          <w:b w:val="1"/>
          <w:bCs w:val="1"/>
          <w:color w:val="auto"/>
        </w:rPr>
      </w:pPr>
      <w:r>
        <w:rPr>
          <w:rFonts w:ascii="Arial" w:cs="Arial" w:eastAsia="Arial" w:hAnsi="Arial"/>
          <w:sz w:val="16"/>
          <w:szCs w:val="16"/>
          <w:color w:val="auto"/>
        </w:rPr>
        <w:t>The significant accounting principles applied in the preparation of Credicorp’s consolidated financial statements are set out below:</w:t>
      </w:r>
    </w:p>
    <w:p>
      <w:pPr>
        <w:spacing w:after="0" w:line="195" w:lineRule="exact"/>
        <w:rPr>
          <w:rFonts w:ascii="Arial" w:cs="Arial" w:eastAsia="Arial" w:hAnsi="Arial"/>
          <w:sz w:val="16"/>
          <w:szCs w:val="16"/>
          <w:b w:val="1"/>
          <w:bCs w:val="1"/>
          <w:color w:val="auto"/>
        </w:rPr>
      </w:pPr>
    </w:p>
    <w:p>
      <w:pPr>
        <w:ind w:left="1085" w:hanging="433"/>
        <w:spacing w:after="0"/>
        <w:tabs>
          <w:tab w:leader="none" w:pos="1085"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Basis of presentation and use of estimates -</w:t>
      </w:r>
    </w:p>
    <w:p>
      <w:pPr>
        <w:spacing w:after="0" w:line="195" w:lineRule="exact"/>
        <w:rPr>
          <w:sz w:val="20"/>
          <w:szCs w:val="20"/>
          <w:color w:val="auto"/>
        </w:rPr>
      </w:pPr>
    </w:p>
    <w:p>
      <w:pPr>
        <w:ind w:left="565" w:right="720"/>
        <w:spacing w:after="0" w:line="269" w:lineRule="auto"/>
        <w:rPr>
          <w:sz w:val="20"/>
          <w:szCs w:val="20"/>
          <w:color w:val="auto"/>
        </w:rPr>
      </w:pPr>
      <w:r>
        <w:rPr>
          <w:rFonts w:ascii="Arial" w:cs="Arial" w:eastAsia="Arial" w:hAnsi="Arial"/>
          <w:sz w:val="16"/>
          <w:szCs w:val="16"/>
          <w:color w:val="auto"/>
        </w:rPr>
        <w:t>The accompanying consolidated financial statements have been prepared in accordance with International Financial Reporting Standards (IFRS) as issued by the International Accounting Standards Board (IASB).</w:t>
      </w:r>
    </w:p>
    <w:p>
      <w:pPr>
        <w:spacing w:after="0" w:line="157" w:lineRule="exact"/>
        <w:rPr>
          <w:sz w:val="20"/>
          <w:szCs w:val="20"/>
          <w:color w:val="auto"/>
        </w:rPr>
      </w:pPr>
    </w:p>
    <w:p>
      <w:pPr>
        <w:ind w:left="565" w:right="40"/>
        <w:spacing w:after="0" w:line="252" w:lineRule="auto"/>
        <w:rPr>
          <w:sz w:val="20"/>
          <w:szCs w:val="20"/>
          <w:color w:val="auto"/>
        </w:rPr>
      </w:pPr>
      <w:r>
        <w:rPr>
          <w:rFonts w:ascii="Arial" w:cs="Arial" w:eastAsia="Arial" w:hAnsi="Arial"/>
          <w:sz w:val="16"/>
          <w:szCs w:val="16"/>
          <w:color w:val="auto"/>
        </w:rPr>
        <w:t>The consolidated financial statements as of December 31, 2018,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(investments at fair value through profit or loss, investments available for sale, financial assets designated at fair value through profit or loss, derivative financial instruments, bonds and notes associated with fair value hedges, and financial liabilities at fair value through profit or loss; as of December 31, 2017); which have been measured at fair value.</w:t>
      </w:r>
    </w:p>
    <w:p>
      <w:pPr>
        <w:spacing w:after="0" w:line="172" w:lineRule="exact"/>
        <w:rPr>
          <w:sz w:val="20"/>
          <w:szCs w:val="20"/>
          <w:color w:val="auto"/>
        </w:rPr>
      </w:pPr>
    </w:p>
    <w:p>
      <w:pPr>
        <w:ind w:left="565" w:right="460"/>
        <w:spacing w:after="0" w:line="269" w:lineRule="auto"/>
        <w:rPr>
          <w:sz w:val="20"/>
          <w:szCs w:val="20"/>
          <w:color w:val="auto"/>
        </w:rPr>
      </w:pPr>
      <w:r>
        <w:rPr>
          <w:rFonts w:ascii="Arial" w:cs="Arial" w:eastAsia="Arial" w:hAnsi="Arial"/>
          <w:sz w:val="16"/>
          <w:szCs w:val="16"/>
          <w:color w:val="auto"/>
        </w:rPr>
        <w:t>The consolidated financial statements are presented in Soles (S/), see paragraph (c) below, and values are rounded to the nearest S/thousands, except when otherwise indicated.</w:t>
      </w:r>
    </w:p>
    <w:p>
      <w:pPr>
        <w:spacing w:after="0" w:line="157" w:lineRule="exact"/>
        <w:rPr>
          <w:sz w:val="20"/>
          <w:szCs w:val="20"/>
          <w:color w:val="auto"/>
        </w:rPr>
      </w:pPr>
    </w:p>
    <w:p>
      <w:pPr>
        <w:ind w:left="565"/>
        <w:spacing w:after="0" w:line="303" w:lineRule="auto"/>
        <w:rPr>
          <w:sz w:val="20"/>
          <w:szCs w:val="20"/>
          <w:color w:val="auto"/>
        </w:rPr>
      </w:pPr>
      <w:r>
        <w:rPr>
          <w:rFonts w:ascii="Arial" w:cs="Arial" w:eastAsia="Arial" w:hAnsi="Arial"/>
          <w:sz w:val="15"/>
          <w:szCs w:val="15"/>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w:t>
      </w:r>
    </w:p>
    <w:p>
      <w:pPr>
        <w:spacing w:after="0" w:line="133" w:lineRule="exact"/>
        <w:rPr>
          <w:sz w:val="20"/>
          <w:szCs w:val="20"/>
          <w:color w:val="auto"/>
        </w:rPr>
      </w:pPr>
    </w:p>
    <w:p>
      <w:pPr>
        <w:ind w:left="565" w:right="160"/>
        <w:spacing w:after="0" w:line="258"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management expects that the variations, if any, will not have a material impact on the consolidated financial statements.</w:t>
      </w:r>
    </w:p>
    <w:p>
      <w:pPr>
        <w:spacing w:after="0" w:line="165" w:lineRule="exact"/>
        <w:rPr>
          <w:sz w:val="20"/>
          <w:szCs w:val="20"/>
          <w:color w:val="auto"/>
        </w:rPr>
      </w:pPr>
    </w:p>
    <w:p>
      <w:pPr>
        <w:ind w:left="565" w:right="100"/>
        <w:spacing w:after="0" w:line="254" w:lineRule="auto"/>
        <w:rPr>
          <w:sz w:val="20"/>
          <w:szCs w:val="20"/>
          <w:color w:val="auto"/>
        </w:rPr>
      </w:pPr>
      <w:r>
        <w:rPr>
          <w:rFonts w:ascii="Arial" w:cs="Arial" w:eastAsia="Arial" w:hAnsi="Arial"/>
          <w:sz w:val="16"/>
          <w:szCs w:val="16"/>
          <w:color w:val="auto"/>
        </w:rPr>
        <w:t>As of December 31, 2018, the most significant estimates included in the accompanying consolidated financial statements are related to the calculation of the expected loss on loans, the valuation of investments, the technical reserves for insurance claims and premiums, the impairment of goodwill , the expected loss for investments at fair value through other comprehensive income and investments at amortized cost, the valuation of share-based payment plans and the valuation of derivative financial instruments.</w:t>
      </w:r>
    </w:p>
    <w:p>
      <w:pPr>
        <w:spacing w:after="0" w:line="169" w:lineRule="exact"/>
        <w:rPr>
          <w:sz w:val="20"/>
          <w:szCs w:val="20"/>
          <w:color w:val="auto"/>
        </w:rPr>
      </w:pPr>
    </w:p>
    <w:p>
      <w:pPr>
        <w:ind w:left="565"/>
        <w:spacing w:after="0" w:line="252" w:lineRule="auto"/>
        <w:rPr>
          <w:sz w:val="20"/>
          <w:szCs w:val="20"/>
          <w:color w:val="auto"/>
        </w:rPr>
      </w:pPr>
      <w:r>
        <w:rPr>
          <w:rFonts w:ascii="Arial" w:cs="Arial" w:eastAsia="Arial" w:hAnsi="Arial"/>
          <w:sz w:val="16"/>
          <w:szCs w:val="16"/>
          <w:color w:val="auto"/>
        </w:rPr>
        <w:t>As of December 31, 2017, the most significant estimates included in the accompanying consolidated financial statements were related to allowance for loan losses, the valuation of investments, the technical reserves for insurance claims and premiums, goodwill impairment, the impairment of available-for-sale investments and investments held to maturity, the valuation of share-based payment transactions and the valuation of derivative financial instruments. Furthermore, other estimates exist, such as the estimated useful life of intangible assets, property, furniture and equipment and the deferred income tax assets and liabilities. The accounting criteria used for said estimates are described below.</w:t>
      </w:r>
    </w:p>
    <w:p>
      <w:pPr>
        <w:spacing w:after="0" w:line="172" w:lineRule="exact"/>
        <w:rPr>
          <w:sz w:val="20"/>
          <w:szCs w:val="20"/>
          <w:color w:val="auto"/>
        </w:rPr>
      </w:pPr>
    </w:p>
    <w:p>
      <w:pPr>
        <w:ind w:left="565" w:right="80"/>
        <w:spacing w:after="0" w:line="269" w:lineRule="auto"/>
        <w:rPr>
          <w:sz w:val="20"/>
          <w:szCs w:val="20"/>
          <w:color w:val="auto"/>
        </w:rPr>
      </w:pPr>
      <w:r>
        <w:rPr>
          <w:rFonts w:ascii="Arial" w:cs="Arial" w:eastAsia="Arial" w:hAnsi="Arial"/>
          <w:sz w:val="16"/>
          <w:szCs w:val="16"/>
          <w:color w:val="auto"/>
        </w:rPr>
        <w:t>The accounting policies adopted are consistent with those of the previous years, except that the Group has adopted the new revised IFRS and IAS which are mandatory for the periods beginning on or after January 1, 2018, as described below:</w:t>
      </w:r>
    </w:p>
    <w:p>
      <w:pPr>
        <w:spacing w:after="0" w:line="157" w:lineRule="exact"/>
        <w:rPr>
          <w:sz w:val="20"/>
          <w:szCs w:val="20"/>
          <w:color w:val="auto"/>
        </w:rPr>
      </w:pPr>
    </w:p>
    <w:p>
      <w:pPr>
        <w:ind w:left="845" w:hanging="276"/>
        <w:spacing w:after="0"/>
        <w:tabs>
          <w:tab w:leader="none" w:pos="8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IFRS 9 “Financial Instruments” -</w:t>
      </w:r>
    </w:p>
    <w:p>
      <w:pPr>
        <w:spacing w:after="0" w:line="195" w:lineRule="exact"/>
        <w:rPr>
          <w:rFonts w:ascii="Arial" w:cs="Arial" w:eastAsia="Arial" w:hAnsi="Arial"/>
          <w:sz w:val="16"/>
          <w:szCs w:val="16"/>
          <w:color w:val="auto"/>
        </w:rPr>
      </w:pPr>
    </w:p>
    <w:p>
      <w:pPr>
        <w:ind w:left="845" w:right="160"/>
        <w:spacing w:after="0" w:line="269" w:lineRule="auto"/>
        <w:rPr>
          <w:rFonts w:ascii="Arial" w:cs="Arial" w:eastAsia="Arial" w:hAnsi="Arial"/>
          <w:sz w:val="16"/>
          <w:szCs w:val="16"/>
          <w:color w:val="auto"/>
        </w:rPr>
      </w:pPr>
      <w:r>
        <w:rPr>
          <w:rFonts w:ascii="Arial" w:cs="Arial" w:eastAsia="Arial" w:hAnsi="Arial"/>
          <w:sz w:val="16"/>
          <w:szCs w:val="16"/>
          <w:color w:val="auto"/>
        </w:rPr>
        <w:t>In July 2014, the IASB issued the complete version of IFRS 9, which combines the phases of classification and measurement, impairment and hedging accounting to replace IAS 39 “Financial instruments: Measurement and Recognition”.</w:t>
      </w:r>
    </w:p>
    <w:p>
      <w:pPr>
        <w:spacing w:after="0" w:line="346" w:lineRule="exact"/>
        <w:rPr>
          <w:rFonts w:ascii="Arial" w:cs="Arial" w:eastAsia="Arial" w:hAnsi="Arial"/>
          <w:sz w:val="16"/>
          <w:szCs w:val="16"/>
          <w:color w:val="auto"/>
        </w:rPr>
      </w:pPr>
    </w:p>
    <w:p>
      <w:pPr>
        <w:ind w:left="5645" w:hanging="91"/>
        <w:spacing w:after="0"/>
        <w:tabs>
          <w:tab w:leader="none" w:pos="56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0" w:right="219" w:bottom="1440" w:gutter="0" w:footer="0" w:header="0"/>
        </w:sectPr>
      </w:pPr>
    </w:p>
    <w:bookmarkStart w:id="27" w:name="page28"/>
    <w:bookmarkEnd w:id="27"/>
    <w:p>
      <w:pPr>
        <w:spacing w:after="0" w:line="258" w:lineRule="auto"/>
        <w:rPr>
          <w:sz w:val="20"/>
          <w:szCs w:val="20"/>
          <w:color w:val="auto"/>
        </w:rPr>
      </w:pPr>
      <w:r>
        <w:rPr>
          <w:rFonts w:ascii="Arial" w:cs="Arial" w:eastAsia="Arial" w:hAnsi="Arial"/>
          <w:sz w:val="16"/>
          <w:szCs w:val="16"/>
          <w:color w:val="auto"/>
        </w:rPr>
        <w:t>IFRS 9 establishes three categories of classification and measurement for financial assets: amortized cost, fair value through other comprehensive income and fair value through profit or loss. This classification is used by the entity's business model to manage the financial assets and the characteristics of the contractual cash flows of the financial assets.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financial liabilities, the majority of classification and measurement requirements included in IFRS 9 are similar to those in IAS 39.</w:t>
      </w:r>
    </w:p>
    <w:p>
      <w:pPr>
        <w:spacing w:after="0" w:line="195" w:lineRule="exact"/>
        <w:rPr>
          <w:sz w:val="20"/>
          <w:szCs w:val="20"/>
          <w:color w:val="auto"/>
        </w:rPr>
      </w:pPr>
    </w:p>
    <w:p>
      <w:pPr>
        <w:jc w:val="both"/>
        <w:ind w:right="260"/>
        <w:spacing w:after="0" w:line="258" w:lineRule="auto"/>
        <w:rPr>
          <w:sz w:val="20"/>
          <w:szCs w:val="20"/>
          <w:color w:val="auto"/>
        </w:rPr>
      </w:pPr>
      <w:r>
        <w:rPr>
          <w:rFonts w:ascii="Arial" w:cs="Arial" w:eastAsia="Arial" w:hAnsi="Arial"/>
          <w:sz w:val="16"/>
          <w:szCs w:val="16"/>
          <w:color w:val="auto"/>
        </w:rPr>
        <w:t>IFRS 9 introduces a new impairment model based on expected credit losses involving three stages approach whereby financial assets go through these stages when their credit quality changes. This model differs significantly from the model under IAS 39 related to credit losses incurred, which results in the early recognition of credit losses.</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addition, the current model of hedge accounting according to IFRS 9 simplifies hedge accounting, aligns the accounting of the hedging relationships more closely with the risk management activities of an entity and permits hedge accounting to be applied more widely to a greater variety of hedging instruments and risks suitable for hedge accounting.</w:t>
      </w:r>
    </w:p>
    <w:p>
      <w:pPr>
        <w:spacing w:after="0" w:line="165" w:lineRule="exact"/>
        <w:rPr>
          <w:sz w:val="20"/>
          <w:szCs w:val="20"/>
          <w:color w:val="auto"/>
        </w:rPr>
      </w:pPr>
    </w:p>
    <w:p>
      <w:pPr>
        <w:ind w:right="100"/>
        <w:spacing w:after="0" w:line="342" w:lineRule="auto"/>
        <w:rPr>
          <w:sz w:val="20"/>
          <w:szCs w:val="20"/>
          <w:color w:val="auto"/>
        </w:rPr>
      </w:pPr>
      <w:r>
        <w:rPr>
          <w:rFonts w:ascii="Arial" w:cs="Arial" w:eastAsia="Arial" w:hAnsi="Arial"/>
          <w:sz w:val="14"/>
          <w:szCs w:val="14"/>
          <w:color w:val="auto"/>
        </w:rPr>
        <w:t>The new classification, measurement and impairment requirements were applied adjusting our consolidated statement of financial position at January 1, 2018, date of initial application, without restating the financial information for the comparative period, as permitted by the aforementioned accounting standard.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initial recognition and subsequent measurement are explained in Note 3(f) and the determination of impairment is explained in Note 3(i).</w:t>
      </w:r>
    </w:p>
    <w:p>
      <w:pPr>
        <w:spacing w:after="0" w:line="385"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11430</wp:posOffset>
            </wp:positionV>
            <wp:extent cx="726313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580"/>
          </w:cols>
          <w:pgMar w:left="1080" w:top="814" w:right="239" w:bottom="1440" w:gutter="0" w:footer="0" w:header="0"/>
        </w:sectPr>
      </w:pPr>
    </w:p>
    <w:bookmarkStart w:id="28" w:name="page29"/>
    <w:bookmarkEnd w:id="28"/>
    <w:p>
      <w:pPr>
        <w:ind w:left="280" w:hanging="276"/>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Classification and measurement of the financial instruments</w:t>
      </w:r>
    </w:p>
    <w:p>
      <w:pPr>
        <w:spacing w:after="0" w:line="195"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4"/>
          <w:szCs w:val="14"/>
          <w:color w:val="auto"/>
        </w:rPr>
        <w:t>The following table presents the measurement categories and the carrying value of the financial instruments under IAS 39 and IFRS 9 as of January 1, 2018:</w:t>
      </w:r>
    </w:p>
    <w:p>
      <w:pPr>
        <w:spacing w:after="0" w:line="223"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Borders>
              <w:bottom w:val="single" w:sz="8" w:color="auto"/>
            </w:tcBorders>
            <w:gridSpan w:val="2"/>
          </w:tcPr>
          <w:p>
            <w:pPr>
              <w:ind w:left="1600"/>
              <w:spacing w:after="0"/>
              <w:rPr>
                <w:sz w:val="20"/>
                <w:szCs w:val="20"/>
                <w:color w:val="auto"/>
              </w:rPr>
            </w:pPr>
            <w:r>
              <w:rPr>
                <w:rFonts w:ascii="Arial" w:cs="Arial" w:eastAsia="Arial" w:hAnsi="Arial"/>
                <w:sz w:val="13"/>
                <w:szCs w:val="13"/>
                <w:b w:val="1"/>
                <w:bCs w:val="1"/>
                <w:color w:val="auto"/>
              </w:rPr>
              <w:t>IAS 39</w:t>
            </w: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Borders>
              <w:bottom w:val="single" w:sz="8" w:color="auto"/>
            </w:tcBorders>
            <w:gridSpan w:val="2"/>
          </w:tcPr>
          <w:p>
            <w:pPr>
              <w:ind w:left="1740"/>
              <w:spacing w:after="0"/>
              <w:rPr>
                <w:sz w:val="20"/>
                <w:szCs w:val="20"/>
                <w:color w:val="auto"/>
              </w:rPr>
            </w:pPr>
            <w:r>
              <w:rPr>
                <w:rFonts w:ascii="Arial" w:cs="Arial" w:eastAsia="Arial" w:hAnsi="Arial"/>
                <w:sz w:val="13"/>
                <w:szCs w:val="13"/>
                <w:b w:val="1"/>
                <w:bCs w:val="1"/>
                <w:color w:val="auto"/>
              </w:rPr>
              <w:t>IFRS 9</w:t>
            </w: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Financial assets</w:t>
            </w:r>
          </w:p>
        </w:tc>
        <w:tc>
          <w:tcPr>
            <w:tcW w:w="100" w:type="dxa"/>
            <w:vAlign w:val="bottom"/>
          </w:tcPr>
          <w:p>
            <w:pPr>
              <w:spacing w:after="0"/>
              <w:rPr>
                <w:sz w:val="8"/>
                <w:szCs w:val="8"/>
                <w:color w:val="auto"/>
              </w:rPr>
            </w:pPr>
          </w:p>
        </w:tc>
        <w:tc>
          <w:tcPr>
            <w:tcW w:w="2360" w:type="dxa"/>
            <w:vAlign w:val="bottom"/>
            <w:gridSpan w:val="2"/>
            <w:vMerge w:val="restart"/>
          </w:tcPr>
          <w:p>
            <w:pPr>
              <w:ind w:left="880"/>
              <w:spacing w:after="0"/>
              <w:rPr>
                <w:sz w:val="20"/>
                <w:szCs w:val="20"/>
                <w:color w:val="auto"/>
              </w:rPr>
            </w:pPr>
            <w:r>
              <w:rPr>
                <w:rFonts w:ascii="Arial" w:cs="Arial" w:eastAsia="Arial" w:hAnsi="Arial"/>
                <w:sz w:val="13"/>
                <w:szCs w:val="13"/>
                <w:b w:val="1"/>
                <w:bCs w:val="1"/>
                <w:color w:val="auto"/>
              </w:rPr>
              <w:t>Category</w:t>
            </w:r>
          </w:p>
        </w:tc>
        <w:tc>
          <w:tcPr>
            <w:tcW w:w="1220" w:type="dxa"/>
            <w:vAlign w:val="bottom"/>
            <w:gridSpan w:val="2"/>
          </w:tcPr>
          <w:p>
            <w:pPr>
              <w:jc w:val="center"/>
              <w:ind w:right="120"/>
              <w:spacing w:after="0" w:line="103" w:lineRule="exact"/>
              <w:rPr>
                <w:sz w:val="20"/>
                <w:szCs w:val="20"/>
                <w:color w:val="auto"/>
              </w:rPr>
            </w:pPr>
            <w:r>
              <w:rPr>
                <w:rFonts w:ascii="Arial" w:cs="Arial" w:eastAsia="Arial" w:hAnsi="Arial"/>
                <w:sz w:val="11"/>
                <w:szCs w:val="11"/>
                <w:b w:val="1"/>
                <w:bCs w:val="1"/>
                <w:color w:val="auto"/>
              </w:rPr>
              <w:t>Carrying</w:t>
            </w:r>
          </w:p>
        </w:tc>
        <w:tc>
          <w:tcPr>
            <w:tcW w:w="100" w:type="dxa"/>
            <w:vAlign w:val="bottom"/>
          </w:tcPr>
          <w:p>
            <w:pPr>
              <w:spacing w:after="0"/>
              <w:rPr>
                <w:sz w:val="8"/>
                <w:szCs w:val="8"/>
                <w:color w:val="auto"/>
              </w:rPr>
            </w:pPr>
          </w:p>
        </w:tc>
        <w:tc>
          <w:tcPr>
            <w:tcW w:w="2640" w:type="dxa"/>
            <w:vAlign w:val="bottom"/>
            <w:gridSpan w:val="2"/>
            <w:vMerge w:val="restart"/>
          </w:tcPr>
          <w:p>
            <w:pPr>
              <w:ind w:left="1020"/>
              <w:spacing w:after="0"/>
              <w:rPr>
                <w:sz w:val="20"/>
                <w:szCs w:val="20"/>
                <w:color w:val="auto"/>
              </w:rPr>
            </w:pPr>
            <w:r>
              <w:rPr>
                <w:rFonts w:ascii="Arial" w:cs="Arial" w:eastAsia="Arial" w:hAnsi="Arial"/>
                <w:sz w:val="13"/>
                <w:szCs w:val="13"/>
                <w:b w:val="1"/>
                <w:bCs w:val="1"/>
                <w:color w:val="auto"/>
              </w:rPr>
              <w:t>Category</w:t>
            </w:r>
          </w:p>
        </w:tc>
        <w:tc>
          <w:tcPr>
            <w:tcW w:w="1200" w:type="dxa"/>
            <w:vAlign w:val="bottom"/>
            <w:gridSpan w:val="3"/>
          </w:tcPr>
          <w:p>
            <w:pPr>
              <w:jc w:val="center"/>
              <w:ind w:right="100"/>
              <w:spacing w:after="0" w:line="103" w:lineRule="exact"/>
              <w:rPr>
                <w:sz w:val="20"/>
                <w:szCs w:val="20"/>
                <w:color w:val="auto"/>
              </w:rPr>
            </w:pPr>
            <w:r>
              <w:rPr>
                <w:rFonts w:ascii="Arial" w:cs="Arial" w:eastAsia="Arial" w:hAnsi="Arial"/>
                <w:sz w:val="11"/>
                <w:szCs w:val="11"/>
                <w:b w:val="1"/>
                <w:bCs w:val="1"/>
                <w:color w:val="auto"/>
              </w:rPr>
              <w:t>Carrying</w:t>
            </w:r>
          </w:p>
        </w:tc>
        <w:tc>
          <w:tcPr>
            <w:tcW w:w="0" w:type="dxa"/>
            <w:vAlign w:val="bottom"/>
          </w:tcPr>
          <w:p>
            <w:pPr>
              <w:spacing w:after="0"/>
              <w:rPr>
                <w:sz w:val="1"/>
                <w:szCs w:val="1"/>
                <w:color w:val="auto"/>
              </w:rPr>
            </w:pPr>
          </w:p>
        </w:tc>
      </w:tr>
      <w:tr>
        <w:trPr>
          <w:trHeight w:val="150"/>
        </w:trPr>
        <w:tc>
          <w:tcPr>
            <w:tcW w:w="2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2"/>
            <w:vMerge w:val="continue"/>
          </w:tcPr>
          <w:p>
            <w:pPr>
              <w:spacing w:after="0"/>
              <w:rPr>
                <w:sz w:val="13"/>
                <w:szCs w:val="13"/>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2640" w:type="dxa"/>
            <w:vAlign w:val="bottom"/>
            <w:gridSpan w:val="2"/>
            <w:vMerge w:val="continue"/>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Cash and due from banks</w:t>
            </w:r>
          </w:p>
        </w:tc>
        <w:tc>
          <w:tcPr>
            <w:tcW w:w="10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Loans and receivables</w:t>
            </w:r>
          </w:p>
        </w:tc>
        <w:tc>
          <w:tcPr>
            <w:tcW w:w="12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23,221,987</w:t>
            </w:r>
          </w:p>
        </w:tc>
        <w:tc>
          <w:tcPr>
            <w:tcW w:w="10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23,221,987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254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0"/>
              </w:rPr>
              <w:t>Cash collateral, reverse repurchase agreements</w:t>
            </w:r>
          </w:p>
        </w:tc>
        <w:tc>
          <w:tcPr>
            <w:tcW w:w="10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and securities borrowings</w:t>
            </w: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Loans and receivables</w:t>
            </w:r>
          </w:p>
        </w:tc>
        <w:tc>
          <w:tcPr>
            <w:tcW w:w="12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7,480,420</w:t>
            </w:r>
          </w:p>
        </w:tc>
        <w:tc>
          <w:tcPr>
            <w:tcW w:w="1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Amortized cost</w:t>
            </w:r>
          </w:p>
        </w:tc>
        <w:tc>
          <w:tcPr>
            <w:tcW w:w="112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7,480,420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Investments</w:t>
            </w:r>
          </w:p>
        </w:tc>
        <w:tc>
          <w:tcPr>
            <w:tcW w:w="10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At fair value through profit or loss</w:t>
            </w:r>
          </w:p>
        </w:tc>
        <w:tc>
          <w:tcPr>
            <w:tcW w:w="12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4,024,737</w:t>
            </w:r>
          </w:p>
        </w:tc>
        <w:tc>
          <w:tcPr>
            <w:tcW w:w="10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At fair value through profit or loss</w:t>
            </w:r>
          </w:p>
        </w:tc>
        <w:tc>
          <w:tcPr>
            <w:tcW w:w="11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5,613,356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4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At fair value through other comprehensive</w:t>
            </w:r>
          </w:p>
        </w:tc>
        <w:tc>
          <w:tcPr>
            <w:tcW w:w="1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Available-for-sale</w:t>
            </w:r>
          </w:p>
        </w:tc>
        <w:tc>
          <w:tcPr>
            <w:tcW w:w="12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24,423,891</w:t>
            </w:r>
          </w:p>
        </w:tc>
        <w:tc>
          <w:tcPr>
            <w:tcW w:w="1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160"/>
              <w:spacing w:after="0" w:line="146" w:lineRule="exact"/>
              <w:rPr>
                <w:sz w:val="20"/>
                <w:szCs w:val="20"/>
                <w:color w:val="auto"/>
              </w:rPr>
            </w:pPr>
            <w:r>
              <w:rPr>
                <w:rFonts w:ascii="Arial" w:cs="Arial" w:eastAsia="Arial" w:hAnsi="Arial"/>
                <w:sz w:val="13"/>
                <w:szCs w:val="13"/>
                <w:color w:val="auto"/>
              </w:rPr>
              <w:t>income (Debt instruments)</w:t>
            </w:r>
          </w:p>
        </w:tc>
        <w:tc>
          <w:tcPr>
            <w:tcW w:w="112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22,181,733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gridSpan w:val="2"/>
          </w:tcPr>
          <w:p>
            <w:pPr>
              <w:spacing w:after="0" w:line="114" w:lineRule="exact"/>
              <w:rPr>
                <w:sz w:val="20"/>
                <w:szCs w:val="20"/>
                <w:color w:val="auto"/>
              </w:rPr>
            </w:pPr>
            <w:r>
              <w:rPr>
                <w:rFonts w:ascii="Arial" w:cs="Arial" w:eastAsia="Arial" w:hAnsi="Arial"/>
                <w:sz w:val="13"/>
                <w:szCs w:val="13"/>
                <w:color w:val="auto"/>
              </w:rPr>
              <w:t>At fair value through other comprehensive</w:t>
            </w: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2"/>
          </w:tcPr>
          <w:p>
            <w:pPr>
              <w:ind w:left="160"/>
              <w:spacing w:after="0" w:line="146" w:lineRule="exact"/>
              <w:rPr>
                <w:sz w:val="20"/>
                <w:szCs w:val="20"/>
                <w:color w:val="auto"/>
              </w:rPr>
            </w:pPr>
            <w:r>
              <w:rPr>
                <w:rFonts w:ascii="Arial" w:cs="Arial" w:eastAsia="Arial" w:hAnsi="Arial"/>
                <w:sz w:val="13"/>
                <w:szCs w:val="13"/>
                <w:color w:val="auto"/>
              </w:rPr>
              <w:t>income (Designated equity instruments)</w:t>
            </w:r>
          </w:p>
        </w:tc>
        <w:tc>
          <w:tcPr>
            <w:tcW w:w="112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653,539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color w:val="auto"/>
              </w:rPr>
              <w:t>Held-to-maturity</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4,413,373</w:t>
            </w:r>
          </w:p>
        </w:tc>
        <w:tc>
          <w:tcPr>
            <w:tcW w:w="100" w:type="dxa"/>
            <w:vAlign w:val="bottom"/>
          </w:tcPr>
          <w:p>
            <w:pPr>
              <w:spacing w:after="0"/>
              <w:rPr>
                <w:sz w:val="11"/>
                <w:szCs w:val="11"/>
                <w:color w:val="auto"/>
              </w:rPr>
            </w:pPr>
          </w:p>
        </w:tc>
        <w:tc>
          <w:tcPr>
            <w:tcW w:w="2640" w:type="dxa"/>
            <w:vAlign w:val="bottom"/>
            <w:gridSpan w:val="2"/>
          </w:tcPr>
          <w:p>
            <w:pPr>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4,411,637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Loans, net</w:t>
            </w: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color w:val="auto"/>
              </w:rPr>
              <w:t>Loans and receivables</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95,977,277</w:t>
            </w:r>
          </w:p>
        </w:tc>
        <w:tc>
          <w:tcPr>
            <w:tcW w:w="100" w:type="dxa"/>
            <w:vAlign w:val="bottom"/>
          </w:tcPr>
          <w:p>
            <w:pPr>
              <w:spacing w:after="0"/>
              <w:rPr>
                <w:sz w:val="11"/>
                <w:szCs w:val="11"/>
                <w:color w:val="auto"/>
              </w:rPr>
            </w:pPr>
          </w:p>
        </w:tc>
        <w:tc>
          <w:tcPr>
            <w:tcW w:w="2640" w:type="dxa"/>
            <w:vAlign w:val="bottom"/>
            <w:gridSpan w:val="2"/>
          </w:tcPr>
          <w:p>
            <w:pPr>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95,770,509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2540" w:type="dxa"/>
            <w:vAlign w:val="bottom"/>
          </w:tcPr>
          <w:p>
            <w:pPr>
              <w:spacing w:after="0" w:line="114" w:lineRule="exact"/>
              <w:rPr>
                <w:sz w:val="20"/>
                <w:szCs w:val="20"/>
                <w:color w:val="auto"/>
              </w:rPr>
            </w:pPr>
            <w:r>
              <w:rPr>
                <w:rFonts w:ascii="Arial" w:cs="Arial" w:eastAsia="Arial" w:hAnsi="Arial"/>
                <w:sz w:val="13"/>
                <w:szCs w:val="13"/>
                <w:color w:val="auto"/>
                <w:w w:val="90"/>
              </w:rPr>
              <w:t>Financial assets designated at fair value through</w:t>
            </w:r>
          </w:p>
        </w:tc>
        <w:tc>
          <w:tcPr>
            <w:tcW w:w="100" w:type="dxa"/>
            <w:vAlign w:val="bottom"/>
          </w:tcPr>
          <w:p>
            <w:pPr>
              <w:spacing w:after="0"/>
              <w:rPr>
                <w:sz w:val="9"/>
                <w:szCs w:val="9"/>
                <w:color w:val="auto"/>
              </w:rPr>
            </w:pPr>
          </w:p>
        </w:tc>
        <w:tc>
          <w:tcPr>
            <w:tcW w:w="2360" w:type="dxa"/>
            <w:vAlign w:val="bottom"/>
            <w:gridSpan w:val="2"/>
          </w:tcPr>
          <w:p>
            <w:pPr>
              <w:spacing w:after="0" w:line="114" w:lineRule="exact"/>
              <w:rPr>
                <w:sz w:val="20"/>
                <w:szCs w:val="20"/>
                <w:color w:val="auto"/>
              </w:rPr>
            </w:pPr>
            <w:r>
              <w:rPr>
                <w:rFonts w:ascii="Arial" w:cs="Arial" w:eastAsia="Arial" w:hAnsi="Arial"/>
                <w:sz w:val="13"/>
                <w:szCs w:val="13"/>
                <w:color w:val="auto"/>
              </w:rPr>
              <w:t>At fair value through profit or loss</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gridSpan w:val="2"/>
          </w:tcPr>
          <w:p>
            <w:pPr>
              <w:spacing w:after="0" w:line="114" w:lineRule="exact"/>
              <w:rPr>
                <w:sz w:val="20"/>
                <w:szCs w:val="20"/>
                <w:color w:val="auto"/>
              </w:rPr>
            </w:pPr>
            <w:r>
              <w:rPr>
                <w:rFonts w:ascii="Arial" w:cs="Arial" w:eastAsia="Arial" w:hAnsi="Arial"/>
                <w:sz w:val="13"/>
                <w:szCs w:val="13"/>
                <w:color w:val="auto"/>
                <w:w w:val="99"/>
              </w:rPr>
              <w:t>At fair value through profit or loss (Designated</w:t>
            </w: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ind w:left="140"/>
              <w:spacing w:after="0" w:line="146" w:lineRule="exact"/>
              <w:rPr>
                <w:sz w:val="20"/>
                <w:szCs w:val="20"/>
                <w:color w:val="auto"/>
              </w:rPr>
            </w:pPr>
            <w:r>
              <w:rPr>
                <w:rFonts w:ascii="Arial" w:cs="Arial" w:eastAsia="Arial" w:hAnsi="Arial"/>
                <w:sz w:val="13"/>
                <w:szCs w:val="13"/>
                <w:color w:val="auto"/>
              </w:rPr>
              <w:t>profit or loss</w:t>
            </w:r>
          </w:p>
        </w:tc>
        <w:tc>
          <w:tcPr>
            <w:tcW w:w="100" w:type="dxa"/>
            <w:vAlign w:val="bottom"/>
          </w:tcPr>
          <w:p>
            <w:pPr>
              <w:spacing w:after="0"/>
              <w:rPr>
                <w:sz w:val="12"/>
                <w:szCs w:val="12"/>
                <w:color w:val="auto"/>
              </w:rPr>
            </w:pPr>
          </w:p>
        </w:tc>
        <w:tc>
          <w:tcPr>
            <w:tcW w:w="236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(Designated upon initial recognition)</w:t>
            </w:r>
          </w:p>
        </w:tc>
        <w:tc>
          <w:tcPr>
            <w:tcW w:w="12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537,685</w:t>
            </w:r>
          </w:p>
        </w:tc>
        <w:tc>
          <w:tcPr>
            <w:tcW w:w="100" w:type="dxa"/>
            <w:vAlign w:val="bottom"/>
          </w:tcPr>
          <w:p>
            <w:pPr>
              <w:spacing w:after="0"/>
              <w:rPr>
                <w:sz w:val="12"/>
                <w:szCs w:val="12"/>
                <w:color w:val="auto"/>
              </w:rPr>
            </w:pPr>
          </w:p>
        </w:tc>
        <w:tc>
          <w:tcPr>
            <w:tcW w:w="2640" w:type="dxa"/>
            <w:vAlign w:val="bottom"/>
            <w:gridSpan w:val="2"/>
          </w:tcPr>
          <w:p>
            <w:pPr>
              <w:ind w:left="160"/>
              <w:spacing w:after="0" w:line="146" w:lineRule="exact"/>
              <w:rPr>
                <w:sz w:val="20"/>
                <w:szCs w:val="20"/>
                <w:color w:val="auto"/>
              </w:rPr>
            </w:pPr>
            <w:r>
              <w:rPr>
                <w:rFonts w:ascii="Arial" w:cs="Arial" w:eastAsia="Arial" w:hAnsi="Arial"/>
                <w:sz w:val="13"/>
                <w:szCs w:val="13"/>
                <w:color w:val="auto"/>
              </w:rPr>
              <w:t>upon initial recognition)</w:t>
            </w:r>
          </w:p>
        </w:tc>
        <w:tc>
          <w:tcPr>
            <w:tcW w:w="112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537,685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Premiums and other policies receivable</w:t>
            </w: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color w:val="auto"/>
              </w:rPr>
              <w:t>Loans and receivables</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656,829</w:t>
            </w:r>
          </w:p>
        </w:tc>
        <w:tc>
          <w:tcPr>
            <w:tcW w:w="100" w:type="dxa"/>
            <w:vAlign w:val="bottom"/>
          </w:tcPr>
          <w:p>
            <w:pPr>
              <w:spacing w:after="0"/>
              <w:rPr>
                <w:sz w:val="11"/>
                <w:szCs w:val="11"/>
                <w:color w:val="auto"/>
              </w:rPr>
            </w:pPr>
          </w:p>
        </w:tc>
        <w:tc>
          <w:tcPr>
            <w:tcW w:w="2640" w:type="dxa"/>
            <w:vAlign w:val="bottom"/>
            <w:gridSpan w:val="2"/>
          </w:tcPr>
          <w:p>
            <w:pPr>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649,135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2540" w:type="dxa"/>
            <w:vAlign w:val="bottom"/>
          </w:tcPr>
          <w:p>
            <w:pPr>
              <w:spacing w:after="0" w:line="114" w:lineRule="exact"/>
              <w:rPr>
                <w:sz w:val="20"/>
                <w:szCs w:val="20"/>
                <w:color w:val="auto"/>
              </w:rPr>
            </w:pPr>
            <w:r>
              <w:rPr>
                <w:rFonts w:ascii="Arial" w:cs="Arial" w:eastAsia="Arial" w:hAnsi="Arial"/>
                <w:sz w:val="13"/>
                <w:szCs w:val="13"/>
                <w:color w:val="auto"/>
              </w:rPr>
              <w:t>Accounts receivable from reinsurers and</w:t>
            </w: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ind w:left="140"/>
              <w:spacing w:after="0" w:line="146" w:lineRule="exact"/>
              <w:rPr>
                <w:sz w:val="20"/>
                <w:szCs w:val="20"/>
                <w:color w:val="auto"/>
              </w:rPr>
            </w:pPr>
            <w:r>
              <w:rPr>
                <w:rFonts w:ascii="Arial" w:cs="Arial" w:eastAsia="Arial" w:hAnsi="Arial"/>
                <w:sz w:val="13"/>
                <w:szCs w:val="13"/>
                <w:color w:val="auto"/>
              </w:rPr>
              <w:t>coinsurers</w:t>
            </w:r>
          </w:p>
        </w:tc>
        <w:tc>
          <w:tcPr>
            <w:tcW w:w="100" w:type="dxa"/>
            <w:vAlign w:val="bottom"/>
          </w:tcPr>
          <w:p>
            <w:pPr>
              <w:spacing w:after="0"/>
              <w:rPr>
                <w:sz w:val="12"/>
                <w:szCs w:val="12"/>
                <w:color w:val="auto"/>
              </w:rPr>
            </w:pPr>
          </w:p>
        </w:tc>
        <w:tc>
          <w:tcPr>
            <w:tcW w:w="2360" w:type="dxa"/>
            <w:vAlign w:val="bottom"/>
            <w:gridSpan w:val="2"/>
          </w:tcPr>
          <w:p>
            <w:pPr>
              <w:spacing w:after="0" w:line="146" w:lineRule="exact"/>
              <w:rPr>
                <w:sz w:val="20"/>
                <w:szCs w:val="20"/>
                <w:color w:val="auto"/>
              </w:rPr>
            </w:pPr>
            <w:r>
              <w:rPr>
                <w:rFonts w:ascii="Arial" w:cs="Arial" w:eastAsia="Arial" w:hAnsi="Arial"/>
                <w:sz w:val="13"/>
                <w:szCs w:val="13"/>
                <w:color w:val="auto"/>
              </w:rPr>
              <w:t>Loans and receivables</w:t>
            </w:r>
          </w:p>
        </w:tc>
        <w:tc>
          <w:tcPr>
            <w:tcW w:w="12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715,695</w:t>
            </w:r>
          </w:p>
        </w:tc>
        <w:tc>
          <w:tcPr>
            <w:tcW w:w="100" w:type="dxa"/>
            <w:vAlign w:val="bottom"/>
          </w:tcPr>
          <w:p>
            <w:pPr>
              <w:spacing w:after="0"/>
              <w:rPr>
                <w:sz w:val="12"/>
                <w:szCs w:val="12"/>
                <w:color w:val="auto"/>
              </w:rPr>
            </w:pPr>
          </w:p>
        </w:tc>
        <w:tc>
          <w:tcPr>
            <w:tcW w:w="2640" w:type="dxa"/>
            <w:vAlign w:val="bottom"/>
            <w:gridSpan w:val="2"/>
          </w:tcPr>
          <w:p>
            <w:pPr>
              <w:spacing w:after="0" w:line="146" w:lineRule="exact"/>
              <w:rPr>
                <w:sz w:val="20"/>
                <w:szCs w:val="20"/>
                <w:color w:val="auto"/>
              </w:rPr>
            </w:pPr>
            <w:r>
              <w:rPr>
                <w:rFonts w:ascii="Arial" w:cs="Arial" w:eastAsia="Arial" w:hAnsi="Arial"/>
                <w:sz w:val="13"/>
                <w:szCs w:val="13"/>
                <w:color w:val="auto"/>
              </w:rPr>
              <w:t>Amortized cost</w:t>
            </w:r>
          </w:p>
        </w:tc>
        <w:tc>
          <w:tcPr>
            <w:tcW w:w="112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715,553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Due from customers on acceptances</w:t>
            </w: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color w:val="auto"/>
              </w:rPr>
              <w:t>Loans and receivables</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532,034</w:t>
            </w:r>
          </w:p>
        </w:tc>
        <w:tc>
          <w:tcPr>
            <w:tcW w:w="100" w:type="dxa"/>
            <w:vAlign w:val="bottom"/>
          </w:tcPr>
          <w:p>
            <w:pPr>
              <w:spacing w:after="0"/>
              <w:rPr>
                <w:sz w:val="11"/>
                <w:szCs w:val="11"/>
                <w:color w:val="auto"/>
              </w:rPr>
            </w:pPr>
          </w:p>
        </w:tc>
        <w:tc>
          <w:tcPr>
            <w:tcW w:w="2640" w:type="dxa"/>
            <w:vAlign w:val="bottom"/>
            <w:gridSpan w:val="2"/>
          </w:tcPr>
          <w:p>
            <w:pPr>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532,034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tcPr>
          <w:p>
            <w:pPr>
              <w:spacing w:after="0" w:line="114" w:lineRule="exact"/>
              <w:rPr>
                <w:sz w:val="20"/>
                <w:szCs w:val="20"/>
                <w:color w:val="auto"/>
              </w:rPr>
            </w:pPr>
            <w:r>
              <w:rPr>
                <w:rFonts w:ascii="Arial" w:cs="Arial" w:eastAsia="Arial" w:hAnsi="Arial"/>
                <w:sz w:val="13"/>
                <w:szCs w:val="13"/>
                <w:color w:val="auto"/>
              </w:rPr>
              <w:t>At fair value for trading or for hedging</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560" w:type="dxa"/>
            <w:vAlign w:val="bottom"/>
            <w:gridSpan w:val="2"/>
          </w:tcPr>
          <w:p>
            <w:pPr>
              <w:spacing w:after="0" w:line="146" w:lineRule="exact"/>
              <w:rPr>
                <w:sz w:val="20"/>
                <w:szCs w:val="20"/>
                <w:color w:val="auto"/>
              </w:rPr>
            </w:pPr>
            <w:r>
              <w:rPr>
                <w:rFonts w:ascii="Arial" w:cs="Arial" w:eastAsia="Arial" w:hAnsi="Arial"/>
                <w:sz w:val="13"/>
                <w:szCs w:val="13"/>
                <w:color w:val="auto"/>
              </w:rPr>
              <w:t>Derivatives receivable</w:t>
            </w:r>
          </w:p>
        </w:tc>
        <w:tc>
          <w:tcPr>
            <w:tcW w:w="100" w:type="dxa"/>
            <w:vAlign w:val="bottom"/>
          </w:tcPr>
          <w:p>
            <w:pPr>
              <w:spacing w:after="0"/>
              <w:rPr>
                <w:sz w:val="12"/>
                <w:szCs w:val="12"/>
                <w:color w:val="auto"/>
              </w:rPr>
            </w:pPr>
          </w:p>
        </w:tc>
        <w:tc>
          <w:tcPr>
            <w:tcW w:w="236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purposes</w:t>
            </w:r>
          </w:p>
        </w:tc>
        <w:tc>
          <w:tcPr>
            <w:tcW w:w="12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701,826</w:t>
            </w:r>
          </w:p>
        </w:tc>
        <w:tc>
          <w:tcPr>
            <w:tcW w:w="100" w:type="dxa"/>
            <w:vAlign w:val="bottom"/>
          </w:tcPr>
          <w:p>
            <w:pPr>
              <w:spacing w:after="0"/>
              <w:rPr>
                <w:sz w:val="12"/>
                <w:szCs w:val="12"/>
                <w:color w:val="auto"/>
              </w:rPr>
            </w:pPr>
          </w:p>
        </w:tc>
        <w:tc>
          <w:tcPr>
            <w:tcW w:w="2640" w:type="dxa"/>
            <w:vAlign w:val="bottom"/>
            <w:gridSpan w:val="2"/>
          </w:tcPr>
          <w:p>
            <w:pPr>
              <w:spacing w:after="0" w:line="146" w:lineRule="exact"/>
              <w:rPr>
                <w:sz w:val="20"/>
                <w:szCs w:val="20"/>
                <w:color w:val="auto"/>
              </w:rPr>
            </w:pPr>
            <w:r>
              <w:rPr>
                <w:rFonts w:ascii="Arial" w:cs="Arial" w:eastAsia="Arial" w:hAnsi="Arial"/>
                <w:sz w:val="13"/>
                <w:szCs w:val="13"/>
                <w:color w:val="auto"/>
                <w:w w:val="96"/>
              </w:rPr>
              <w:t>At fair value for trading or for hedging purposes</w:t>
            </w:r>
          </w:p>
        </w:tc>
        <w:tc>
          <w:tcPr>
            <w:tcW w:w="112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701,826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color w:val="auto"/>
              </w:rPr>
              <w:t>Loans and receivables</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1,759,125</w:t>
            </w:r>
          </w:p>
        </w:tc>
        <w:tc>
          <w:tcPr>
            <w:tcW w:w="100" w:type="dxa"/>
            <w:vAlign w:val="bottom"/>
          </w:tcPr>
          <w:p>
            <w:pPr>
              <w:spacing w:after="0"/>
              <w:rPr>
                <w:sz w:val="11"/>
                <w:szCs w:val="11"/>
                <w:color w:val="auto"/>
              </w:rPr>
            </w:pPr>
          </w:p>
        </w:tc>
        <w:tc>
          <w:tcPr>
            <w:tcW w:w="2640" w:type="dxa"/>
            <w:vAlign w:val="bottom"/>
            <w:gridSpan w:val="2"/>
          </w:tcPr>
          <w:p>
            <w:pPr>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1,759,125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Total financial assets</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164,444,879</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164,228,539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4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Financial liabilities</w:t>
            </w:r>
          </w:p>
        </w:tc>
        <w:tc>
          <w:tcPr>
            <w:tcW w:w="10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Liabilities</w:t>
            </w: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color w:val="auto"/>
              </w:rPr>
              <w:t>Amortized cost</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130,842,331</w:t>
            </w:r>
          </w:p>
        </w:tc>
        <w:tc>
          <w:tcPr>
            <w:tcW w:w="100" w:type="dxa"/>
            <w:vAlign w:val="bottom"/>
          </w:tcPr>
          <w:p>
            <w:pPr>
              <w:spacing w:after="0"/>
              <w:rPr>
                <w:sz w:val="11"/>
                <w:szCs w:val="11"/>
                <w:color w:val="auto"/>
              </w:rPr>
            </w:pPr>
          </w:p>
        </w:tc>
        <w:tc>
          <w:tcPr>
            <w:tcW w:w="2640" w:type="dxa"/>
            <w:vAlign w:val="bottom"/>
            <w:gridSpan w:val="2"/>
          </w:tcPr>
          <w:p>
            <w:pPr>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130,956,515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Liabilities</w:t>
            </w: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color w:val="auto"/>
              </w:rPr>
              <w:t>At fair value</w:t>
            </w:r>
          </w:p>
        </w:tc>
        <w:tc>
          <w:tcPr>
            <w:tcW w:w="12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8,791,390</w:t>
            </w:r>
          </w:p>
        </w:tc>
        <w:tc>
          <w:tcPr>
            <w:tcW w:w="100" w:type="dxa"/>
            <w:vAlign w:val="bottom"/>
          </w:tcPr>
          <w:p>
            <w:pPr>
              <w:spacing w:after="0"/>
              <w:rPr>
                <w:sz w:val="11"/>
                <w:szCs w:val="11"/>
                <w:color w:val="auto"/>
              </w:rPr>
            </w:pPr>
          </w:p>
        </w:tc>
        <w:tc>
          <w:tcPr>
            <w:tcW w:w="2640" w:type="dxa"/>
            <w:vAlign w:val="bottom"/>
            <w:gridSpan w:val="2"/>
          </w:tcPr>
          <w:p>
            <w:pPr>
              <w:spacing w:after="0" w:line="131" w:lineRule="exact"/>
              <w:rPr>
                <w:sz w:val="20"/>
                <w:szCs w:val="20"/>
                <w:color w:val="auto"/>
              </w:rPr>
            </w:pPr>
            <w:r>
              <w:rPr>
                <w:rFonts w:ascii="Arial" w:cs="Arial" w:eastAsia="Arial" w:hAnsi="Arial"/>
                <w:sz w:val="13"/>
                <w:szCs w:val="13"/>
                <w:color w:val="auto"/>
              </w:rPr>
              <w:t>At fair value</w:t>
            </w:r>
          </w:p>
        </w:tc>
        <w:tc>
          <w:tcPr>
            <w:tcW w:w="11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8,791,390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Total financial liabilities</w:t>
            </w:r>
          </w:p>
        </w:tc>
        <w:tc>
          <w:tcPr>
            <w:tcW w:w="11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139,633,721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20"/>
              <w:spacing w:after="0" w:line="131" w:lineRule="exact"/>
              <w:rPr>
                <w:sz w:val="20"/>
                <w:szCs w:val="20"/>
                <w:color w:val="auto"/>
              </w:rPr>
            </w:pPr>
            <w:r>
              <w:rPr>
                <w:rFonts w:ascii="Arial" w:cs="Arial" w:eastAsia="Arial" w:hAnsi="Arial"/>
                <w:sz w:val="13"/>
                <w:szCs w:val="13"/>
                <w:color w:val="auto"/>
              </w:rPr>
              <w:t>139,747,905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460"/>
          </w:cols>
          <w:pgMar w:left="800" w:top="814" w:right="639" w:bottom="1440" w:gutter="0" w:footer="0" w:header="0"/>
        </w:sectPr>
      </w:pPr>
    </w:p>
    <w:bookmarkStart w:id="29" w:name="page30"/>
    <w:bookmarkEnd w:id="29"/>
    <w:p>
      <w:pPr>
        <w:ind w:left="280" w:hanging="276"/>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Reconciliation of balances of the statement of financial position from IAS 39 to IFRS 9 at January 1, 2018</w:t>
      </w:r>
    </w:p>
    <w:p>
      <w:pPr>
        <w:spacing w:after="0" w:line="195" w:lineRule="exact"/>
        <w:rPr>
          <w:rFonts w:ascii="Arial" w:cs="Arial" w:eastAsia="Arial" w:hAnsi="Arial"/>
          <w:sz w:val="16"/>
          <w:szCs w:val="16"/>
          <w:color w:val="auto"/>
        </w:rPr>
      </w:pPr>
    </w:p>
    <w:p>
      <w:pPr>
        <w:ind w:left="280" w:hanging="17"/>
        <w:spacing w:after="0" w:line="269" w:lineRule="auto"/>
        <w:rPr>
          <w:rFonts w:ascii="Arial" w:cs="Arial" w:eastAsia="Arial" w:hAnsi="Arial"/>
          <w:sz w:val="16"/>
          <w:szCs w:val="16"/>
          <w:color w:val="auto"/>
        </w:rPr>
      </w:pPr>
      <w:r>
        <w:rPr>
          <w:rFonts w:ascii="Arial" w:cs="Arial" w:eastAsia="Arial" w:hAnsi="Arial"/>
          <w:sz w:val="16"/>
          <w:szCs w:val="16"/>
          <w:color w:val="auto"/>
        </w:rPr>
        <w:t>The following table presents the detail of the reconciliation of balances of financial assets under IAS 39 to IFRS 9, distinguishing between the impacts due to category change and impairment remeasurement:</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Financial assets</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IAS 39</w:t>
            </w: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Change of</w:t>
            </w:r>
          </w:p>
        </w:tc>
        <w:tc>
          <w:tcPr>
            <w:tcW w:w="130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94"/>
              </w:rPr>
              <w:t>Impairment</w:t>
            </w: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IFRS 9</w:t>
            </w:r>
          </w:p>
        </w:tc>
        <w:tc>
          <w:tcPr>
            <w:tcW w:w="0" w:type="dxa"/>
            <w:vAlign w:val="bottom"/>
          </w:tcPr>
          <w:p>
            <w:pPr>
              <w:spacing w:after="0"/>
              <w:rPr>
                <w:sz w:val="1"/>
                <w:szCs w:val="1"/>
                <w:color w:val="auto"/>
              </w:rPr>
            </w:pPr>
          </w:p>
        </w:tc>
      </w:tr>
      <w:tr>
        <w:trPr>
          <w:trHeight w:val="150"/>
        </w:trPr>
        <w:tc>
          <w:tcPr>
            <w:tcW w:w="5000" w:type="dxa"/>
            <w:vAlign w:val="bottom"/>
            <w:gridSpan w:val="3"/>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category</w:t>
            </w:r>
          </w:p>
        </w:tc>
        <w:tc>
          <w:tcPr>
            <w:tcW w:w="130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6"/>
              </w:rPr>
              <w:t>remeasurement</w:t>
            </w: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1120" w:type="dxa"/>
            <w:vAlign w:val="bottom"/>
            <w:tcBorders>
              <w:top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3"/>
                <w:szCs w:val="13"/>
                <w:color w:val="auto"/>
              </w:rPr>
            </w:pPr>
          </w:p>
        </w:tc>
        <w:tc>
          <w:tcPr>
            <w:tcW w:w="1100" w:type="dxa"/>
            <w:vAlign w:val="bottom"/>
            <w:tcBorders>
              <w:top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Cash and due from banks</w:t>
            </w: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23,221,987</w:t>
            </w: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23,221,987</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Cash collateral, reverse repurchase agreements and securities borrowings</w:t>
            </w: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7,480,420</w:t>
            </w: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7,480,420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Investments:</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At fair value through profit or loss :</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Opening balance under IAS 39</w:t>
            </w: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4,024,737</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Addition: From investments available for sale (*)</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1,588,619</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Closing balance under IFRS 9</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5,613,356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At fair value through other comprehensive income (debt):</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Opening balance under IAS 39</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Addition: From investments available for sale</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22,181,733</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Closing balance under IFRS 9</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22,181,733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At fair value through other comprehensive income (Designated equity instruments)</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653,539</w:t>
            </w:r>
          </w:p>
        </w:tc>
        <w:tc>
          <w:tcPr>
            <w:tcW w:w="13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653,539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Available for sale: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Opening balance under IAS 39</w:t>
            </w: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24,423,891</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Subtraction: Reclassification to investments at fair value through profit or loss (*)</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(1,588,619)</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80" w:type="dxa"/>
            <w:vAlign w:val="bottom"/>
            <w:gridSpan w:val="2"/>
            <w:shd w:val="clear" w:color="auto" w:fill="CCEEFF"/>
          </w:tcPr>
          <w:p>
            <w:pPr>
              <w:ind w:left="280"/>
              <w:spacing w:after="0" w:line="114" w:lineRule="exact"/>
              <w:rPr>
                <w:sz w:val="20"/>
                <w:szCs w:val="20"/>
                <w:color w:val="auto"/>
              </w:rPr>
            </w:pPr>
            <w:r>
              <w:rPr>
                <w:rFonts w:ascii="Arial" w:cs="Arial" w:eastAsia="Arial" w:hAnsi="Arial"/>
                <w:sz w:val="13"/>
                <w:szCs w:val="13"/>
                <w:color w:val="auto"/>
                <w:w w:val="94"/>
              </w:rPr>
              <w:t>Subtraction: Reclassification to investments at fair value through other comprehensive</w:t>
            </w:r>
          </w:p>
        </w:tc>
        <w:tc>
          <w:tcPr>
            <w:tcW w:w="1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3"/>
                <w:szCs w:val="13"/>
                <w:color w:val="auto"/>
              </w:rPr>
              <w:t>income (debt)</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(22,181,733)</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80" w:type="dxa"/>
            <w:vAlign w:val="bottom"/>
            <w:gridSpan w:val="2"/>
          </w:tcPr>
          <w:p>
            <w:pPr>
              <w:ind w:left="280"/>
              <w:spacing w:after="0" w:line="114" w:lineRule="exact"/>
              <w:rPr>
                <w:sz w:val="20"/>
                <w:szCs w:val="20"/>
                <w:color w:val="auto"/>
              </w:rPr>
            </w:pPr>
            <w:r>
              <w:rPr>
                <w:rFonts w:ascii="Arial" w:cs="Arial" w:eastAsia="Arial" w:hAnsi="Arial"/>
                <w:sz w:val="13"/>
                <w:szCs w:val="13"/>
                <w:color w:val="auto"/>
                <w:w w:val="94"/>
              </w:rPr>
              <w:t>Subtraction: Reclassification to investments at fair value through other comprehensive</w:t>
            </w: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gridSpan w:val="2"/>
          </w:tcPr>
          <w:p>
            <w:pPr>
              <w:ind w:left="420"/>
              <w:spacing w:after="0" w:line="146" w:lineRule="exact"/>
              <w:rPr>
                <w:sz w:val="20"/>
                <w:szCs w:val="20"/>
                <w:color w:val="auto"/>
              </w:rPr>
            </w:pPr>
            <w:r>
              <w:rPr>
                <w:rFonts w:ascii="Arial" w:cs="Arial" w:eastAsia="Arial" w:hAnsi="Arial"/>
                <w:sz w:val="13"/>
                <w:szCs w:val="13"/>
                <w:color w:val="auto"/>
              </w:rPr>
              <w:t>income (Designated - equity)</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(653,539)</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Closing balance under IFRS 9</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Amortized cost:</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Opening balance under IAS 39</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Addition: From investments held-to-maturity (IAS 39)</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4,413,373</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Remeasurement: Expected loss (IFRS 9)</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(1,736)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Closing balance under IFRS 9</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4,411,637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Held-to-maturity:</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Opening balance under IAS 39</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4,413,373</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shd w:val="clear" w:color="auto" w:fill="CCEEFF"/>
          </w:tcPr>
          <w:p>
            <w:pPr>
              <w:ind w:left="280"/>
              <w:spacing w:after="0" w:line="131" w:lineRule="exact"/>
              <w:rPr>
                <w:sz w:val="20"/>
                <w:szCs w:val="20"/>
                <w:color w:val="auto"/>
              </w:rPr>
            </w:pPr>
            <w:r>
              <w:rPr>
                <w:rFonts w:ascii="Arial" w:cs="Arial" w:eastAsia="Arial" w:hAnsi="Arial"/>
                <w:sz w:val="13"/>
                <w:szCs w:val="13"/>
                <w:color w:val="auto"/>
              </w:rPr>
              <w:t>Subtraction: Reclassification to investments at amortized cost</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(4,413,373)</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gridSpan w:val="2"/>
          </w:tcPr>
          <w:p>
            <w:pPr>
              <w:ind w:left="280"/>
              <w:spacing w:after="0" w:line="131" w:lineRule="exact"/>
              <w:rPr>
                <w:sz w:val="20"/>
                <w:szCs w:val="20"/>
                <w:color w:val="auto"/>
              </w:rPr>
            </w:pPr>
            <w:r>
              <w:rPr>
                <w:rFonts w:ascii="Arial" w:cs="Arial" w:eastAsia="Arial" w:hAnsi="Arial"/>
                <w:sz w:val="13"/>
                <w:szCs w:val="13"/>
                <w:color w:val="auto"/>
              </w:rPr>
              <w:t>Closing balance under IFRS 9</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tcPr>
          <w:p>
            <w:pPr>
              <w:spacing w:after="0" w:line="131" w:lineRule="exact"/>
              <w:rPr>
                <w:sz w:val="20"/>
                <w:szCs w:val="20"/>
                <w:color w:val="auto"/>
              </w:rPr>
            </w:pPr>
            <w:r>
              <w:rPr>
                <w:rFonts w:ascii="Arial" w:cs="Arial" w:eastAsia="Arial" w:hAnsi="Arial"/>
                <w:sz w:val="13"/>
                <w:szCs w:val="13"/>
                <w:color w:val="auto"/>
              </w:rPr>
              <w:t>Loans, net</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95,977,277</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(206,768)</w:t>
            </w: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95,770,509</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tcPr>
          <w:p>
            <w:pPr>
              <w:spacing w:after="0" w:line="131" w:lineRule="exact"/>
              <w:rPr>
                <w:sz w:val="20"/>
                <w:szCs w:val="20"/>
                <w:color w:val="auto"/>
              </w:rPr>
            </w:pPr>
            <w:r>
              <w:rPr>
                <w:rFonts w:ascii="Arial" w:cs="Arial" w:eastAsia="Arial" w:hAnsi="Arial"/>
                <w:sz w:val="13"/>
                <w:szCs w:val="13"/>
                <w:color w:val="auto"/>
              </w:rPr>
              <w:t>Financial assets designated at fair value through profit or loss</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537,685</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537,685</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tcPr>
          <w:p>
            <w:pPr>
              <w:spacing w:after="0" w:line="131" w:lineRule="exact"/>
              <w:rPr>
                <w:sz w:val="20"/>
                <w:szCs w:val="20"/>
                <w:color w:val="auto"/>
              </w:rPr>
            </w:pPr>
            <w:r>
              <w:rPr>
                <w:rFonts w:ascii="Arial" w:cs="Arial" w:eastAsia="Arial" w:hAnsi="Arial"/>
                <w:sz w:val="13"/>
                <w:szCs w:val="13"/>
                <w:color w:val="auto"/>
              </w:rPr>
              <w:t>Premiums and other policies receivable</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656,829</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(7,694)</w:t>
            </w: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649,135</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tcPr>
          <w:p>
            <w:pPr>
              <w:spacing w:after="0" w:line="131" w:lineRule="exact"/>
              <w:rPr>
                <w:sz w:val="20"/>
                <w:szCs w:val="20"/>
                <w:color w:val="auto"/>
              </w:rPr>
            </w:pPr>
            <w:r>
              <w:rPr>
                <w:rFonts w:ascii="Arial" w:cs="Arial" w:eastAsia="Arial" w:hAnsi="Arial"/>
                <w:sz w:val="13"/>
                <w:szCs w:val="13"/>
                <w:color w:val="auto"/>
              </w:rPr>
              <w:t>Accounts receivable from reinsurers and coinsurers</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715,695</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(142)</w:t>
            </w: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715,553</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tcPr>
          <w:p>
            <w:pPr>
              <w:spacing w:after="0" w:line="131" w:lineRule="exact"/>
              <w:rPr>
                <w:sz w:val="20"/>
                <w:szCs w:val="20"/>
                <w:color w:val="auto"/>
              </w:rPr>
            </w:pPr>
            <w:r>
              <w:rPr>
                <w:rFonts w:ascii="Arial" w:cs="Arial" w:eastAsia="Arial" w:hAnsi="Arial"/>
                <w:sz w:val="13"/>
                <w:szCs w:val="13"/>
                <w:color w:val="auto"/>
              </w:rPr>
              <w:t>Due from customers on acceptances</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532,034</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532,034</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80" w:type="dxa"/>
            <w:vAlign w:val="bottom"/>
            <w:gridSpan w:val="2"/>
          </w:tcPr>
          <w:p>
            <w:pPr>
              <w:spacing w:after="0" w:line="131" w:lineRule="exact"/>
              <w:rPr>
                <w:sz w:val="20"/>
                <w:szCs w:val="20"/>
                <w:color w:val="auto"/>
              </w:rPr>
            </w:pPr>
            <w:r>
              <w:rPr>
                <w:rFonts w:ascii="Arial" w:cs="Arial" w:eastAsia="Arial" w:hAnsi="Arial"/>
                <w:sz w:val="13"/>
                <w:szCs w:val="13"/>
                <w:color w:val="auto"/>
              </w:rPr>
              <w:t>Derivative receivables</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701,826</w:t>
            </w:r>
          </w:p>
        </w:tc>
        <w:tc>
          <w:tcPr>
            <w:tcW w:w="13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701,826</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80" w:type="dxa"/>
            <w:vAlign w:val="bottom"/>
            <w:gridSpan w:val="2"/>
          </w:tcPr>
          <w:p>
            <w:pPr>
              <w:spacing w:after="0" w:line="143" w:lineRule="exact"/>
              <w:rPr>
                <w:sz w:val="20"/>
                <w:szCs w:val="20"/>
                <w:color w:val="auto"/>
              </w:rPr>
            </w:pPr>
            <w:r>
              <w:rPr>
                <w:rFonts w:ascii="Arial" w:cs="Arial" w:eastAsia="Arial" w:hAnsi="Arial"/>
                <w:sz w:val="13"/>
                <w:szCs w:val="13"/>
                <w:color w:val="auto"/>
              </w:rPr>
              <w:t>Other assets</w:t>
            </w:r>
          </w:p>
        </w:tc>
        <w:tc>
          <w:tcPr>
            <w:tcW w:w="13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1,759,125</w:t>
            </w:r>
          </w:p>
        </w:tc>
        <w:tc>
          <w:tcPr>
            <w:tcW w:w="13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1,759,125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8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164,444,879</w:t>
            </w:r>
          </w:p>
        </w:tc>
        <w:tc>
          <w:tcPr>
            <w:tcW w:w="2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(216,340</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11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164,228,539</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00"/>
          </w:cols>
          <w:pgMar w:left="800" w:top="814" w:right="299" w:bottom="1440" w:gutter="0" w:footer="0" w:header="0"/>
        </w:sectPr>
      </w:pPr>
    </w:p>
    <w:bookmarkStart w:id="30" w:name="page31"/>
    <w:bookmarkEnd w:id="30"/>
    <w:p>
      <w:pPr>
        <w:jc w:val="both"/>
        <w:ind w:left="576" w:hanging="292"/>
        <w:spacing w:after="0" w:line="254"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combined application of the tests regarding the characteristics of the contractual cash flows and business models at January 1, 2018, resulted in certain investments classified as “Available for sale” under IAS 39, having to be reclassified in the category “At fair value through profit of loss” under IFRS 9. These financial assets maintained unrealized gains in the statement of changes in equity, net of income tax, of approximately S/314.4 million in the item “Net unrealized gains (losses)”, which were reclassified to the item “Retained earnings”.</w:t>
      </w:r>
    </w:p>
    <w:p>
      <w:pPr>
        <w:spacing w:after="0" w:line="169" w:lineRule="exact"/>
        <w:rPr>
          <w:sz w:val="20"/>
          <w:szCs w:val="20"/>
          <w:color w:val="auto"/>
        </w:rPr>
      </w:pPr>
    </w:p>
    <w:p>
      <w:pPr>
        <w:ind w:left="276" w:right="40"/>
        <w:spacing w:after="0" w:line="269" w:lineRule="auto"/>
        <w:rPr>
          <w:sz w:val="20"/>
          <w:szCs w:val="20"/>
          <w:color w:val="auto"/>
        </w:rPr>
      </w:pPr>
      <w:r>
        <w:rPr>
          <w:rFonts w:ascii="Arial" w:cs="Arial" w:eastAsia="Arial" w:hAnsi="Arial"/>
          <w:sz w:val="16"/>
          <w:szCs w:val="16"/>
          <w:color w:val="auto"/>
        </w:rPr>
        <w:t>The classification and measurement of the financial liabilities have not had changes due to the application of IFRS 9, except for the provision of credit loss for indirect loans which required an additional provision of S/114.2 million.</w:t>
      </w:r>
    </w:p>
    <w:p>
      <w:pPr>
        <w:spacing w:after="0" w:line="157" w:lineRule="exact"/>
        <w:rPr>
          <w:sz w:val="20"/>
          <w:szCs w:val="20"/>
          <w:color w:val="auto"/>
        </w:rPr>
      </w:pPr>
    </w:p>
    <w:p>
      <w:pPr>
        <w:ind w:left="576" w:hanging="292"/>
        <w:spacing w:after="0"/>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Reconciliation of the balances of the provision for impairment under IAS 39 and IFRS 9 as of January 1, 2018:</w:t>
      </w:r>
    </w:p>
    <w:p>
      <w:pPr>
        <w:spacing w:after="0" w:line="191" w:lineRule="exact"/>
        <w:rPr>
          <w:sz w:val="20"/>
          <w:szCs w:val="20"/>
          <w:color w:val="auto"/>
        </w:rPr>
      </w:pPr>
    </w:p>
    <w:tbl>
      <w:tblPr>
        <w:tblLayout w:type="fixed"/>
        <w:tblInd w:w="576"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Impairment</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6380" w:type="dxa"/>
            <w:vAlign w:val="bottom"/>
          </w:tcPr>
          <w:p>
            <w:pPr>
              <w:spacing w:after="0"/>
              <w:rPr>
                <w:sz w:val="17"/>
                <w:szCs w:val="17"/>
                <w:color w:val="auto"/>
              </w:rPr>
            </w:pP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IAS 39</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remeasurement</w:t>
            </w:r>
          </w:p>
        </w:tc>
        <w:tc>
          <w:tcPr>
            <w:tcW w:w="1200" w:type="dxa"/>
            <w:vAlign w:val="bottom"/>
            <w:gridSpan w:val="3"/>
          </w:tcPr>
          <w:p>
            <w:pPr>
              <w:ind w:left="320"/>
              <w:spacing w:after="0"/>
              <w:rPr>
                <w:sz w:val="20"/>
                <w:szCs w:val="20"/>
                <w:color w:val="auto"/>
              </w:rPr>
            </w:pPr>
            <w:r>
              <w:rPr>
                <w:rFonts w:ascii="Arial" w:cs="Arial" w:eastAsia="Arial" w:hAnsi="Arial"/>
                <w:sz w:val="16"/>
                <w:szCs w:val="16"/>
                <w:b w:val="1"/>
                <w:bCs w:val="1"/>
                <w:color w:val="auto"/>
              </w:rPr>
              <w:t>IFRS 9</w:t>
            </w:r>
          </w:p>
        </w:tc>
      </w:tr>
      <w:tr>
        <w:trPr>
          <w:trHeight w:val="183"/>
        </w:trPr>
        <w:tc>
          <w:tcPr>
            <w:tcW w:w="6380" w:type="dxa"/>
            <w:vAlign w:val="bottom"/>
          </w:tcPr>
          <w:p>
            <w:pPr>
              <w:spacing w:after="0"/>
              <w:rPr>
                <w:sz w:val="15"/>
                <w:szCs w:val="15"/>
                <w:color w:val="auto"/>
              </w:rPr>
            </w:pPr>
          </w:p>
        </w:tc>
        <w:tc>
          <w:tcPr>
            <w:tcW w:w="1140" w:type="dxa"/>
            <w:vAlign w:val="bottom"/>
            <w:tcBorders>
              <w:top w:val="single" w:sz="8" w:color="auto"/>
            </w:tcBorders>
          </w:tcPr>
          <w:p>
            <w:pPr>
              <w:ind w:left="340"/>
              <w:spacing w:after="0" w:line="183"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5"/>
                <w:szCs w:val="15"/>
                <w:color w:val="auto"/>
              </w:rPr>
            </w:pPr>
          </w:p>
        </w:tc>
        <w:tc>
          <w:tcPr>
            <w:tcW w:w="1100" w:type="dxa"/>
            <w:vAlign w:val="bottom"/>
            <w:tcBorders>
              <w:top w:val="single" w:sz="8" w:color="auto"/>
            </w:tcBorders>
          </w:tcPr>
          <w:p>
            <w:pPr>
              <w:ind w:left="320"/>
              <w:spacing w:after="0" w:line="183" w:lineRule="exact"/>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5"/>
                <w:szCs w:val="15"/>
                <w:color w:val="auto"/>
              </w:rPr>
            </w:pPr>
          </w:p>
        </w:tc>
      </w:tr>
      <w:tr>
        <w:trPr>
          <w:trHeight w:val="190"/>
        </w:trPr>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asset:</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6380" w:type="dxa"/>
            <w:vAlign w:val="bottom"/>
          </w:tcPr>
          <w:p>
            <w:pPr>
              <w:ind w:left="160"/>
              <w:spacing w:after="0"/>
              <w:rPr>
                <w:sz w:val="20"/>
                <w:szCs w:val="20"/>
                <w:color w:val="auto"/>
              </w:rPr>
            </w:pPr>
            <w:r>
              <w:rPr>
                <w:rFonts w:ascii="Arial" w:cs="Arial" w:eastAsia="Arial" w:hAnsi="Arial"/>
                <w:sz w:val="16"/>
                <w:szCs w:val="16"/>
                <w:color w:val="auto"/>
              </w:rPr>
              <w:t>Investment at amortized cost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1,736</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1,736</w:t>
            </w:r>
          </w:p>
        </w:tc>
        <w:tc>
          <w:tcPr>
            <w:tcW w:w="80" w:type="dxa"/>
            <w:vAlign w:val="bottom"/>
          </w:tcPr>
          <w:p>
            <w:pPr>
              <w:spacing w:after="0"/>
              <w:rPr>
                <w:sz w:val="16"/>
                <w:szCs w:val="16"/>
                <w:color w:val="auto"/>
              </w:rPr>
            </w:pPr>
          </w:p>
        </w:tc>
      </w:tr>
      <w:tr>
        <w:trPr>
          <w:trHeight w:val="190"/>
        </w:trPr>
        <w:tc>
          <w:tcPr>
            <w:tcW w:w="6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Loans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4,500,498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206,768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4,707,266</w:t>
            </w:r>
          </w:p>
        </w:tc>
        <w:tc>
          <w:tcPr>
            <w:tcW w:w="80" w:type="dxa"/>
            <w:vAlign w:val="bottom"/>
            <w:shd w:val="clear" w:color="auto" w:fill="CCEEFF"/>
          </w:tcPr>
          <w:p>
            <w:pPr>
              <w:spacing w:after="0"/>
              <w:rPr>
                <w:sz w:val="16"/>
                <w:szCs w:val="16"/>
                <w:color w:val="auto"/>
              </w:rPr>
            </w:pPr>
          </w:p>
        </w:tc>
      </w:tr>
      <w:tr>
        <w:trPr>
          <w:trHeight w:val="190"/>
        </w:trPr>
        <w:tc>
          <w:tcPr>
            <w:tcW w:w="6380" w:type="dxa"/>
            <w:vAlign w:val="bottom"/>
          </w:tcPr>
          <w:p>
            <w:pPr>
              <w:ind w:left="160"/>
              <w:spacing w:after="0"/>
              <w:rPr>
                <w:sz w:val="20"/>
                <w:szCs w:val="20"/>
                <w:color w:val="auto"/>
              </w:rPr>
            </w:pPr>
            <w:r>
              <w:rPr>
                <w:rFonts w:ascii="Arial" w:cs="Arial" w:eastAsia="Arial" w:hAnsi="Arial"/>
                <w:sz w:val="16"/>
                <w:szCs w:val="16"/>
                <w:color w:val="auto"/>
              </w:rPr>
              <w:t>Premiums and other policies receivable</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12,255</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7,694</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19,949</w:t>
            </w:r>
          </w:p>
        </w:tc>
        <w:tc>
          <w:tcPr>
            <w:tcW w:w="80" w:type="dxa"/>
            <w:vAlign w:val="bottom"/>
          </w:tcPr>
          <w:p>
            <w:pPr>
              <w:spacing w:after="0"/>
              <w:rPr>
                <w:sz w:val="16"/>
                <w:szCs w:val="16"/>
                <w:color w:val="auto"/>
              </w:rPr>
            </w:pPr>
          </w:p>
        </w:tc>
      </w:tr>
      <w:tr>
        <w:trPr>
          <w:trHeight w:val="202"/>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from reinsurers and coinsurers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8,715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8,857</w:t>
            </w:r>
          </w:p>
        </w:tc>
        <w:tc>
          <w:tcPr>
            <w:tcW w:w="80" w:type="dxa"/>
            <w:vAlign w:val="bottom"/>
            <w:shd w:val="clear" w:color="auto" w:fill="CCEEFF"/>
          </w:tcPr>
          <w:p>
            <w:pPr>
              <w:spacing w:after="0"/>
              <w:rPr>
                <w:sz w:val="17"/>
                <w:szCs w:val="17"/>
                <w:color w:val="auto"/>
              </w:rPr>
            </w:pPr>
          </w:p>
        </w:tc>
      </w:tr>
      <w:tr>
        <w:trPr>
          <w:trHeight w:val="233"/>
        </w:trPr>
        <w:tc>
          <w:tcPr>
            <w:tcW w:w="63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financial assets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4,521,468</w:t>
            </w:r>
          </w:p>
        </w:tc>
        <w:tc>
          <w:tcPr>
            <w:tcW w:w="2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216,340</w:t>
            </w:r>
          </w:p>
        </w:tc>
        <w:tc>
          <w:tcPr>
            <w:tcW w:w="2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4,737,808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66"/>
        </w:trPr>
        <w:tc>
          <w:tcPr>
            <w:tcW w:w="6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0"/>
        </w:trPr>
        <w:tc>
          <w:tcPr>
            <w:tcW w:w="6380" w:type="dxa"/>
            <w:vAlign w:val="bottom"/>
          </w:tcPr>
          <w:p>
            <w:pPr>
              <w:spacing w:after="0"/>
              <w:rPr>
                <w:sz w:val="20"/>
                <w:szCs w:val="20"/>
                <w:color w:val="auto"/>
              </w:rPr>
            </w:pPr>
            <w:r>
              <w:rPr>
                <w:rFonts w:ascii="Arial" w:cs="Arial" w:eastAsia="Arial" w:hAnsi="Arial"/>
                <w:sz w:val="16"/>
                <w:szCs w:val="16"/>
                <w:b w:val="1"/>
                <w:bCs w:val="1"/>
                <w:color w:val="auto"/>
              </w:rPr>
              <w:t>Financial 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indirect loans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442,510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114,184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556,694</w:t>
            </w:r>
          </w:p>
        </w:tc>
        <w:tc>
          <w:tcPr>
            <w:tcW w:w="80" w:type="dxa"/>
            <w:vAlign w:val="bottom"/>
            <w:shd w:val="clear" w:color="auto" w:fill="CCEEFF"/>
          </w:tcPr>
          <w:p>
            <w:pPr>
              <w:spacing w:after="0"/>
              <w:rPr>
                <w:sz w:val="17"/>
                <w:szCs w:val="17"/>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b w:val="1"/>
                <w:bCs w:val="1"/>
                <w:color w:val="auto"/>
              </w:rPr>
              <w:t>Total financial liabilities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442,510</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114,184</w:t>
            </w:r>
          </w:p>
        </w:tc>
        <w:tc>
          <w:tcPr>
            <w:tcW w:w="2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556,694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276" w:right="320"/>
        <w:spacing w:after="0" w:line="269" w:lineRule="auto"/>
        <w:rPr>
          <w:sz w:val="20"/>
          <w:szCs w:val="20"/>
          <w:color w:val="auto"/>
        </w:rPr>
      </w:pPr>
      <w:r>
        <w:rPr>
          <w:rFonts w:ascii="Arial" w:cs="Arial" w:eastAsia="Arial" w:hAnsi="Arial"/>
          <w:sz w:val="16"/>
          <w:szCs w:val="16"/>
          <w:color w:val="auto"/>
        </w:rPr>
        <w:t>Also, a provision for investments at fair value through other comprehensive income for approximately S/48.8 million was recorded in the account “Net unrealized gains (losses)” in consolidated statement of changes in equity.</w:t>
      </w:r>
    </w:p>
    <w:p>
      <w:pPr>
        <w:spacing w:after="0" w:line="157" w:lineRule="exact"/>
        <w:rPr>
          <w:sz w:val="20"/>
          <w:szCs w:val="20"/>
          <w:color w:val="auto"/>
        </w:rPr>
      </w:pPr>
    </w:p>
    <w:p>
      <w:pPr>
        <w:ind w:left="276" w:hanging="276"/>
        <w:spacing w:after="0"/>
        <w:tabs>
          <w:tab w:leader="none" w:pos="2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IFRS 15 “Revenue from contracts with customers” -</w:t>
      </w:r>
    </w:p>
    <w:p>
      <w:pPr>
        <w:spacing w:after="0" w:line="195"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IFRS 15, which was published in May 2014 and amended in April 2016, replaced IAS 18 “Revenue”, and IAS 11 “Construction Contracts”.</w:t>
      </w:r>
    </w:p>
    <w:p>
      <w:pPr>
        <w:spacing w:after="0" w:line="195" w:lineRule="exact"/>
        <w:rPr>
          <w:rFonts w:ascii="Arial" w:cs="Arial" w:eastAsia="Arial" w:hAnsi="Arial"/>
          <w:sz w:val="16"/>
          <w:szCs w:val="16"/>
          <w:color w:val="auto"/>
        </w:rPr>
      </w:pPr>
    </w:p>
    <w:p>
      <w:pPr>
        <w:ind w:left="276" w:right="200"/>
        <w:spacing w:after="0" w:line="269" w:lineRule="auto"/>
        <w:rPr>
          <w:rFonts w:ascii="Arial" w:cs="Arial" w:eastAsia="Arial" w:hAnsi="Arial"/>
          <w:sz w:val="16"/>
          <w:szCs w:val="16"/>
          <w:color w:val="auto"/>
        </w:rPr>
      </w:pPr>
      <w:r>
        <w:rPr>
          <w:rFonts w:ascii="Arial" w:cs="Arial" w:eastAsia="Arial" w:hAnsi="Arial"/>
          <w:sz w:val="16"/>
          <w:szCs w:val="16"/>
          <w:color w:val="auto"/>
        </w:rPr>
        <w:t>The new standard is based on the principle that revenue is recognized when the control of a good or service is transferred to a customer, so that the notion of control replaces the existing notion of risks and benefits.</w:t>
      </w:r>
    </w:p>
    <w:p>
      <w:pPr>
        <w:spacing w:after="0" w:line="156"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The standard establishes a new five-step model that applies to the recording of revenue from contracts with customers:</w:t>
      </w:r>
    </w:p>
    <w:p>
      <w:pPr>
        <w:spacing w:after="0" w:line="195" w:lineRule="exact"/>
        <w:rPr>
          <w:rFonts w:ascii="Arial" w:cs="Arial" w:eastAsia="Arial" w:hAnsi="Arial"/>
          <w:sz w:val="16"/>
          <w:szCs w:val="16"/>
          <w:color w:val="auto"/>
        </w:rPr>
      </w:pPr>
    </w:p>
    <w:p>
      <w:pPr>
        <w:ind w:left="576" w:hanging="292"/>
        <w:spacing w:after="0"/>
        <w:tabs>
          <w:tab w:leader="none" w:pos="5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Identify the contracts with customer.</w:t>
      </w:r>
    </w:p>
    <w:p>
      <w:pPr>
        <w:spacing w:after="0" w:line="16" w:lineRule="exact"/>
        <w:rPr>
          <w:rFonts w:ascii="Arial" w:cs="Arial" w:eastAsia="Arial" w:hAnsi="Arial"/>
          <w:sz w:val="16"/>
          <w:szCs w:val="16"/>
          <w:color w:val="auto"/>
        </w:rPr>
      </w:pPr>
    </w:p>
    <w:p>
      <w:pPr>
        <w:ind w:left="576" w:hanging="292"/>
        <w:spacing w:after="0"/>
        <w:tabs>
          <w:tab w:leader="none" w:pos="5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Identify the distinct performance obligation in the contract.</w:t>
      </w:r>
    </w:p>
    <w:p>
      <w:pPr>
        <w:spacing w:after="0" w:line="5" w:lineRule="exact"/>
        <w:rPr>
          <w:rFonts w:ascii="Arial" w:cs="Arial" w:eastAsia="Arial" w:hAnsi="Arial"/>
          <w:sz w:val="16"/>
          <w:szCs w:val="16"/>
          <w:color w:val="auto"/>
        </w:rPr>
      </w:pPr>
    </w:p>
    <w:p>
      <w:pPr>
        <w:ind w:left="576" w:hanging="292"/>
        <w:spacing w:after="0"/>
        <w:tabs>
          <w:tab w:leader="none" w:pos="5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Determine the transaction price.</w:t>
      </w:r>
    </w:p>
    <w:p>
      <w:pPr>
        <w:spacing w:after="0" w:line="5" w:lineRule="exact"/>
        <w:rPr>
          <w:rFonts w:ascii="Arial" w:cs="Arial" w:eastAsia="Arial" w:hAnsi="Arial"/>
          <w:sz w:val="16"/>
          <w:szCs w:val="16"/>
          <w:color w:val="auto"/>
        </w:rPr>
      </w:pPr>
    </w:p>
    <w:p>
      <w:pPr>
        <w:ind w:left="576" w:hanging="292"/>
        <w:spacing w:after="0"/>
        <w:tabs>
          <w:tab w:leader="none" w:pos="5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Allocate the transaction price to each performance obligations, and</w:t>
      </w:r>
    </w:p>
    <w:p>
      <w:pPr>
        <w:spacing w:after="0" w:line="5" w:lineRule="exact"/>
        <w:rPr>
          <w:rFonts w:ascii="Arial" w:cs="Arial" w:eastAsia="Arial" w:hAnsi="Arial"/>
          <w:sz w:val="16"/>
          <w:szCs w:val="16"/>
          <w:color w:val="auto"/>
        </w:rPr>
      </w:pPr>
    </w:p>
    <w:p>
      <w:pPr>
        <w:ind w:left="576" w:hanging="292"/>
        <w:spacing w:after="0"/>
        <w:tabs>
          <w:tab w:leader="none" w:pos="5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Recognize revenue when or as a performance obligation is satisfied.</w:t>
      </w:r>
    </w:p>
    <w:p>
      <w:pPr>
        <w:spacing w:after="0" w:line="373" w:lineRule="exact"/>
        <w:rPr>
          <w:rFonts w:ascii="Arial" w:cs="Arial" w:eastAsia="Arial" w:hAnsi="Arial"/>
          <w:sz w:val="16"/>
          <w:szCs w:val="16"/>
          <w:color w:val="auto"/>
        </w:rPr>
      </w:pPr>
    </w:p>
    <w:p>
      <w:pPr>
        <w:ind w:left="5076" w:hanging="91"/>
        <w:spacing w:after="0"/>
        <w:tabs>
          <w:tab w:leader="none" w:pos="5076" w:val="left"/>
        </w:tabs>
        <w:numPr>
          <w:ilvl w:val="2"/>
          <w:numId w:val="21"/>
        </w:numPr>
        <w:rPr>
          <w:rFonts w:ascii="Arial" w:cs="Arial" w:eastAsia="Arial" w:hAnsi="Arial"/>
          <w:sz w:val="16"/>
          <w:szCs w:val="16"/>
          <w:color w:val="auto"/>
        </w:rPr>
      </w:pPr>
      <w:r>
        <w:rPr>
          <w:rFonts w:ascii="Arial" w:cs="Arial" w:eastAsia="Arial" w:hAnsi="Arial"/>
          <w:sz w:val="16"/>
          <w:szCs w:val="16"/>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56"/>
          </w:cols>
          <w:pgMar w:left="804" w:top="814" w:right="239" w:bottom="1440" w:gutter="0" w:footer="0" w:header="0"/>
        </w:sectPr>
      </w:pPr>
    </w:p>
    <w:bookmarkStart w:id="31" w:name="page32"/>
    <w:bookmarkEnd w:id="31"/>
    <w:p>
      <w:pPr>
        <w:ind w:left="276"/>
        <w:spacing w:after="0"/>
        <w:rPr>
          <w:sz w:val="20"/>
          <w:szCs w:val="20"/>
          <w:color w:val="auto"/>
        </w:rPr>
      </w:pPr>
      <w:r>
        <w:rPr>
          <w:rFonts w:ascii="Arial" w:cs="Arial" w:eastAsia="Arial" w:hAnsi="Arial"/>
          <w:sz w:val="16"/>
          <w:szCs w:val="16"/>
          <w:color w:val="auto"/>
        </w:rPr>
        <w:t>Key changes to the practice followed previously:</w:t>
      </w:r>
    </w:p>
    <w:p>
      <w:pPr>
        <w:spacing w:after="0" w:line="195" w:lineRule="exact"/>
        <w:rPr>
          <w:sz w:val="20"/>
          <w:szCs w:val="20"/>
          <w:color w:val="auto"/>
        </w:rPr>
      </w:pPr>
    </w:p>
    <w:p>
      <w:pPr>
        <w:ind w:left="576" w:right="500" w:hanging="292"/>
        <w:spacing w:after="0" w:line="254" w:lineRule="auto"/>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the grouped goods and services which are different must be recognized separately and, in general, the discounts or rebates in the contract price must be assigned to the separate elements.</w:t>
      </w:r>
    </w:p>
    <w:p>
      <w:pPr>
        <w:ind w:left="576" w:right="580" w:hanging="292"/>
        <w:spacing w:after="0" w:line="263" w:lineRule="auto"/>
        <w:tabs>
          <w:tab w:leader="none" w:pos="576" w:val="left"/>
        </w:tabs>
        <w:numPr>
          <w:ilvl w:val="1"/>
          <w:numId w:val="22"/>
        </w:numPr>
        <w:rPr>
          <w:rFonts w:ascii="Arial" w:cs="Arial" w:eastAsia="Arial" w:hAnsi="Arial"/>
          <w:sz w:val="15"/>
          <w:szCs w:val="15"/>
          <w:color w:val="auto"/>
        </w:rPr>
      </w:pPr>
      <w:r>
        <w:rPr>
          <w:rFonts w:ascii="Arial" w:cs="Arial" w:eastAsia="Arial" w:hAnsi="Arial"/>
          <w:sz w:val="15"/>
          <w:szCs w:val="15"/>
          <w:color w:val="auto"/>
        </w:rPr>
        <w:t>Revenue can be recognized earlier than previously if the consideration varies for any reason (for example, incentives, rebates, management commissions, royalties, success fee, etc.). If they are not at significant risk of reversal, the minimum amounts must be recognized.</w:t>
      </w:r>
    </w:p>
    <w:p>
      <w:pPr>
        <w:spacing w:after="0" w:line="1" w:lineRule="exact"/>
        <w:rPr>
          <w:rFonts w:ascii="Arial" w:cs="Arial" w:eastAsia="Arial" w:hAnsi="Arial"/>
          <w:sz w:val="15"/>
          <w:szCs w:val="15"/>
          <w:color w:val="auto"/>
        </w:rPr>
      </w:pPr>
    </w:p>
    <w:p>
      <w:pPr>
        <w:ind w:left="576" w:right="160" w:hanging="292"/>
        <w:spacing w:after="0" w:line="247" w:lineRule="auto"/>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point at which revenue may be recognized can change: some revenue that is currently recognized at a given moment at the end of a contract may have to be recognized during the term of the contract and vice versa.</w:t>
      </w:r>
    </w:p>
    <w:p>
      <w:pPr>
        <w:ind w:left="576" w:hanging="292"/>
        <w:spacing w:after="0"/>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There are new specific standards regarding licenses, guarantees, non-reimbursable fee advances and consignment agreements, to name a few.</w:t>
      </w:r>
    </w:p>
    <w:p>
      <w:pPr>
        <w:spacing w:after="0" w:line="5" w:lineRule="exact"/>
        <w:rPr>
          <w:rFonts w:ascii="Arial" w:cs="Arial" w:eastAsia="Arial" w:hAnsi="Arial"/>
          <w:sz w:val="16"/>
          <w:szCs w:val="16"/>
          <w:color w:val="auto"/>
        </w:rPr>
      </w:pPr>
    </w:p>
    <w:p>
      <w:pPr>
        <w:ind w:left="576" w:hanging="292"/>
        <w:spacing w:after="0"/>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There are also greater disclosure requirements.</w:t>
      </w:r>
    </w:p>
    <w:p>
      <w:pPr>
        <w:spacing w:after="0" w:line="184" w:lineRule="exact"/>
        <w:rPr>
          <w:rFonts w:ascii="Arial" w:cs="Arial" w:eastAsia="Arial" w:hAnsi="Arial"/>
          <w:sz w:val="16"/>
          <w:szCs w:val="16"/>
          <w:color w:val="auto"/>
        </w:rPr>
      </w:pPr>
    </w:p>
    <w:p>
      <w:pPr>
        <w:ind w:left="276" w:hanging="276"/>
        <w:spacing w:after="0"/>
        <w:tabs>
          <w:tab w:leader="none" w:pos="2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Amendments to IFRS 2: Classification and measurement of share-based payment -</w:t>
      </w:r>
    </w:p>
    <w:p>
      <w:pPr>
        <w:spacing w:after="0" w:line="195" w:lineRule="exact"/>
        <w:rPr>
          <w:rFonts w:ascii="Arial" w:cs="Arial" w:eastAsia="Arial" w:hAnsi="Arial"/>
          <w:sz w:val="16"/>
          <w:szCs w:val="16"/>
          <w:color w:val="auto"/>
        </w:rPr>
      </w:pPr>
    </w:p>
    <w:p>
      <w:pPr>
        <w:ind w:left="276" w:right="240"/>
        <w:spacing w:after="0" w:line="269" w:lineRule="auto"/>
        <w:rPr>
          <w:rFonts w:ascii="Arial" w:cs="Arial" w:eastAsia="Arial" w:hAnsi="Arial"/>
          <w:sz w:val="16"/>
          <w:szCs w:val="16"/>
          <w:color w:val="auto"/>
        </w:rPr>
      </w:pPr>
      <w:r>
        <w:rPr>
          <w:rFonts w:ascii="Arial" w:cs="Arial" w:eastAsia="Arial" w:hAnsi="Arial"/>
          <w:sz w:val="16"/>
          <w:szCs w:val="16"/>
          <w:color w:val="auto"/>
        </w:rPr>
        <w:t>The amendments made by the IASB in July 2016 clarify the basis of measurement of the share-based payments in cash and the recording of the amendments which change benefits liquidated in cash into equity instruments.</w:t>
      </w:r>
    </w:p>
    <w:p>
      <w:pPr>
        <w:spacing w:after="0" w:line="156" w:lineRule="exact"/>
        <w:rPr>
          <w:rFonts w:ascii="Arial" w:cs="Arial" w:eastAsia="Arial" w:hAnsi="Arial"/>
          <w:sz w:val="16"/>
          <w:szCs w:val="16"/>
          <w:color w:val="auto"/>
        </w:rPr>
      </w:pPr>
    </w:p>
    <w:p>
      <w:pPr>
        <w:ind w:left="276"/>
        <w:spacing w:after="0" w:line="258" w:lineRule="auto"/>
        <w:rPr>
          <w:rFonts w:ascii="Arial" w:cs="Arial" w:eastAsia="Arial" w:hAnsi="Arial"/>
          <w:sz w:val="16"/>
          <w:szCs w:val="16"/>
          <w:color w:val="auto"/>
        </w:rPr>
      </w:pPr>
      <w:r>
        <w:rPr>
          <w:rFonts w:ascii="Arial" w:cs="Arial" w:eastAsia="Arial" w:hAnsi="Arial"/>
          <w:sz w:val="16"/>
          <w:szCs w:val="16"/>
          <w:color w:val="auto"/>
        </w:rPr>
        <w:t>Moreover, an exception is introduced to the principle of classification. When an employer is obliged to retain a certain amount for a tax obligation of the employee associated with a share-based payment, and they pay that amount to the tax authority, the total benefit will be treated as though it were liquidated in equity instruments, as long as it was liquidated in shares without the benefit of a net liquidation.</w:t>
      </w:r>
    </w:p>
    <w:p>
      <w:pPr>
        <w:spacing w:after="0" w:line="165"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Entities with the following agreements may find themselves affected by these changes:</w:t>
      </w:r>
    </w:p>
    <w:p>
      <w:pPr>
        <w:spacing w:after="0" w:line="195" w:lineRule="exact"/>
        <w:rPr>
          <w:rFonts w:ascii="Arial" w:cs="Arial" w:eastAsia="Arial" w:hAnsi="Arial"/>
          <w:sz w:val="16"/>
          <w:szCs w:val="16"/>
          <w:color w:val="auto"/>
        </w:rPr>
      </w:pPr>
    </w:p>
    <w:p>
      <w:pPr>
        <w:ind w:left="576" w:hanging="292"/>
        <w:spacing w:after="0"/>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Benefits liquidated in equity instruments which include net liquidations related to tax obligations.</w:t>
      </w:r>
    </w:p>
    <w:p>
      <w:pPr>
        <w:spacing w:after="0" w:line="16" w:lineRule="exact"/>
        <w:rPr>
          <w:rFonts w:ascii="Arial" w:cs="Arial" w:eastAsia="Arial" w:hAnsi="Arial"/>
          <w:sz w:val="16"/>
          <w:szCs w:val="16"/>
          <w:color w:val="auto"/>
        </w:rPr>
      </w:pPr>
    </w:p>
    <w:p>
      <w:pPr>
        <w:ind w:left="576" w:hanging="292"/>
        <w:spacing w:after="0"/>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Share-based payments which include performance conditions, and</w:t>
      </w:r>
    </w:p>
    <w:p>
      <w:pPr>
        <w:spacing w:after="0" w:line="5" w:lineRule="exact"/>
        <w:rPr>
          <w:rFonts w:ascii="Arial" w:cs="Arial" w:eastAsia="Arial" w:hAnsi="Arial"/>
          <w:sz w:val="16"/>
          <w:szCs w:val="16"/>
          <w:color w:val="auto"/>
        </w:rPr>
      </w:pPr>
    </w:p>
    <w:p>
      <w:pPr>
        <w:ind w:left="576" w:hanging="292"/>
        <w:spacing w:after="0"/>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Cash liquidation agreements which are amended to share-based payments liquidated in equity instruments.</w:t>
      </w:r>
    </w:p>
    <w:p>
      <w:pPr>
        <w:spacing w:after="0" w:line="184" w:lineRule="exact"/>
        <w:rPr>
          <w:rFonts w:ascii="Arial" w:cs="Arial" w:eastAsia="Arial" w:hAnsi="Arial"/>
          <w:sz w:val="16"/>
          <w:szCs w:val="16"/>
          <w:color w:val="auto"/>
        </w:rPr>
      </w:pPr>
    </w:p>
    <w:p>
      <w:pPr>
        <w:ind w:left="276" w:hanging="276"/>
        <w:spacing w:after="0"/>
        <w:tabs>
          <w:tab w:leader="none" w:pos="2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Annual improvements to the IFRS (2014 - 2016 Cycle)</w:t>
      </w:r>
    </w:p>
    <w:p>
      <w:pPr>
        <w:spacing w:after="0" w:line="195"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In December 2016, the following improvements were completed:</w:t>
      </w:r>
    </w:p>
    <w:p>
      <w:pPr>
        <w:spacing w:after="0" w:line="195" w:lineRule="exact"/>
        <w:rPr>
          <w:rFonts w:ascii="Arial" w:cs="Arial" w:eastAsia="Arial" w:hAnsi="Arial"/>
          <w:sz w:val="16"/>
          <w:szCs w:val="16"/>
          <w:color w:val="auto"/>
        </w:rPr>
      </w:pPr>
    </w:p>
    <w:p>
      <w:pPr>
        <w:ind w:left="576" w:right="320" w:hanging="292"/>
        <w:spacing w:after="0" w:line="254" w:lineRule="auto"/>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IFRS 1 “First Time Adoption of IFRS”, which eliminates the short-term exemptions which cover the provisions for transition of IFRS 7, IAS 19 and IFRS 10 which are no longer relevant.</w:t>
      </w:r>
    </w:p>
    <w:p>
      <w:pPr>
        <w:ind w:left="576" w:right="160" w:hanging="292"/>
        <w:spacing w:after="0" w:line="251" w:lineRule="auto"/>
        <w:tabs>
          <w:tab w:leader="none" w:pos="5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IAS 28 “Investments in Associates and Joint Ventures”. This clarifies that the choice by investment funds, mutual funds, investment trusts and similar entities to measure the investments in associates or joint ventures at fair value through profit or loss must be made separately for each associate or joint venture at initial recognition.</w:t>
      </w:r>
    </w:p>
    <w:p>
      <w:pPr>
        <w:spacing w:after="0" w:line="170" w:lineRule="exact"/>
        <w:rPr>
          <w:rFonts w:ascii="Arial" w:cs="Arial" w:eastAsia="Arial" w:hAnsi="Arial"/>
          <w:sz w:val="16"/>
          <w:szCs w:val="16"/>
          <w:color w:val="auto"/>
        </w:rPr>
      </w:pPr>
    </w:p>
    <w:p>
      <w:pPr>
        <w:ind w:left="276" w:hanging="276"/>
        <w:spacing w:after="0"/>
        <w:tabs>
          <w:tab w:leader="none" w:pos="2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Amendments to IAS 40: “Transfers of Investment Property” –</w:t>
      </w:r>
    </w:p>
    <w:p>
      <w:pPr>
        <w:spacing w:after="0" w:line="195" w:lineRule="exact"/>
        <w:rPr>
          <w:rFonts w:ascii="Arial" w:cs="Arial" w:eastAsia="Arial" w:hAnsi="Arial"/>
          <w:sz w:val="16"/>
          <w:szCs w:val="16"/>
          <w:color w:val="auto"/>
        </w:rPr>
      </w:pPr>
    </w:p>
    <w:p>
      <w:pPr>
        <w:ind w:left="276" w:right="200"/>
        <w:spacing w:after="0" w:line="303" w:lineRule="auto"/>
        <w:rPr>
          <w:rFonts w:ascii="Arial" w:cs="Arial" w:eastAsia="Arial" w:hAnsi="Arial"/>
          <w:sz w:val="16"/>
          <w:szCs w:val="16"/>
          <w:color w:val="auto"/>
        </w:rPr>
      </w:pPr>
      <w:r>
        <w:rPr>
          <w:rFonts w:ascii="Arial" w:cs="Arial" w:eastAsia="Arial" w:hAnsi="Arial"/>
          <w:sz w:val="15"/>
          <w:szCs w:val="15"/>
          <w:color w:val="auto"/>
        </w:rPr>
        <w:t>The amendments clarify that transfers to or from, investment properties can only be made if there has been a change in the use of the property that is supported with evidence. A change in use occurs when the property complies with, or ceases to comply with, the definition of investment property.</w:t>
      </w:r>
    </w:p>
    <w:p>
      <w:pPr>
        <w:spacing w:after="0" w:line="323" w:lineRule="exact"/>
        <w:rPr>
          <w:rFonts w:ascii="Arial" w:cs="Arial" w:eastAsia="Arial" w:hAnsi="Arial"/>
          <w:sz w:val="16"/>
          <w:szCs w:val="16"/>
          <w:color w:val="auto"/>
        </w:rPr>
      </w:pPr>
    </w:p>
    <w:p>
      <w:pPr>
        <w:ind w:left="5076" w:hanging="91"/>
        <w:spacing w:after="0"/>
        <w:tabs>
          <w:tab w:leader="none" w:pos="5076" w:val="left"/>
        </w:tabs>
        <w:numPr>
          <w:ilvl w:val="2"/>
          <w:numId w:val="22"/>
        </w:numPr>
        <w:rPr>
          <w:rFonts w:ascii="Arial" w:cs="Arial" w:eastAsia="Arial" w:hAnsi="Arial"/>
          <w:sz w:val="16"/>
          <w:szCs w:val="16"/>
          <w:color w:val="auto"/>
        </w:rPr>
      </w:pPr>
      <w:r>
        <w:rPr>
          <w:rFonts w:ascii="Arial" w:cs="Arial" w:eastAsia="Arial" w:hAnsi="Arial"/>
          <w:sz w:val="16"/>
          <w:szCs w:val="16"/>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56"/>
          </w:cols>
          <w:pgMar w:left="804" w:top="814" w:right="239" w:bottom="1440" w:gutter="0" w:footer="0" w:header="0"/>
        </w:sectPr>
      </w:pPr>
    </w:p>
    <w:bookmarkStart w:id="32" w:name="page33"/>
    <w:bookmarkEnd w:id="32"/>
    <w:p>
      <w:pPr>
        <w:ind w:left="561"/>
        <w:spacing w:after="0"/>
        <w:rPr>
          <w:sz w:val="20"/>
          <w:szCs w:val="20"/>
          <w:color w:val="auto"/>
        </w:rPr>
      </w:pPr>
      <w:r>
        <w:rPr>
          <w:rFonts w:ascii="Arial" w:cs="Arial" w:eastAsia="Arial" w:hAnsi="Arial"/>
          <w:sz w:val="16"/>
          <w:szCs w:val="16"/>
          <w:color w:val="auto"/>
        </w:rPr>
        <w:t>A change of intention by itself is not sufficient to support a transfer from or to investment properties.</w:t>
      </w:r>
    </w:p>
    <w:p>
      <w:pPr>
        <w:spacing w:after="0" w:line="195" w:lineRule="exact"/>
        <w:rPr>
          <w:sz w:val="20"/>
          <w:szCs w:val="20"/>
          <w:color w:val="auto"/>
        </w:rPr>
      </w:pPr>
    </w:p>
    <w:p>
      <w:pPr>
        <w:ind w:left="561"/>
        <w:spacing w:after="0"/>
        <w:rPr>
          <w:sz w:val="20"/>
          <w:szCs w:val="20"/>
          <w:color w:val="auto"/>
        </w:rPr>
      </w:pPr>
      <w:r>
        <w:rPr>
          <w:rFonts w:ascii="Arial" w:cs="Arial" w:eastAsia="Arial" w:hAnsi="Arial"/>
          <w:sz w:val="16"/>
          <w:szCs w:val="16"/>
          <w:color w:val="auto"/>
        </w:rPr>
        <w:t>The list of tests for a change of use in the standard is characterized as a non-exhaustive list of examples to help to illustrate the principal.</w:t>
      </w:r>
    </w:p>
    <w:p>
      <w:pPr>
        <w:spacing w:after="0" w:line="195" w:lineRule="exact"/>
        <w:rPr>
          <w:sz w:val="20"/>
          <w:szCs w:val="20"/>
          <w:color w:val="auto"/>
        </w:rPr>
      </w:pPr>
    </w:p>
    <w:p>
      <w:pPr>
        <w:ind w:left="561"/>
        <w:spacing w:after="0"/>
        <w:rPr>
          <w:sz w:val="20"/>
          <w:szCs w:val="20"/>
          <w:color w:val="auto"/>
        </w:rPr>
      </w:pPr>
      <w:r>
        <w:rPr>
          <w:rFonts w:ascii="Arial" w:cs="Arial" w:eastAsia="Arial" w:hAnsi="Arial"/>
          <w:sz w:val="16"/>
          <w:szCs w:val="16"/>
          <w:color w:val="auto"/>
        </w:rPr>
        <w:t>The IASB provided two examples for the transition:</w:t>
      </w:r>
    </w:p>
    <w:p>
      <w:pPr>
        <w:spacing w:after="0" w:line="195" w:lineRule="exact"/>
        <w:rPr>
          <w:sz w:val="20"/>
          <w:szCs w:val="20"/>
          <w:color w:val="auto"/>
        </w:rPr>
      </w:pPr>
    </w:p>
    <w:p>
      <w:pPr>
        <w:ind w:left="861" w:hanging="292"/>
        <w:spacing w:after="0"/>
        <w:tabs>
          <w:tab w:leader="none" w:pos="861"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Prospectively, with any impact from the reclassification recognized as an adjustment to the initial retained earnings at the date of initial recognition, or</w:t>
      </w:r>
    </w:p>
    <w:p>
      <w:pPr>
        <w:spacing w:after="0" w:line="28" w:lineRule="exact"/>
        <w:rPr>
          <w:rFonts w:ascii="Arial" w:cs="Arial" w:eastAsia="Arial" w:hAnsi="Arial"/>
          <w:sz w:val="15"/>
          <w:szCs w:val="15"/>
          <w:color w:val="auto"/>
        </w:rPr>
      </w:pPr>
    </w:p>
    <w:p>
      <w:pPr>
        <w:ind w:left="861" w:hanging="292"/>
        <w:spacing w:after="0"/>
        <w:tabs>
          <w:tab w:leader="none" w:pos="8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Retrospectively, only permitted without taking advantage of retrospective information.</w:t>
      </w:r>
    </w:p>
    <w:p>
      <w:pPr>
        <w:spacing w:after="0" w:line="184" w:lineRule="exact"/>
        <w:rPr>
          <w:sz w:val="20"/>
          <w:szCs w:val="20"/>
          <w:color w:val="auto"/>
        </w:rPr>
      </w:pPr>
    </w:p>
    <w:p>
      <w:pPr>
        <w:ind w:left="561"/>
        <w:spacing w:after="0"/>
        <w:rPr>
          <w:sz w:val="20"/>
          <w:szCs w:val="20"/>
          <w:color w:val="auto"/>
        </w:rPr>
      </w:pPr>
      <w:r>
        <w:rPr>
          <w:rFonts w:ascii="Arial" w:cs="Arial" w:eastAsia="Arial" w:hAnsi="Arial"/>
          <w:sz w:val="16"/>
          <w:szCs w:val="16"/>
          <w:color w:val="auto"/>
        </w:rPr>
        <w:t>Additional disclosures are required if an entity adopts the requirements prospectively.</w:t>
      </w:r>
    </w:p>
    <w:p>
      <w:pPr>
        <w:spacing w:after="0" w:line="195" w:lineRule="exact"/>
        <w:rPr>
          <w:sz w:val="20"/>
          <w:szCs w:val="20"/>
          <w:color w:val="auto"/>
        </w:rPr>
      </w:pPr>
    </w:p>
    <w:p>
      <w:pPr>
        <w:ind w:left="281" w:right="9100" w:hanging="281"/>
        <w:spacing w:after="0" w:line="565" w:lineRule="auto"/>
        <w:tabs>
          <w:tab w:leader="none" w:pos="281"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Basis of consolidation - Investment in subsidiaries -</w:t>
      </w:r>
    </w:p>
    <w:p>
      <w:pPr>
        <w:ind w:left="281"/>
        <w:spacing w:after="0"/>
        <w:rPr>
          <w:rFonts w:ascii="Arial" w:cs="Arial" w:eastAsia="Arial" w:hAnsi="Arial"/>
          <w:sz w:val="14"/>
          <w:szCs w:val="14"/>
          <w:color w:val="auto"/>
        </w:rPr>
      </w:pPr>
      <w:r>
        <w:rPr>
          <w:rFonts w:ascii="Arial" w:cs="Arial" w:eastAsia="Arial" w:hAnsi="Arial"/>
          <w:sz w:val="16"/>
          <w:szCs w:val="16"/>
          <w:color w:val="auto"/>
        </w:rPr>
        <w:t>The consolidated financial statements comprise the financial statements of Credicorp and its Subsidiaries for all the years presented.</w:t>
      </w:r>
    </w:p>
    <w:p>
      <w:pPr>
        <w:spacing w:after="0" w:line="195" w:lineRule="exact"/>
        <w:rPr>
          <w:rFonts w:ascii="Arial" w:cs="Arial" w:eastAsia="Arial" w:hAnsi="Arial"/>
          <w:sz w:val="14"/>
          <w:szCs w:val="14"/>
          <w:color w:val="auto"/>
        </w:rPr>
      </w:pPr>
    </w:p>
    <w:p>
      <w:pPr>
        <w:ind w:left="281" w:right="140"/>
        <w:spacing w:after="0" w:line="258" w:lineRule="auto"/>
        <w:rPr>
          <w:rFonts w:ascii="Arial" w:cs="Arial" w:eastAsia="Arial" w:hAnsi="Arial"/>
          <w:sz w:val="14"/>
          <w:szCs w:val="14"/>
          <w:color w:val="auto"/>
        </w:rPr>
      </w:pPr>
      <w:r>
        <w:rPr>
          <w:rFonts w:ascii="Arial" w:cs="Arial" w:eastAsia="Arial" w:hAnsi="Arial"/>
          <w:sz w:val="16"/>
          <w:szCs w:val="16"/>
          <w:color w:val="auto"/>
        </w:rPr>
        <w:t>Under IFRS 10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65" w:lineRule="exact"/>
        <w:rPr>
          <w:rFonts w:ascii="Arial" w:cs="Arial" w:eastAsia="Arial" w:hAnsi="Arial"/>
          <w:sz w:val="14"/>
          <w:szCs w:val="14"/>
          <w:color w:val="auto"/>
        </w:rPr>
      </w:pPr>
    </w:p>
    <w:p>
      <w:pPr>
        <w:ind w:left="561" w:hanging="276"/>
        <w:spacing w:after="0"/>
        <w:tabs>
          <w:tab w:leader="none" w:pos="5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Power over the investee (i.e. existing rights that give it the current ability to direct the relevant activities of the investee),</w:t>
      </w:r>
    </w:p>
    <w:p>
      <w:pPr>
        <w:spacing w:after="0" w:line="16" w:lineRule="exact"/>
        <w:rPr>
          <w:rFonts w:ascii="Arial" w:cs="Arial" w:eastAsia="Arial" w:hAnsi="Arial"/>
          <w:sz w:val="16"/>
          <w:szCs w:val="16"/>
          <w:color w:val="auto"/>
        </w:rPr>
      </w:pPr>
    </w:p>
    <w:p>
      <w:pPr>
        <w:ind w:left="561" w:hanging="276"/>
        <w:spacing w:after="0"/>
        <w:tabs>
          <w:tab w:leader="none" w:pos="5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Exposure, or rights, to variable returns from its involvement with the investee, and</w:t>
      </w:r>
    </w:p>
    <w:p>
      <w:pPr>
        <w:spacing w:after="0" w:line="5" w:lineRule="exact"/>
        <w:rPr>
          <w:rFonts w:ascii="Arial" w:cs="Arial" w:eastAsia="Arial" w:hAnsi="Arial"/>
          <w:sz w:val="16"/>
          <w:szCs w:val="16"/>
          <w:color w:val="auto"/>
        </w:rPr>
      </w:pPr>
    </w:p>
    <w:p>
      <w:pPr>
        <w:ind w:left="561" w:hanging="276"/>
        <w:spacing w:after="0"/>
        <w:tabs>
          <w:tab w:leader="none" w:pos="5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ability to use its power over the investee to affect its returns.</w:t>
      </w:r>
    </w:p>
    <w:p>
      <w:pPr>
        <w:spacing w:after="0" w:line="184" w:lineRule="exact"/>
        <w:rPr>
          <w:sz w:val="20"/>
          <w:szCs w:val="20"/>
          <w:color w:val="auto"/>
        </w:rPr>
      </w:pPr>
    </w:p>
    <w:p>
      <w:pPr>
        <w:ind w:left="281" w:right="120"/>
        <w:spacing w:after="0" w:line="303" w:lineRule="auto"/>
        <w:rPr>
          <w:sz w:val="20"/>
          <w:szCs w:val="20"/>
          <w:color w:val="auto"/>
        </w:rPr>
      </w:pPr>
      <w:r>
        <w:rPr>
          <w:rFonts w:ascii="Arial" w:cs="Arial" w:eastAsia="Arial" w:hAnsi="Arial"/>
          <w:sz w:val="15"/>
          <w:szCs w:val="15"/>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33" w:lineRule="exact"/>
        <w:rPr>
          <w:sz w:val="20"/>
          <w:szCs w:val="20"/>
          <w:color w:val="auto"/>
        </w:rPr>
      </w:pPr>
    </w:p>
    <w:p>
      <w:pPr>
        <w:ind w:left="561" w:hanging="276"/>
        <w:spacing w:after="0"/>
        <w:tabs>
          <w:tab w:leader="none" w:pos="56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contractual arrangement with the other vote holders of the investee.</w:t>
      </w:r>
    </w:p>
    <w:p>
      <w:pPr>
        <w:spacing w:after="0" w:line="16" w:lineRule="exact"/>
        <w:rPr>
          <w:rFonts w:ascii="Arial" w:cs="Arial" w:eastAsia="Arial" w:hAnsi="Arial"/>
          <w:sz w:val="16"/>
          <w:szCs w:val="16"/>
          <w:color w:val="auto"/>
        </w:rPr>
      </w:pPr>
    </w:p>
    <w:p>
      <w:pPr>
        <w:ind w:left="561" w:hanging="276"/>
        <w:spacing w:after="0"/>
        <w:tabs>
          <w:tab w:leader="none" w:pos="561" w:val="left"/>
        </w:tabs>
        <w:numPr>
          <w:ilvl w:val="0"/>
          <w:numId w:val="25"/>
        </w:numPr>
        <w:rPr>
          <w:rFonts w:ascii="Arial" w:cs="Arial" w:eastAsia="Arial" w:hAnsi="Arial"/>
          <w:sz w:val="16"/>
          <w:szCs w:val="16"/>
          <w:color w:val="auto"/>
        </w:rPr>
      </w:pPr>
      <w:r>
        <w:rPr>
          <w:rFonts w:ascii="Arial" w:cs="Arial" w:eastAsia="Arial" w:hAnsi="Arial"/>
          <w:sz w:val="16"/>
          <w:szCs w:val="16"/>
          <w:color w:val="auto"/>
        </w:rPr>
        <w:t>Rights arising from other contractual arrangements.</w:t>
      </w:r>
    </w:p>
    <w:p>
      <w:pPr>
        <w:spacing w:after="0" w:line="5" w:lineRule="exact"/>
        <w:rPr>
          <w:rFonts w:ascii="Arial" w:cs="Arial" w:eastAsia="Arial" w:hAnsi="Arial"/>
          <w:sz w:val="16"/>
          <w:szCs w:val="16"/>
          <w:color w:val="auto"/>
        </w:rPr>
      </w:pPr>
    </w:p>
    <w:p>
      <w:pPr>
        <w:ind w:left="561" w:hanging="276"/>
        <w:spacing w:after="0"/>
        <w:tabs>
          <w:tab w:leader="none" w:pos="56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Group’s voting rights and potential voting rights.</w:t>
      </w:r>
    </w:p>
    <w:p>
      <w:pPr>
        <w:spacing w:after="0" w:line="184" w:lineRule="exact"/>
        <w:rPr>
          <w:sz w:val="20"/>
          <w:szCs w:val="20"/>
          <w:color w:val="auto"/>
        </w:rPr>
      </w:pPr>
    </w:p>
    <w:p>
      <w:pPr>
        <w:ind w:left="281"/>
        <w:spacing w:after="0" w:line="258" w:lineRule="auto"/>
        <w:rPr>
          <w:sz w:val="20"/>
          <w:szCs w:val="20"/>
          <w:color w:val="auto"/>
        </w:rPr>
      </w:pPr>
      <w:r>
        <w:rPr>
          <w:rFonts w:ascii="Arial" w:cs="Arial" w:eastAsia="Arial" w:hAnsi="Arial"/>
          <w:sz w:val="16"/>
          <w:szCs w:val="16"/>
          <w:color w:val="auto"/>
        </w:rPr>
        <w:t>The Group assesses whether or not it controls an investee if the facts and circumstances indicate that there are changes in any of the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65" w:lineRule="exact"/>
        <w:rPr>
          <w:sz w:val="20"/>
          <w:szCs w:val="20"/>
          <w:color w:val="auto"/>
        </w:rPr>
      </w:pPr>
    </w:p>
    <w:p>
      <w:pPr>
        <w:ind w:left="281" w:right="60"/>
        <w:spacing w:after="0" w:line="254" w:lineRule="auto"/>
        <w:rPr>
          <w:sz w:val="20"/>
          <w:szCs w:val="20"/>
          <w:color w:val="auto"/>
        </w:rPr>
      </w:pPr>
      <w:r>
        <w:rPr>
          <w:rFonts w:ascii="Arial" w:cs="Arial" w:eastAsia="Arial" w:hAnsi="Arial"/>
          <w:sz w:val="16"/>
          <w:szCs w:val="16"/>
          <w:color w:val="auto"/>
        </w:rPr>
        <w:t>Profit or loss for the period and each component of other comprehensive income (OCI) are attributed to the equity holders of the parent of the Group and to the non-controlling interest, even if this results in the non-controlling interest with a negative balance. When necessary, adjustments are made to the financial statements of subsidiaries to bring their accounting policies into line with the Group’s accounting policies. All intra-group assets and liabilities, equity, income, expenses and cash flows relating to transactions between members of the Group are eliminated in full on consolidation.</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4" w:right="259" w:bottom="1440" w:gutter="0" w:footer="0" w:header="0"/>
        </w:sectPr>
      </w:pPr>
    </w:p>
    <w:bookmarkStart w:id="33" w:name="page34"/>
    <w:bookmarkEnd w:id="33"/>
    <w:p>
      <w:pPr>
        <w:spacing w:after="0" w:line="269" w:lineRule="auto"/>
        <w:rPr>
          <w:sz w:val="20"/>
          <w:szCs w:val="20"/>
          <w:color w:val="auto"/>
        </w:rPr>
      </w:pPr>
      <w:r>
        <w:rPr>
          <w:rFonts w:ascii="Arial" w:cs="Arial" w:eastAsia="Arial" w:hAnsi="Arial"/>
          <w:sz w:val="16"/>
          <w:szCs w:val="16"/>
          <w:color w:val="auto"/>
        </w:rPr>
        <w:t>Assets in custody or managed by the Group, such as investment funds and private pension funds (AFP funds), are not part of the Group’s consolidated financial statements, Note 3(ab).</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non-controlling interest -</w:t>
      </w:r>
    </w:p>
    <w:p>
      <w:pPr>
        <w:spacing w:after="0" w:line="195"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A change in the ownership interest of a subsidiary, without a loss of control, is accounted for as an equity transaction and any resulting difference between the price paid and the amount corresponding to non-controlling shareholders is recognized directly in the consolidated statement of changes in net equity.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Loss of control -</w:t>
      </w:r>
    </w:p>
    <w:p>
      <w:pPr>
        <w:spacing w:after="0" w:line="19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associates -</w:t>
      </w:r>
    </w:p>
    <w:p>
      <w:pPr>
        <w:spacing w:after="0" w:line="195"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57"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Group’s investments in its associates are recognized initially at cost and are subsequently accounted for using the equity method. They are included in “Other assets” in the consolidated statement of financial position; gains resulting from the use of the equity method of accounting are included in “Other income” of the consolidated statement of income.</w:t>
      </w:r>
    </w:p>
    <w:p>
      <w:pPr>
        <w:spacing w:after="0" w:line="35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40"/>
          </w:cols>
          <w:pgMar w:left="800" w:top="814" w:right="259" w:bottom="1440" w:gutter="0" w:footer="0" w:header="0"/>
        </w:sectPr>
      </w:pPr>
    </w:p>
    <w:bookmarkStart w:id="34" w:name="page35"/>
    <w:bookmarkEnd w:id="34"/>
    <w:p>
      <w:pPr>
        <w:ind w:right="40"/>
        <w:spacing w:after="0" w:line="303" w:lineRule="auto"/>
        <w:rPr>
          <w:sz w:val="20"/>
          <w:szCs w:val="20"/>
          <w:color w:val="auto"/>
        </w:rPr>
      </w:pPr>
      <w:r>
        <w:rPr>
          <w:rFonts w:ascii="Arial" w:cs="Arial" w:eastAsia="Arial" w:hAnsi="Arial"/>
          <w:sz w:val="15"/>
          <w:szCs w:val="15"/>
          <w:color w:val="auto"/>
        </w:rPr>
        <w:t>At December 31, 2018 and 2017, the following entities comprise the Group (the individual or consolidated figures of their financial statements are presented in accordance with IFRS and before eliminations for consolidation purposes, except for the elimination of Credicorp’s treasury shares and its related dividends):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2"/>
              </w:rPr>
              <w:t>Activity and country of</w:t>
            </w: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Percentage of</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3"/>
                <w:szCs w:val="13"/>
                <w:b w:val="1"/>
                <w:bCs w:val="1"/>
                <w:color w:val="auto"/>
              </w:rPr>
              <w:t>Entity</w:t>
            </w: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gridSpan w:val="4"/>
          </w:tcPr>
          <w:p>
            <w:pPr>
              <w:jc w:val="center"/>
              <w:ind w:right="120"/>
              <w:spacing w:after="0" w:line="131" w:lineRule="exact"/>
              <w:rPr>
                <w:sz w:val="20"/>
                <w:szCs w:val="20"/>
                <w:color w:val="auto"/>
              </w:rPr>
            </w:pPr>
            <w:r>
              <w:rPr>
                <w:rFonts w:ascii="Arial" w:cs="Arial" w:eastAsia="Arial" w:hAnsi="Arial"/>
                <w:sz w:val="13"/>
                <w:szCs w:val="13"/>
                <w:b w:val="1"/>
                <w:bCs w:val="1"/>
                <w:color w:val="auto"/>
                <w:w w:val="86"/>
              </w:rPr>
              <w:t>interest (direct</w:t>
            </w:r>
          </w:p>
        </w:tc>
        <w:tc>
          <w:tcPr>
            <w:tcW w:w="1720" w:type="dxa"/>
            <w:vAlign w:val="bottom"/>
            <w:gridSpan w:val="4"/>
            <w:vMerge w:val="restart"/>
          </w:tcPr>
          <w:p>
            <w:pPr>
              <w:ind w:left="620"/>
              <w:spacing w:after="0"/>
              <w:rPr>
                <w:sz w:val="20"/>
                <w:szCs w:val="20"/>
                <w:color w:val="auto"/>
              </w:rPr>
            </w:pPr>
            <w:r>
              <w:rPr>
                <w:rFonts w:ascii="Arial" w:cs="Arial" w:eastAsia="Arial" w:hAnsi="Arial"/>
                <w:sz w:val="13"/>
                <w:szCs w:val="13"/>
                <w:b w:val="1"/>
                <w:bCs w:val="1"/>
                <w:color w:val="auto"/>
              </w:rPr>
              <w:t>Assets</w:t>
            </w:r>
          </w:p>
        </w:tc>
        <w:tc>
          <w:tcPr>
            <w:tcW w:w="1700" w:type="dxa"/>
            <w:vAlign w:val="bottom"/>
            <w:gridSpan w:val="4"/>
            <w:vMerge w:val="restart"/>
          </w:tcPr>
          <w:p>
            <w:pPr>
              <w:ind w:left="500"/>
              <w:spacing w:after="0"/>
              <w:rPr>
                <w:sz w:val="20"/>
                <w:szCs w:val="20"/>
                <w:color w:val="auto"/>
              </w:rPr>
            </w:pPr>
            <w:r>
              <w:rPr>
                <w:rFonts w:ascii="Arial" w:cs="Arial" w:eastAsia="Arial" w:hAnsi="Arial"/>
                <w:sz w:val="13"/>
                <w:szCs w:val="13"/>
                <w:b w:val="1"/>
                <w:bCs w:val="1"/>
                <w:color w:val="auto"/>
              </w:rPr>
              <w:t>Liabilities</w:t>
            </w:r>
          </w:p>
        </w:tc>
        <w:tc>
          <w:tcPr>
            <w:tcW w:w="1580" w:type="dxa"/>
            <w:vAlign w:val="bottom"/>
            <w:gridSpan w:val="4"/>
            <w:vMerge w:val="restart"/>
          </w:tcPr>
          <w:p>
            <w:pPr>
              <w:jc w:val="right"/>
              <w:ind w:right="680"/>
              <w:spacing w:after="0"/>
              <w:rPr>
                <w:sz w:val="20"/>
                <w:szCs w:val="20"/>
                <w:color w:val="auto"/>
              </w:rPr>
            </w:pPr>
            <w:r>
              <w:rPr>
                <w:rFonts w:ascii="Arial" w:cs="Arial" w:eastAsia="Arial" w:hAnsi="Arial"/>
                <w:sz w:val="13"/>
                <w:szCs w:val="13"/>
                <w:b w:val="1"/>
                <w:bCs w:val="1"/>
                <w:color w:val="auto"/>
              </w:rPr>
              <w:t>Equity</w:t>
            </w:r>
          </w:p>
        </w:tc>
        <w:tc>
          <w:tcPr>
            <w:tcW w:w="1400" w:type="dxa"/>
            <w:vAlign w:val="bottom"/>
            <w:gridSpan w:val="4"/>
            <w:vMerge w:val="restart"/>
          </w:tcPr>
          <w:p>
            <w:pPr>
              <w:jc w:val="right"/>
              <w:ind w:right="280"/>
              <w:spacing w:after="0"/>
              <w:rPr>
                <w:sz w:val="20"/>
                <w:szCs w:val="20"/>
                <w:color w:val="auto"/>
              </w:rPr>
            </w:pPr>
            <w:r>
              <w:rPr>
                <w:rFonts w:ascii="Arial" w:cs="Arial" w:eastAsia="Arial" w:hAnsi="Arial"/>
                <w:sz w:val="13"/>
                <w:szCs w:val="13"/>
                <w:b w:val="1"/>
                <w:bCs w:val="1"/>
                <w:color w:val="auto"/>
              </w:rPr>
              <w:t>Net income (loss)</w:t>
            </w:r>
          </w:p>
        </w:tc>
        <w:tc>
          <w:tcPr>
            <w:tcW w:w="0" w:type="dxa"/>
            <w:vAlign w:val="bottom"/>
          </w:tcPr>
          <w:p>
            <w:pPr>
              <w:spacing w:after="0"/>
              <w:rPr>
                <w:sz w:val="1"/>
                <w:szCs w:val="1"/>
                <w:color w:val="auto"/>
              </w:rPr>
            </w:pPr>
          </w:p>
        </w:tc>
      </w:tr>
      <w:tr>
        <w:trPr>
          <w:trHeight w:val="150"/>
        </w:trPr>
        <w:tc>
          <w:tcPr>
            <w:tcW w:w="1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60"/>
              <w:spacing w:after="0"/>
              <w:rPr>
                <w:sz w:val="20"/>
                <w:szCs w:val="20"/>
                <w:color w:val="auto"/>
              </w:rPr>
            </w:pPr>
            <w:r>
              <w:rPr>
                <w:rFonts w:ascii="Arial" w:cs="Arial" w:eastAsia="Arial" w:hAnsi="Arial"/>
                <w:sz w:val="13"/>
                <w:szCs w:val="13"/>
                <w:b w:val="1"/>
                <w:bCs w:val="1"/>
                <w:color w:val="auto"/>
              </w:rPr>
              <w:t>incorporation</w:t>
            </w: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9"/>
              </w:rPr>
              <w:t>and indirect)</w:t>
            </w:r>
          </w:p>
        </w:tc>
        <w:tc>
          <w:tcPr>
            <w:tcW w:w="1720" w:type="dxa"/>
            <w:vAlign w:val="bottom"/>
            <w:gridSpan w:val="4"/>
            <w:vMerge w:val="continue"/>
          </w:tcPr>
          <w:p>
            <w:pPr>
              <w:spacing w:after="0"/>
              <w:rPr>
                <w:sz w:val="13"/>
                <w:szCs w:val="13"/>
                <w:color w:val="auto"/>
              </w:rPr>
            </w:pPr>
          </w:p>
        </w:tc>
        <w:tc>
          <w:tcPr>
            <w:tcW w:w="1700" w:type="dxa"/>
            <w:vAlign w:val="bottom"/>
            <w:gridSpan w:val="4"/>
            <w:vMerge w:val="continue"/>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37"/>
              <w:spacing w:after="0" w:line="134"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17"/>
              <w:spacing w:after="0" w:line="134" w:lineRule="exact"/>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57"/>
              <w:spacing w:after="0" w:line="134"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97"/>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420" w:type="dxa"/>
            <w:vAlign w:val="bottom"/>
          </w:tcPr>
          <w:p>
            <w:pPr>
              <w:jc w:val="right"/>
              <w:ind w:right="77"/>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8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Banco de Crédito del Perú and</w:t>
            </w: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Subsidiaries (i)</w:t>
            </w:r>
          </w:p>
        </w:tc>
        <w:tc>
          <w:tcPr>
            <w:tcW w:w="1400" w:type="dxa"/>
            <w:vAlign w:val="bottom"/>
            <w:gridSpan w:val="3"/>
            <w:shd w:val="clear" w:color="auto" w:fill="CCEEFF"/>
          </w:tcPr>
          <w:p>
            <w:pPr>
              <w:ind w:left="80"/>
              <w:spacing w:after="0" w:line="146" w:lineRule="exact"/>
              <w:rPr>
                <w:sz w:val="20"/>
                <w:szCs w:val="20"/>
                <w:color w:val="auto"/>
              </w:rPr>
            </w:pPr>
            <w:r>
              <w:rPr>
                <w:rFonts w:ascii="Arial" w:cs="Arial" w:eastAsia="Arial" w:hAnsi="Arial"/>
                <w:sz w:val="13"/>
                <w:szCs w:val="13"/>
                <w:color w:val="auto"/>
              </w:rPr>
              <w:t>Banking, Peru</w:t>
            </w:r>
          </w:p>
        </w:tc>
        <w:tc>
          <w:tcPr>
            <w:tcW w:w="5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97.71</w:t>
            </w:r>
          </w:p>
        </w:tc>
        <w:tc>
          <w:tcPr>
            <w:tcW w:w="5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97.69</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w w:val="96"/>
              </w:rPr>
              <w:t>144,768,951</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w w:val="96"/>
              </w:rPr>
              <w:t>139,658,667</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4"/>
              </w:rPr>
              <w:t>127,683,654</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124,107,841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w w:val="95"/>
              </w:rPr>
              <w:t>17,085,297</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w w:val="95"/>
              </w:rPr>
              <w:t>15,550,826</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3,391,015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3,036,929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20" w:type="dxa"/>
            <w:vAlign w:val="bottom"/>
          </w:tcPr>
          <w:p>
            <w:pPr>
              <w:spacing w:after="0" w:line="114" w:lineRule="exact"/>
              <w:rPr>
                <w:sz w:val="20"/>
                <w:szCs w:val="20"/>
                <w:color w:val="auto"/>
              </w:rPr>
            </w:pPr>
            <w:r>
              <w:rPr>
                <w:rFonts w:ascii="Arial" w:cs="Arial" w:eastAsia="Arial" w:hAnsi="Arial"/>
                <w:sz w:val="13"/>
                <w:szCs w:val="13"/>
                <w:color w:val="auto"/>
                <w:w w:val="94"/>
              </w:rPr>
              <w:t>Pacífico Compañía de Seguros y</w:t>
            </w: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140"/>
              <w:spacing w:after="0" w:line="131" w:lineRule="exact"/>
              <w:rPr>
                <w:sz w:val="20"/>
                <w:szCs w:val="20"/>
                <w:color w:val="auto"/>
              </w:rPr>
            </w:pPr>
            <w:r>
              <w:rPr>
                <w:rFonts w:ascii="Arial" w:cs="Arial" w:eastAsia="Arial" w:hAnsi="Arial"/>
                <w:sz w:val="13"/>
                <w:szCs w:val="13"/>
                <w:color w:val="auto"/>
              </w:rPr>
              <w:t>Reaseguros S.A. and</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140"/>
              <w:spacing w:after="0" w:line="146" w:lineRule="exact"/>
              <w:rPr>
                <w:sz w:val="20"/>
                <w:szCs w:val="20"/>
                <w:color w:val="auto"/>
              </w:rPr>
            </w:pPr>
            <w:r>
              <w:rPr>
                <w:rFonts w:ascii="Arial" w:cs="Arial" w:eastAsia="Arial" w:hAnsi="Arial"/>
                <w:sz w:val="13"/>
                <w:szCs w:val="13"/>
                <w:color w:val="auto"/>
              </w:rPr>
              <w:t>Subsidiaries (ii), Note 2(c)</w:t>
            </w:r>
          </w:p>
        </w:tc>
        <w:tc>
          <w:tcPr>
            <w:tcW w:w="1400" w:type="dxa"/>
            <w:vAlign w:val="bottom"/>
            <w:gridSpan w:val="3"/>
          </w:tcPr>
          <w:p>
            <w:pPr>
              <w:ind w:left="80"/>
              <w:spacing w:after="0" w:line="146" w:lineRule="exact"/>
              <w:rPr>
                <w:sz w:val="20"/>
                <w:szCs w:val="20"/>
                <w:color w:val="auto"/>
              </w:rPr>
            </w:pPr>
            <w:r>
              <w:rPr>
                <w:rFonts w:ascii="Arial" w:cs="Arial" w:eastAsia="Arial" w:hAnsi="Arial"/>
                <w:sz w:val="13"/>
                <w:szCs w:val="13"/>
                <w:color w:val="auto"/>
              </w:rPr>
              <w:t>Insurance, Peru</w:t>
            </w:r>
          </w:p>
        </w:tc>
        <w:tc>
          <w:tcPr>
            <w:tcW w:w="5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98.79</w:t>
            </w:r>
          </w:p>
        </w:tc>
        <w:tc>
          <w:tcPr>
            <w:tcW w:w="5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98.79</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12,222,763</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11,402,998</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9,590,768</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8,558,149</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2,631,995</w:t>
            </w: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2,844,849</w:t>
            </w: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353,292</w:t>
            </w:r>
          </w:p>
        </w:tc>
        <w:tc>
          <w:tcPr>
            <w:tcW w:w="6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325,008</w:t>
            </w:r>
          </w:p>
        </w:tc>
        <w:tc>
          <w:tcPr>
            <w:tcW w:w="0" w:type="dxa"/>
            <w:vAlign w:val="bottom"/>
          </w:tcPr>
          <w:p>
            <w:pPr>
              <w:spacing w:after="0"/>
              <w:rPr>
                <w:sz w:val="1"/>
                <w:szCs w:val="1"/>
                <w:color w:val="auto"/>
              </w:rPr>
            </w:pPr>
          </w:p>
        </w:tc>
      </w:tr>
      <w:tr>
        <w:trPr>
          <w:trHeight w:val="114"/>
        </w:trPr>
        <w:tc>
          <w:tcPr>
            <w:tcW w:w="18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Credicorp Capital Ltd. and</w:t>
            </w:r>
          </w:p>
        </w:tc>
        <w:tc>
          <w:tcPr>
            <w:tcW w:w="1400" w:type="dxa"/>
            <w:vAlign w:val="bottom"/>
            <w:gridSpan w:val="3"/>
            <w:shd w:val="clear" w:color="auto" w:fill="CCEEFF"/>
          </w:tcPr>
          <w:p>
            <w:pPr>
              <w:ind w:left="80"/>
              <w:spacing w:after="0" w:line="114" w:lineRule="exact"/>
              <w:rPr>
                <w:sz w:val="20"/>
                <w:szCs w:val="20"/>
                <w:color w:val="auto"/>
              </w:rPr>
            </w:pPr>
            <w:r>
              <w:rPr>
                <w:rFonts w:ascii="Arial" w:cs="Arial" w:eastAsia="Arial" w:hAnsi="Arial"/>
                <w:sz w:val="13"/>
                <w:szCs w:val="13"/>
                <w:color w:val="auto"/>
              </w:rPr>
              <w:t>Capital markets,</w:t>
            </w: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Subsidiaries (iii)</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Bermuda</w:t>
            </w:r>
          </w:p>
        </w:tc>
        <w:tc>
          <w:tcPr>
            <w:tcW w:w="5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5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3,393,325</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3,731,930</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2,695,499</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2,943,210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697,826</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788,720</w:t>
            </w: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35,191</w:t>
            </w:r>
          </w:p>
        </w:tc>
        <w:tc>
          <w:tcPr>
            <w:tcW w:w="6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77,963</w:t>
            </w:r>
          </w:p>
        </w:tc>
        <w:tc>
          <w:tcPr>
            <w:tcW w:w="0" w:type="dxa"/>
            <w:vAlign w:val="bottom"/>
          </w:tcPr>
          <w:p>
            <w:pPr>
              <w:spacing w:after="0"/>
              <w:rPr>
                <w:sz w:val="1"/>
                <w:szCs w:val="1"/>
                <w:color w:val="auto"/>
              </w:rPr>
            </w:pPr>
          </w:p>
        </w:tc>
      </w:tr>
      <w:tr>
        <w:trPr>
          <w:trHeight w:val="114"/>
        </w:trPr>
        <w:tc>
          <w:tcPr>
            <w:tcW w:w="1820" w:type="dxa"/>
            <w:vAlign w:val="bottom"/>
          </w:tcPr>
          <w:p>
            <w:pPr>
              <w:spacing w:after="0" w:line="114" w:lineRule="exact"/>
              <w:rPr>
                <w:sz w:val="20"/>
                <w:szCs w:val="20"/>
                <w:color w:val="auto"/>
              </w:rPr>
            </w:pPr>
            <w:r>
              <w:rPr>
                <w:rFonts w:ascii="Arial" w:cs="Arial" w:eastAsia="Arial" w:hAnsi="Arial"/>
                <w:sz w:val="13"/>
                <w:szCs w:val="13"/>
                <w:color w:val="auto"/>
                <w:w w:val="91"/>
              </w:rPr>
              <w:t>Inversiones Credicorp Bolivia S.A.</w:t>
            </w: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140"/>
              <w:spacing w:after="0" w:line="146" w:lineRule="exact"/>
              <w:rPr>
                <w:sz w:val="20"/>
                <w:szCs w:val="20"/>
                <w:color w:val="auto"/>
              </w:rPr>
            </w:pPr>
            <w:r>
              <w:rPr>
                <w:rFonts w:ascii="Arial" w:cs="Arial" w:eastAsia="Arial" w:hAnsi="Arial"/>
                <w:sz w:val="13"/>
                <w:szCs w:val="13"/>
                <w:color w:val="auto"/>
              </w:rPr>
              <w:t>and Subsidiaries (iv)</w:t>
            </w:r>
          </w:p>
        </w:tc>
        <w:tc>
          <w:tcPr>
            <w:tcW w:w="1400" w:type="dxa"/>
            <w:vAlign w:val="bottom"/>
            <w:gridSpan w:val="3"/>
          </w:tcPr>
          <w:p>
            <w:pPr>
              <w:ind w:left="80"/>
              <w:spacing w:after="0" w:line="146" w:lineRule="exact"/>
              <w:rPr>
                <w:sz w:val="20"/>
                <w:szCs w:val="20"/>
                <w:color w:val="auto"/>
              </w:rPr>
            </w:pPr>
            <w:r>
              <w:rPr>
                <w:rFonts w:ascii="Arial" w:cs="Arial" w:eastAsia="Arial" w:hAnsi="Arial"/>
                <w:sz w:val="13"/>
                <w:szCs w:val="13"/>
                <w:color w:val="auto"/>
              </w:rPr>
              <w:t>Banking, Bolivia</w:t>
            </w:r>
          </w:p>
        </w:tc>
        <w:tc>
          <w:tcPr>
            <w:tcW w:w="5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99.96</w:t>
            </w:r>
          </w:p>
        </w:tc>
        <w:tc>
          <w:tcPr>
            <w:tcW w:w="5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99.96</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10,020,148</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9,153,381</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9,239,568</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8,458,813</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780,580</w:t>
            </w: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694,568</w:t>
            </w: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99,402</w:t>
            </w:r>
          </w:p>
        </w:tc>
        <w:tc>
          <w:tcPr>
            <w:tcW w:w="6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96,826</w:t>
            </w:r>
          </w:p>
        </w:tc>
        <w:tc>
          <w:tcPr>
            <w:tcW w:w="0" w:type="dxa"/>
            <w:vAlign w:val="bottom"/>
          </w:tcPr>
          <w:p>
            <w:pPr>
              <w:spacing w:after="0"/>
              <w:rPr>
                <w:sz w:val="1"/>
                <w:szCs w:val="1"/>
                <w:color w:val="auto"/>
              </w:rPr>
            </w:pPr>
          </w:p>
        </w:tc>
      </w:tr>
      <w:tr>
        <w:trPr>
          <w:trHeight w:val="114"/>
        </w:trPr>
        <w:tc>
          <w:tcPr>
            <w:tcW w:w="18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Atlantic Security Holding</w:t>
            </w:r>
          </w:p>
        </w:tc>
        <w:tc>
          <w:tcPr>
            <w:tcW w:w="1400" w:type="dxa"/>
            <w:vAlign w:val="bottom"/>
            <w:gridSpan w:val="3"/>
            <w:shd w:val="clear" w:color="auto" w:fill="CCEEFF"/>
          </w:tcPr>
          <w:p>
            <w:pPr>
              <w:ind w:left="80"/>
              <w:spacing w:after="0" w:line="114" w:lineRule="exact"/>
              <w:rPr>
                <w:sz w:val="20"/>
                <w:szCs w:val="20"/>
                <w:color w:val="auto"/>
              </w:rPr>
            </w:pPr>
            <w:r>
              <w:rPr>
                <w:rFonts w:ascii="Arial" w:cs="Arial" w:eastAsia="Arial" w:hAnsi="Arial"/>
                <w:sz w:val="13"/>
                <w:szCs w:val="13"/>
                <w:color w:val="auto"/>
              </w:rPr>
              <w:t>Capital Markets,</w:t>
            </w: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w w:val="89"/>
              </w:rPr>
              <w:t>Corporation and Subsidiaries (v)</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Cayman islands</w:t>
            </w:r>
          </w:p>
        </w:tc>
        <w:tc>
          <w:tcPr>
            <w:tcW w:w="5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5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6,607,494</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7,034,717</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5,395,262</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6,206,861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1,212,232</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827,856</w:t>
            </w: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351,425</w:t>
            </w:r>
          </w:p>
        </w:tc>
        <w:tc>
          <w:tcPr>
            <w:tcW w:w="6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187,132</w:t>
            </w:r>
          </w:p>
        </w:tc>
        <w:tc>
          <w:tcPr>
            <w:tcW w:w="0" w:type="dxa"/>
            <w:vAlign w:val="bottom"/>
          </w:tcPr>
          <w:p>
            <w:pPr>
              <w:spacing w:after="0"/>
              <w:rPr>
                <w:sz w:val="1"/>
                <w:szCs w:val="1"/>
                <w:color w:val="auto"/>
              </w:rPr>
            </w:pPr>
          </w:p>
        </w:tc>
      </w:tr>
      <w:tr>
        <w:trPr>
          <w:trHeight w:val="114"/>
        </w:trPr>
        <w:tc>
          <w:tcPr>
            <w:tcW w:w="1820" w:type="dxa"/>
            <w:vAlign w:val="bottom"/>
          </w:tcPr>
          <w:p>
            <w:pPr>
              <w:spacing w:after="0"/>
              <w:rPr>
                <w:sz w:val="9"/>
                <w:szCs w:val="9"/>
                <w:color w:val="auto"/>
              </w:rPr>
            </w:pPr>
          </w:p>
        </w:tc>
        <w:tc>
          <w:tcPr>
            <w:tcW w:w="1400" w:type="dxa"/>
            <w:vAlign w:val="bottom"/>
            <w:gridSpan w:val="3"/>
          </w:tcPr>
          <w:p>
            <w:pPr>
              <w:ind w:left="80"/>
              <w:spacing w:after="0" w:line="114" w:lineRule="exact"/>
              <w:rPr>
                <w:sz w:val="20"/>
                <w:szCs w:val="20"/>
                <w:color w:val="auto"/>
              </w:rPr>
            </w:pPr>
            <w:r>
              <w:rPr>
                <w:rFonts w:ascii="Arial" w:cs="Arial" w:eastAsia="Arial" w:hAnsi="Arial"/>
                <w:sz w:val="13"/>
                <w:szCs w:val="13"/>
                <w:color w:val="auto"/>
                <w:w w:val="97"/>
              </w:rPr>
              <w:t>Special purpose Entity,</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20" w:type="dxa"/>
            <w:vAlign w:val="bottom"/>
          </w:tcPr>
          <w:p>
            <w:pPr>
              <w:spacing w:after="0" w:line="146" w:lineRule="exact"/>
              <w:rPr>
                <w:sz w:val="20"/>
                <w:szCs w:val="20"/>
                <w:color w:val="auto"/>
              </w:rPr>
            </w:pPr>
            <w:r>
              <w:rPr>
                <w:rFonts w:ascii="Arial" w:cs="Arial" w:eastAsia="Arial" w:hAnsi="Arial"/>
                <w:sz w:val="13"/>
                <w:szCs w:val="13"/>
                <w:color w:val="auto"/>
              </w:rPr>
              <w:t>CCR Inc. (vi)</w:t>
            </w:r>
          </w:p>
        </w:tc>
        <w:tc>
          <w:tcPr>
            <w:tcW w:w="80" w:type="dxa"/>
            <w:vAlign w:val="bottom"/>
          </w:tcPr>
          <w:p>
            <w:pPr>
              <w:spacing w:after="0"/>
              <w:rPr>
                <w:sz w:val="12"/>
                <w:szCs w:val="12"/>
                <w:color w:val="auto"/>
              </w:rPr>
            </w:pPr>
          </w:p>
        </w:tc>
        <w:tc>
          <w:tcPr>
            <w:tcW w:w="132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Bahamas</w:t>
            </w:r>
          </w:p>
        </w:tc>
        <w:tc>
          <w:tcPr>
            <w:tcW w:w="5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5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543,113</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667,170</w:t>
            </w:r>
          </w:p>
        </w:tc>
        <w:tc>
          <w:tcPr>
            <w:tcW w:w="8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543,896</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670,132</w:t>
            </w:r>
          </w:p>
        </w:tc>
        <w:tc>
          <w:tcPr>
            <w:tcW w:w="8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(783)</w:t>
            </w:r>
          </w:p>
        </w:tc>
        <w:tc>
          <w:tcPr>
            <w:tcW w:w="7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(2,962)</w:t>
            </w: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2,179</w:t>
            </w:r>
          </w:p>
        </w:tc>
        <w:tc>
          <w:tcPr>
            <w:tcW w:w="6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14,018</w:t>
            </w:r>
          </w:p>
        </w:tc>
        <w:tc>
          <w:tcPr>
            <w:tcW w:w="0" w:type="dxa"/>
            <w:vAlign w:val="bottom"/>
          </w:tcPr>
          <w:p>
            <w:pPr>
              <w:spacing w:after="0"/>
              <w:rPr>
                <w:sz w:val="1"/>
                <w:szCs w:val="1"/>
                <w:color w:val="auto"/>
              </w:rPr>
            </w:pPr>
          </w:p>
        </w:tc>
      </w:tr>
      <w:tr>
        <w:trPr>
          <w:trHeight w:val="114"/>
        </w:trPr>
        <w:tc>
          <w:tcPr>
            <w:tcW w:w="1820" w:type="dxa"/>
            <w:vAlign w:val="bottom"/>
            <w:shd w:val="clear" w:color="auto" w:fill="CCEEFF"/>
          </w:tcPr>
          <w:p>
            <w:pPr>
              <w:spacing w:after="0"/>
              <w:rPr>
                <w:sz w:val="9"/>
                <w:szCs w:val="9"/>
                <w:color w:val="auto"/>
              </w:rPr>
            </w:pPr>
          </w:p>
        </w:tc>
        <w:tc>
          <w:tcPr>
            <w:tcW w:w="1400" w:type="dxa"/>
            <w:vAlign w:val="bottom"/>
            <w:gridSpan w:val="3"/>
            <w:shd w:val="clear" w:color="auto" w:fill="CCEEFF"/>
          </w:tcPr>
          <w:p>
            <w:pPr>
              <w:ind w:left="80"/>
              <w:spacing w:after="0" w:line="114" w:lineRule="exact"/>
              <w:rPr>
                <w:sz w:val="20"/>
                <w:szCs w:val="20"/>
                <w:color w:val="auto"/>
              </w:rPr>
            </w:pPr>
            <w:r>
              <w:rPr>
                <w:rFonts w:ascii="Arial" w:cs="Arial" w:eastAsia="Arial" w:hAnsi="Arial"/>
                <w:sz w:val="13"/>
                <w:szCs w:val="13"/>
                <w:color w:val="auto"/>
              </w:rPr>
              <w:t>Private pension</w:t>
            </w: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fund administrator,</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Prima AFP S.A. (vii)</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Peru</w:t>
            </w:r>
          </w:p>
        </w:tc>
        <w:tc>
          <w:tcPr>
            <w:tcW w:w="5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5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100.00</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874,649</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882,917</w:t>
            </w: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241,307</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263,717</w:t>
            </w:r>
          </w:p>
        </w:tc>
        <w:tc>
          <w:tcPr>
            <w:tcW w:w="8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633,342</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619,200</w:t>
            </w: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139,586</w:t>
            </w:r>
          </w:p>
        </w:tc>
        <w:tc>
          <w:tcPr>
            <w:tcW w:w="6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140,082</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20"/>
                <w:szCs w:val="20"/>
                <w:color w:val="auto"/>
              </w:rPr>
            </w:pPr>
            <w:r>
              <w:rPr>
                <w:rFonts w:ascii="Arial" w:cs="Arial" w:eastAsia="Arial" w:hAnsi="Arial"/>
                <w:sz w:val="13"/>
                <w:szCs w:val="13"/>
                <w:color w:val="auto"/>
              </w:rPr>
              <w:t>Grupo Crédito S.A (viii)</w:t>
            </w:r>
          </w:p>
        </w:tc>
        <w:tc>
          <w:tcPr>
            <w:tcW w:w="1400" w:type="dxa"/>
            <w:vAlign w:val="bottom"/>
            <w:gridSpan w:val="3"/>
          </w:tcPr>
          <w:p>
            <w:pPr>
              <w:ind w:left="80"/>
              <w:spacing w:after="0"/>
              <w:rPr>
                <w:sz w:val="20"/>
                <w:szCs w:val="20"/>
                <w:color w:val="auto"/>
              </w:rPr>
            </w:pPr>
            <w:r>
              <w:rPr>
                <w:rFonts w:ascii="Arial" w:cs="Arial" w:eastAsia="Arial" w:hAnsi="Arial"/>
                <w:sz w:val="13"/>
                <w:szCs w:val="13"/>
                <w:color w:val="auto"/>
              </w:rPr>
              <w:t>Holding, Peru</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100.00</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100.00</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424,738</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208,049</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41,648</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241,237</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383,090</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(33,188)</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15,603</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(31,089)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80" w:hanging="276"/>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BCP was established in 1889 and its activities are regulated by the SBS.</w:t>
      </w:r>
    </w:p>
    <w:p>
      <w:pPr>
        <w:spacing w:after="0" w:line="195" w:lineRule="exact"/>
        <w:rPr>
          <w:rFonts w:ascii="Arial" w:cs="Arial" w:eastAsia="Arial" w:hAnsi="Arial"/>
          <w:sz w:val="16"/>
          <w:szCs w:val="16"/>
          <w:color w:val="auto"/>
        </w:rPr>
      </w:pPr>
    </w:p>
    <w:p>
      <w:pPr>
        <w:ind w:left="280" w:right="300"/>
        <w:spacing w:after="0" w:line="312" w:lineRule="auto"/>
        <w:rPr>
          <w:rFonts w:ascii="Arial" w:cs="Arial" w:eastAsia="Arial" w:hAnsi="Arial"/>
          <w:sz w:val="16"/>
          <w:szCs w:val="16"/>
          <w:color w:val="auto"/>
        </w:rPr>
      </w:pPr>
      <w:r>
        <w:rPr>
          <w:rFonts w:ascii="Arial" w:cs="Arial" w:eastAsia="Arial" w:hAnsi="Arial"/>
          <w:sz w:val="14"/>
          <w:szCs w:val="14"/>
          <w:color w:val="auto"/>
        </w:rPr>
        <w:t>Its main Subsidiary is Mibanco, Banco de la Microempresa S.A. (hereinafter “Mibanco”), a banking entity in Peru oriented towards the micro and small business sector. At December 31, 2018, the assets, liabilities, equity and net income of Mibanco amount to approximately S/13,220.3 million, S/11,321.8 million, S/1,898.5 million and S/462.1million, respectively (S//12,363.0 million, S/10,666.5 million, S/1,696.5 million, and S/399.1 million, respectively at December 31, 2017).</w:t>
      </w:r>
    </w:p>
    <w:p>
      <w:pPr>
        <w:spacing w:after="0" w:line="130" w:lineRule="exact"/>
        <w:rPr>
          <w:rFonts w:ascii="Arial" w:cs="Arial" w:eastAsia="Arial" w:hAnsi="Arial"/>
          <w:sz w:val="16"/>
          <w:szCs w:val="16"/>
          <w:color w:val="auto"/>
        </w:rPr>
      </w:pPr>
    </w:p>
    <w:p>
      <w:pPr>
        <w:ind w:left="280" w:right="380" w:hanging="276"/>
        <w:spacing w:after="0" w:line="283" w:lineRule="auto"/>
        <w:tabs>
          <w:tab w:leader="none" w:pos="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Pacífico Seguros is an entity regulated by the SBS and its activities comprise the contracting and management of all types of general risk and life insurance, reinsurance and property investment and financial operations. Its Subsidiaries are Crediseguro Seguros Personales and Crediseguro Seguros Generales, and it has Pacífico EPS as an associate, which are dynamic participants in the business of multiple and health insurance, respectively.</w:t>
      </w:r>
    </w:p>
    <w:p>
      <w:pPr>
        <w:spacing w:after="0" w:line="148" w:lineRule="exact"/>
        <w:rPr>
          <w:rFonts w:ascii="Arial" w:cs="Arial" w:eastAsia="Arial" w:hAnsi="Arial"/>
          <w:sz w:val="15"/>
          <w:szCs w:val="15"/>
          <w:color w:val="auto"/>
        </w:rPr>
      </w:pPr>
    </w:p>
    <w:p>
      <w:pPr>
        <w:ind w:left="280" w:hanging="276"/>
        <w:spacing w:after="0" w:line="254" w:lineRule="auto"/>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Credicorp Capital Ltd. was formed in 2012, and its main subsidiaries are Credicorp Capital Holding Peru (owner of Credicorp Capital Perú S.A.A.), Credicorp Capital Holding Colombia (owner of Credicorp Capital Colombia), and Credicorp Capital Holding Chile (owner of Credicorp Capital Chile), which carry out their activities in Peru, Colombia and Chile, respectively. We present below the individual or consolidated financial statements in accordance with IFRS and before eliminations for consolidation purposes:</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3"/>
              </w:rPr>
              <w:t>Percentage of</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Entity</w:t>
            </w:r>
          </w:p>
        </w:tc>
        <w:tc>
          <w:tcPr>
            <w:tcW w:w="1400" w:type="dxa"/>
            <w:vAlign w:val="bottom"/>
            <w:gridSpan w:val="4"/>
          </w:tcPr>
          <w:p>
            <w:pPr>
              <w:jc w:val="center"/>
              <w:ind w:right="200"/>
              <w:spacing w:after="0" w:line="131" w:lineRule="exact"/>
              <w:rPr>
                <w:sz w:val="20"/>
                <w:szCs w:val="20"/>
                <w:color w:val="auto"/>
              </w:rPr>
            </w:pPr>
            <w:r>
              <w:rPr>
                <w:rFonts w:ascii="Arial" w:cs="Arial" w:eastAsia="Arial" w:hAnsi="Arial"/>
                <w:sz w:val="13"/>
                <w:szCs w:val="13"/>
                <w:b w:val="1"/>
                <w:bCs w:val="1"/>
                <w:color w:val="auto"/>
                <w:w w:val="88"/>
              </w:rPr>
              <w:t>interest (direct</w:t>
            </w:r>
          </w:p>
        </w:tc>
        <w:tc>
          <w:tcPr>
            <w:tcW w:w="880" w:type="dxa"/>
            <w:vAlign w:val="bottom"/>
            <w:gridSpan w:val="3"/>
            <w:vMerge w:val="restart"/>
          </w:tcPr>
          <w:p>
            <w:pPr>
              <w:ind w:left="520"/>
              <w:spacing w:after="0"/>
              <w:rPr>
                <w:sz w:val="20"/>
                <w:szCs w:val="20"/>
                <w:color w:val="auto"/>
              </w:rPr>
            </w:pPr>
            <w:r>
              <w:rPr>
                <w:rFonts w:ascii="Arial" w:cs="Arial" w:eastAsia="Arial" w:hAnsi="Arial"/>
                <w:sz w:val="13"/>
                <w:szCs w:val="13"/>
                <w:b w:val="1"/>
                <w:bCs w:val="1"/>
                <w:color w:val="auto"/>
                <w:w w:val="79"/>
              </w:rPr>
              <w:t>Assets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4"/>
            <w:vMerge w:val="restart"/>
          </w:tcPr>
          <w:p>
            <w:pPr>
              <w:jc w:val="right"/>
              <w:ind w:right="620"/>
              <w:spacing w:after="0"/>
              <w:rPr>
                <w:sz w:val="20"/>
                <w:szCs w:val="20"/>
                <w:color w:val="auto"/>
              </w:rPr>
            </w:pPr>
            <w:r>
              <w:rPr>
                <w:rFonts w:ascii="Arial" w:cs="Arial" w:eastAsia="Arial" w:hAnsi="Arial"/>
                <w:sz w:val="13"/>
                <w:szCs w:val="13"/>
                <w:b w:val="1"/>
                <w:bCs w:val="1"/>
                <w:color w:val="auto"/>
              </w:rPr>
              <w:t>Liabilities</w:t>
            </w:r>
          </w:p>
        </w:tc>
        <w:tc>
          <w:tcPr>
            <w:tcW w:w="1400" w:type="dxa"/>
            <w:vAlign w:val="bottom"/>
            <w:gridSpan w:val="4"/>
            <w:vMerge w:val="restart"/>
          </w:tcPr>
          <w:p>
            <w:pPr>
              <w:jc w:val="right"/>
              <w:ind w:right="620"/>
              <w:spacing w:after="0"/>
              <w:rPr>
                <w:sz w:val="20"/>
                <w:szCs w:val="20"/>
                <w:color w:val="auto"/>
              </w:rPr>
            </w:pPr>
            <w:r>
              <w:rPr>
                <w:rFonts w:ascii="Arial" w:cs="Arial" w:eastAsia="Arial" w:hAnsi="Arial"/>
                <w:sz w:val="13"/>
                <w:szCs w:val="13"/>
                <w:b w:val="1"/>
                <w:bCs w:val="1"/>
                <w:color w:val="auto"/>
              </w:rPr>
              <w:t>Equity</w:t>
            </w:r>
          </w:p>
        </w:tc>
        <w:tc>
          <w:tcPr>
            <w:tcW w:w="1300" w:type="dxa"/>
            <w:vAlign w:val="bottom"/>
            <w:gridSpan w:val="4"/>
            <w:vMerge w:val="restart"/>
          </w:tcPr>
          <w:p>
            <w:pPr>
              <w:jc w:val="right"/>
              <w:ind w:right="240"/>
              <w:spacing w:after="0"/>
              <w:rPr>
                <w:sz w:val="20"/>
                <w:szCs w:val="20"/>
                <w:color w:val="auto"/>
              </w:rPr>
            </w:pPr>
            <w:r>
              <w:rPr>
                <w:rFonts w:ascii="Arial" w:cs="Arial" w:eastAsia="Arial" w:hAnsi="Arial"/>
                <w:sz w:val="13"/>
                <w:szCs w:val="13"/>
                <w:b w:val="1"/>
                <w:bCs w:val="1"/>
                <w:color w:val="auto"/>
                <w:w w:val="95"/>
              </w:rPr>
              <w:t>Net income (loss)</w:t>
            </w:r>
          </w:p>
        </w:tc>
        <w:tc>
          <w:tcPr>
            <w:tcW w:w="0" w:type="dxa"/>
            <w:vAlign w:val="bottom"/>
          </w:tcPr>
          <w:p>
            <w:pPr>
              <w:spacing w:after="0"/>
              <w:rPr>
                <w:sz w:val="1"/>
                <w:szCs w:val="1"/>
                <w:color w:val="auto"/>
              </w:rPr>
            </w:pPr>
          </w:p>
        </w:tc>
      </w:tr>
      <w:tr>
        <w:trPr>
          <w:trHeight w:val="150"/>
        </w:trPr>
        <w:tc>
          <w:tcPr>
            <w:tcW w:w="3140" w:type="dxa"/>
            <w:vAlign w:val="bottom"/>
            <w:gridSpan w:val="3"/>
            <w:vMerge w:val="continue"/>
          </w:tcPr>
          <w:p>
            <w:pPr>
              <w:spacing w:after="0"/>
              <w:rPr>
                <w:sz w:val="13"/>
                <w:szCs w:val="13"/>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and indirect)</w:t>
            </w:r>
          </w:p>
        </w:tc>
        <w:tc>
          <w:tcPr>
            <w:tcW w:w="88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Credicorp Capital Holding Perú S.A. and Subsidiaries</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100.00</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100.00</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339,220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303,121</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141,943</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121,302</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197,277</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181,819</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42,684</w:t>
            </w:r>
          </w:p>
        </w:tc>
        <w:tc>
          <w:tcPr>
            <w:tcW w:w="6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28,604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gridSpan w:val="2"/>
          </w:tcPr>
          <w:p>
            <w:pPr>
              <w:spacing w:after="0" w:line="131" w:lineRule="exact"/>
              <w:rPr>
                <w:sz w:val="20"/>
                <w:szCs w:val="20"/>
                <w:color w:val="auto"/>
              </w:rPr>
            </w:pPr>
            <w:r>
              <w:rPr>
                <w:rFonts w:ascii="Arial" w:cs="Arial" w:eastAsia="Arial" w:hAnsi="Arial"/>
                <w:sz w:val="13"/>
                <w:szCs w:val="13"/>
                <w:color w:val="auto"/>
              </w:rPr>
              <w:t>Credicorp Capital Colombia</w:t>
            </w:r>
          </w:p>
        </w:tc>
        <w:tc>
          <w:tcPr>
            <w:tcW w:w="7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100.00</w:t>
            </w:r>
          </w:p>
        </w:tc>
        <w:tc>
          <w:tcPr>
            <w:tcW w:w="7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100.00</w:t>
            </w:r>
          </w:p>
        </w:tc>
        <w:tc>
          <w:tcPr>
            <w:tcW w:w="8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1,882,183</w:t>
            </w:r>
          </w:p>
        </w:tc>
        <w:tc>
          <w:tcPr>
            <w:tcW w:w="8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3"/>
                <w:szCs w:val="13"/>
                <w:color w:val="auto"/>
                <w:w w:val="86"/>
              </w:rPr>
              <w:t>1,667,003</w:t>
            </w:r>
          </w:p>
        </w:tc>
        <w:tc>
          <w:tcPr>
            <w:tcW w:w="18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Arial" w:cs="Arial" w:eastAsia="Arial" w:hAnsi="Arial"/>
                <w:sz w:val="13"/>
                <w:szCs w:val="13"/>
                <w:color w:val="auto"/>
              </w:rPr>
              <w:t>1,749,472</w:t>
            </w:r>
          </w:p>
        </w:tc>
        <w:tc>
          <w:tcPr>
            <w:tcW w:w="200" w:type="dxa"/>
            <w:vAlign w:val="bottom"/>
          </w:tcPr>
          <w:p>
            <w:pPr>
              <w:spacing w:after="0"/>
              <w:rPr>
                <w:sz w:val="11"/>
                <w:szCs w:val="11"/>
                <w:color w:val="auto"/>
              </w:rPr>
            </w:pPr>
          </w:p>
        </w:tc>
        <w:tc>
          <w:tcPr>
            <w:tcW w:w="8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1,522,222</w:t>
            </w:r>
          </w:p>
        </w:tc>
        <w:tc>
          <w:tcPr>
            <w:tcW w:w="7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132,711</w:t>
            </w:r>
          </w:p>
        </w:tc>
        <w:tc>
          <w:tcPr>
            <w:tcW w:w="7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144,781</w:t>
            </w:r>
          </w:p>
        </w:tc>
        <w:tc>
          <w:tcPr>
            <w:tcW w:w="7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15,407</w:t>
            </w:r>
          </w:p>
        </w:tc>
        <w:tc>
          <w:tcPr>
            <w:tcW w:w="6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18,795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Credicorp Capital Chile</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100.00</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100.00</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324,907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213,165</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196,715</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71,108</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128,192</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142,057</w:t>
            </w:r>
          </w:p>
        </w:tc>
        <w:tc>
          <w:tcPr>
            <w:tcW w:w="7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12,504</w:t>
            </w:r>
          </w:p>
        </w:tc>
        <w:tc>
          <w:tcPr>
            <w:tcW w:w="6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21,420</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4" w:right="239" w:bottom="1440" w:gutter="0" w:footer="0" w:header="0"/>
        </w:sectPr>
      </w:pPr>
    </w:p>
    <w:bookmarkStart w:id="35" w:name="page36"/>
    <w:bookmarkEnd w:id="35"/>
    <w:p>
      <w:pPr>
        <w:ind w:left="561" w:right="220"/>
        <w:spacing w:after="0" w:line="254" w:lineRule="auto"/>
        <w:rPr>
          <w:sz w:val="20"/>
          <w:szCs w:val="20"/>
          <w:color w:val="auto"/>
        </w:rPr>
      </w:pPr>
      <w:r>
        <w:rPr>
          <w:rFonts w:ascii="Arial" w:cs="Arial" w:eastAsia="Arial" w:hAnsi="Arial"/>
          <w:sz w:val="16"/>
          <w:szCs w:val="16"/>
          <w:color w:val="auto"/>
        </w:rPr>
        <w:t>Credicorp Capital Perú has the principal function of a holding company of shares, participations, and securities in general, provision of financial and corporate advisory services, and property investment. At December 31, 2018 and 2017, Credicorp Capital Peru holds as Subsidiaries, Credicorp Capital Sociedad Agente de Bolsa S.A., Credicorp Capital S.A. Sociedad Administradora de Fondos, Credicorp Capital Servicios Financieros S.A. and Credicorp Capital Sociedad Titulizadora S.A., member companies of the Investment Banking Group in Peru.</w:t>
      </w:r>
    </w:p>
    <w:p>
      <w:pPr>
        <w:spacing w:after="0" w:line="169" w:lineRule="exact"/>
        <w:rPr>
          <w:sz w:val="20"/>
          <w:szCs w:val="20"/>
          <w:color w:val="auto"/>
        </w:rPr>
      </w:pPr>
    </w:p>
    <w:p>
      <w:pPr>
        <w:ind w:left="561" w:right="180" w:hanging="276"/>
        <w:spacing w:after="0" w:line="254" w:lineRule="auto"/>
        <w:tabs>
          <w:tab w:leader="none" w:pos="5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69" w:lineRule="exact"/>
        <w:rPr>
          <w:rFonts w:ascii="Arial" w:cs="Arial" w:eastAsia="Arial" w:hAnsi="Arial"/>
          <w:sz w:val="16"/>
          <w:szCs w:val="16"/>
          <w:color w:val="auto"/>
        </w:rPr>
      </w:pPr>
    </w:p>
    <w:p>
      <w:pPr>
        <w:ind w:left="561" w:right="60"/>
        <w:spacing w:after="0" w:line="258" w:lineRule="auto"/>
        <w:rPr>
          <w:rFonts w:ascii="Arial" w:cs="Arial" w:eastAsia="Arial" w:hAnsi="Arial"/>
          <w:sz w:val="16"/>
          <w:szCs w:val="16"/>
          <w:color w:val="auto"/>
        </w:rPr>
      </w:pPr>
      <w:r>
        <w:rPr>
          <w:rFonts w:ascii="Arial" w:cs="Arial" w:eastAsia="Arial" w:hAnsi="Arial"/>
          <w:sz w:val="16"/>
          <w:szCs w:val="16"/>
          <w:color w:val="auto"/>
        </w:rPr>
        <w:t>Its principal Subsidiary is Banco de Crédito de Bolivia (hereinafter BCB), a commercial bank which operates in Bolivia. At December 31, 2018, the assets, liabilities, equity and net profit of BCB were approximately S/9,956.9 million, S/9,265.8 million, S/691.1 million and S/78.3 million, respectively (S/9,118.4 million, S/8,481.7 million, S/636.7 million and S/75.4 million, respectively at December 31, 2017).</w:t>
      </w:r>
    </w:p>
    <w:p>
      <w:pPr>
        <w:spacing w:after="0" w:line="165" w:lineRule="exact"/>
        <w:rPr>
          <w:rFonts w:ascii="Arial" w:cs="Arial" w:eastAsia="Arial" w:hAnsi="Arial"/>
          <w:sz w:val="16"/>
          <w:szCs w:val="16"/>
          <w:color w:val="auto"/>
        </w:rPr>
      </w:pPr>
    </w:p>
    <w:p>
      <w:pPr>
        <w:ind w:left="561" w:right="400" w:hanging="276"/>
        <w:spacing w:after="0" w:line="258" w:lineRule="auto"/>
        <w:tabs>
          <w:tab w:leader="none" w:pos="5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Its most important Subsidiary is Atlantic Security Bank (ASB), which is incorporated in the Cayman Islands and operates through branches and offices in Grand Cayman and the Republic of Panama; its main activities are private and institutional banking services and trustee administration, mainly for BCP’s Peruvian customers.</w:t>
      </w:r>
    </w:p>
    <w:p>
      <w:pPr>
        <w:spacing w:after="0" w:line="165" w:lineRule="exact"/>
        <w:rPr>
          <w:rFonts w:ascii="Arial" w:cs="Arial" w:eastAsia="Arial" w:hAnsi="Arial"/>
          <w:sz w:val="16"/>
          <w:szCs w:val="16"/>
          <w:color w:val="auto"/>
        </w:rPr>
      </w:pPr>
    </w:p>
    <w:p>
      <w:pPr>
        <w:ind w:left="561" w:hanging="276"/>
        <w:spacing w:after="0" w:line="269" w:lineRule="auto"/>
        <w:tabs>
          <w:tab w:leader="none" w:pos="5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CCR Inc. was incorporated in 2000, its main activity is to manage loans granted to BCP by foreign financial entities, See Note 16(a)(iii). These loans are collateralized by transactions performed by BCP.</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(vii)Prima AFP is a private pension fund and its activities are regulated by the SBS.</w:t>
      </w:r>
    </w:p>
    <w:p>
      <w:pPr>
        <w:spacing w:after="0" w:line="195" w:lineRule="exact"/>
        <w:rPr>
          <w:sz w:val="20"/>
          <w:szCs w:val="20"/>
          <w:color w:val="auto"/>
        </w:rPr>
      </w:pPr>
    </w:p>
    <w:p>
      <w:pPr>
        <w:ind w:left="601" w:right="280" w:hanging="319"/>
        <w:spacing w:after="0" w:line="258" w:lineRule="auto"/>
        <w:rPr>
          <w:sz w:val="20"/>
          <w:szCs w:val="20"/>
          <w:color w:val="auto"/>
        </w:rPr>
      </w:pPr>
      <w:r>
        <w:rPr>
          <w:rFonts w:ascii="Arial" w:cs="Arial" w:eastAsia="Arial" w:hAnsi="Arial"/>
          <w:sz w:val="16"/>
          <w:szCs w:val="16"/>
          <w:color w:val="auto"/>
        </w:rPr>
        <w:t>(viii)The main activity of Grupo Crédito is to invest in shares listed in the Peruvian- Stock Exchange and in unlisted shares of Peruvian companies. It also holds the Group’s shares in BCP, and Inversiones Credicorp Bolivia, Prima AFP and Pacífico Seguros. Grupo Crédito’s balances are presented net of its investments in said entities.</w:t>
      </w:r>
    </w:p>
    <w:p>
      <w:pPr>
        <w:spacing w:after="0" w:line="165" w:lineRule="exact"/>
        <w:rPr>
          <w:sz w:val="20"/>
          <w:szCs w:val="20"/>
          <w:color w:val="auto"/>
        </w:rPr>
      </w:pPr>
    </w:p>
    <w:p>
      <w:pPr>
        <w:ind w:left="281" w:hanging="281"/>
        <w:spacing w:after="0"/>
        <w:tabs>
          <w:tab w:leader="none" w:pos="2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Functional, presentation and foreign currency -</w:t>
      </w:r>
    </w:p>
    <w:p>
      <w:pPr>
        <w:spacing w:after="0" w:line="195" w:lineRule="exact"/>
        <w:rPr>
          <w:rFonts w:ascii="Arial" w:cs="Arial" w:eastAsia="Arial" w:hAnsi="Arial"/>
          <w:sz w:val="16"/>
          <w:szCs w:val="16"/>
          <w:color w:val="auto"/>
        </w:rPr>
      </w:pPr>
    </w:p>
    <w:p>
      <w:pPr>
        <w:ind w:left="561" w:hanging="276"/>
        <w:spacing w:after="0"/>
        <w:tabs>
          <w:tab w:leader="none" w:pos="561" w:val="left"/>
        </w:tabs>
        <w:numPr>
          <w:ilvl w:val="1"/>
          <w:numId w:val="28"/>
        </w:numPr>
        <w:rPr>
          <w:rFonts w:ascii="Arial" w:cs="Arial" w:eastAsia="Arial" w:hAnsi="Arial"/>
          <w:sz w:val="16"/>
          <w:szCs w:val="16"/>
          <w:color w:val="auto"/>
        </w:rPr>
      </w:pPr>
      <w:r>
        <w:rPr>
          <w:rFonts w:ascii="Arial" w:cs="Arial" w:eastAsia="Arial" w:hAnsi="Arial"/>
          <w:sz w:val="16"/>
          <w:szCs w:val="16"/>
          <w:color w:val="auto"/>
        </w:rPr>
        <w:t>Functional and presentation currency -</w:t>
      </w:r>
    </w:p>
    <w:p>
      <w:pPr>
        <w:spacing w:after="0" w:line="195" w:lineRule="exact"/>
        <w:rPr>
          <w:rFonts w:ascii="Arial" w:cs="Arial" w:eastAsia="Arial" w:hAnsi="Arial"/>
          <w:sz w:val="16"/>
          <w:szCs w:val="16"/>
          <w:color w:val="auto"/>
        </w:rPr>
      </w:pPr>
    </w:p>
    <w:p>
      <w:pPr>
        <w:ind w:left="561" w:right="180"/>
        <w:spacing w:after="0" w:line="258" w:lineRule="auto"/>
        <w:rPr>
          <w:rFonts w:ascii="Arial" w:cs="Arial" w:eastAsia="Arial" w:hAnsi="Arial"/>
          <w:sz w:val="16"/>
          <w:szCs w:val="16"/>
          <w:color w:val="auto"/>
        </w:rPr>
      </w:pPr>
      <w:r>
        <w:rPr>
          <w:rFonts w:ascii="Arial" w:cs="Arial" w:eastAsia="Arial" w:hAnsi="Arial"/>
          <w:sz w:val="16"/>
          <w:szCs w:val="16"/>
          <w:color w:val="auto"/>
        </w:rPr>
        <w:t>Credicorp and its Subsidiaries which operate in Peru consider the sol as their functional and presentation currency since it reflects the nature of the economic events and relevant circumstances given the fact their major transactions and/operations, such as: lending, borrowing, finance income, finance costs and a significant percentage of their purchases are agreed in soles.</w:t>
      </w:r>
    </w:p>
    <w:p>
      <w:pPr>
        <w:spacing w:after="0" w:line="165" w:lineRule="exact"/>
        <w:rPr>
          <w:rFonts w:ascii="Arial" w:cs="Arial" w:eastAsia="Arial" w:hAnsi="Arial"/>
          <w:sz w:val="16"/>
          <w:szCs w:val="16"/>
          <w:color w:val="auto"/>
        </w:rPr>
      </w:pPr>
    </w:p>
    <w:p>
      <w:pPr>
        <w:ind w:left="561" w:hanging="276"/>
        <w:spacing w:after="0"/>
        <w:tabs>
          <w:tab w:leader="none" w:pos="561" w:val="left"/>
        </w:tabs>
        <w:numPr>
          <w:ilvl w:val="1"/>
          <w:numId w:val="28"/>
        </w:numPr>
        <w:rPr>
          <w:rFonts w:ascii="Arial" w:cs="Arial" w:eastAsia="Arial" w:hAnsi="Arial"/>
          <w:sz w:val="16"/>
          <w:szCs w:val="16"/>
          <w:color w:val="auto"/>
        </w:rPr>
      </w:pPr>
      <w:r>
        <w:rPr>
          <w:rFonts w:ascii="Arial" w:cs="Arial" w:eastAsia="Arial" w:hAnsi="Arial"/>
          <w:sz w:val="16"/>
          <w:szCs w:val="16"/>
          <w:color w:val="auto"/>
        </w:rPr>
        <w:t>Transactions and balances in foreign currency -</w:t>
      </w:r>
    </w:p>
    <w:p>
      <w:pPr>
        <w:spacing w:after="0" w:line="195" w:lineRule="exact"/>
        <w:rPr>
          <w:rFonts w:ascii="Arial" w:cs="Arial" w:eastAsia="Arial" w:hAnsi="Arial"/>
          <w:sz w:val="16"/>
          <w:szCs w:val="16"/>
          <w:color w:val="auto"/>
        </w:rPr>
      </w:pPr>
    </w:p>
    <w:p>
      <w:pPr>
        <w:ind w:left="561" w:right="60"/>
        <w:spacing w:after="0" w:line="258" w:lineRule="auto"/>
        <w:rPr>
          <w:rFonts w:ascii="Arial" w:cs="Arial" w:eastAsia="Arial" w:hAnsi="Arial"/>
          <w:sz w:val="16"/>
          <w:szCs w:val="16"/>
          <w:color w:val="auto"/>
        </w:rPr>
      </w:pPr>
      <w:r>
        <w:rPr>
          <w:rFonts w:ascii="Arial" w:cs="Arial" w:eastAsia="Arial" w:hAnsi="Arial"/>
          <w:sz w:val="16"/>
          <w:szCs w:val="16"/>
          <w:color w:val="auto"/>
        </w:rPr>
        <w:t>Foreign currency transactions are those entered into in currencies other than the functional currency. These transactions are initially recorded by Group entities at the exchange rates of their functional currencies at the transaction dates. Monetary assets and liabilities denominated in foreign currency are adjusted at the exchange rate of the functional currency prevailing at the date of the statement of financial position.</w:t>
      </w:r>
    </w:p>
    <w:p>
      <w:pPr>
        <w:spacing w:after="0" w:line="165" w:lineRule="exact"/>
        <w:rPr>
          <w:rFonts w:ascii="Arial" w:cs="Arial" w:eastAsia="Arial" w:hAnsi="Arial"/>
          <w:sz w:val="16"/>
          <w:szCs w:val="16"/>
          <w:color w:val="auto"/>
        </w:rPr>
      </w:pPr>
    </w:p>
    <w:p>
      <w:pPr>
        <w:ind w:left="561" w:right="20"/>
        <w:spacing w:after="0" w:line="312" w:lineRule="auto"/>
        <w:rPr>
          <w:rFonts w:ascii="Arial" w:cs="Arial" w:eastAsia="Arial" w:hAnsi="Arial"/>
          <w:sz w:val="16"/>
          <w:szCs w:val="16"/>
          <w:color w:val="auto"/>
        </w:rPr>
      </w:pPr>
      <w:r>
        <w:rPr>
          <w:rFonts w:ascii="Arial" w:cs="Arial" w:eastAsia="Arial" w:hAnsi="Arial"/>
          <w:sz w:val="14"/>
          <w:szCs w:val="14"/>
          <w:color w:val="auto"/>
        </w:rPr>
        <w:t>The differences arising from the exchange rate prevailing at the date of each consolidated statement of financial position presented and the exchange rate initially used in recording transactions are recognized in the consolidated statement of income in the period in which they occur, in “Net gain from exchange differences”. Non-monetary assets and liabilities acquired in foreign currency are stated at the exchange rate prevailing at the initial transaction date and are not subsequently adjusted.</w:t>
      </w:r>
    </w:p>
    <w:p>
      <w:pPr>
        <w:spacing w:after="0" w:line="320" w:lineRule="exact"/>
        <w:rPr>
          <w:rFonts w:ascii="Arial" w:cs="Arial" w:eastAsia="Arial" w:hAnsi="Arial"/>
          <w:sz w:val="16"/>
          <w:szCs w:val="16"/>
          <w:color w:val="auto"/>
        </w:rPr>
      </w:pPr>
    </w:p>
    <w:p>
      <w:pPr>
        <w:ind w:left="5361" w:hanging="91"/>
        <w:spacing w:after="0"/>
        <w:tabs>
          <w:tab w:leader="none" w:pos="5361" w:val="left"/>
        </w:tabs>
        <w:numPr>
          <w:ilvl w:val="2"/>
          <w:numId w:val="28"/>
        </w:numPr>
        <w:rPr>
          <w:rFonts w:ascii="Arial" w:cs="Arial" w:eastAsia="Arial" w:hAnsi="Arial"/>
          <w:sz w:val="16"/>
          <w:szCs w:val="16"/>
          <w:color w:val="auto"/>
        </w:rPr>
      </w:pPr>
      <w:r>
        <w:rPr>
          <w:rFonts w:ascii="Arial" w:cs="Arial" w:eastAsia="Arial" w:hAnsi="Arial"/>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4" w:right="259" w:bottom="1440" w:gutter="0" w:footer="0" w:header="0"/>
        </w:sectPr>
      </w:pPr>
    </w:p>
    <w:bookmarkStart w:id="36" w:name="page37"/>
    <w:bookmarkEnd w:id="36"/>
    <w:p>
      <w:pPr>
        <w:ind w:left="561" w:hanging="276"/>
        <w:spacing w:after="0"/>
        <w:tabs>
          <w:tab w:leader="none" w:pos="5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Group entities with functional currency other than the presentation currency -</w:t>
      </w:r>
    </w:p>
    <w:p>
      <w:pPr>
        <w:spacing w:after="0" w:line="195" w:lineRule="exact"/>
        <w:rPr>
          <w:rFonts w:ascii="Arial" w:cs="Arial" w:eastAsia="Arial" w:hAnsi="Arial"/>
          <w:sz w:val="16"/>
          <w:szCs w:val="16"/>
          <w:color w:val="auto"/>
        </w:rPr>
      </w:pPr>
    </w:p>
    <w:p>
      <w:pPr>
        <w:ind w:left="561" w:right="220"/>
        <w:spacing w:after="0" w:line="269" w:lineRule="auto"/>
        <w:rPr>
          <w:rFonts w:ascii="Arial" w:cs="Arial" w:eastAsia="Arial" w:hAnsi="Arial"/>
          <w:sz w:val="16"/>
          <w:szCs w:val="16"/>
          <w:color w:val="auto"/>
        </w:rPr>
      </w:pPr>
      <w:r>
        <w:rPr>
          <w:rFonts w:ascii="Arial" w:cs="Arial" w:eastAsia="Arial" w:hAnsi="Arial"/>
          <w:sz w:val="16"/>
          <w:szCs w:val="16"/>
          <w:color w:val="auto"/>
        </w:rPr>
        <w:t>Given that the Group’s entities in Colombia, Chile, Cayman, Panama and Bolivia have a functional currency different from Soles, the balances were translated into Soles for consolidation purposes in accordance with IAS 21, “The Effects of Changes in Foreign Exchange Rates” as follows:</w:t>
      </w:r>
    </w:p>
    <w:p>
      <w:pPr>
        <w:spacing w:after="0" w:line="156" w:lineRule="exact"/>
        <w:rPr>
          <w:rFonts w:ascii="Arial" w:cs="Arial" w:eastAsia="Arial" w:hAnsi="Arial"/>
          <w:sz w:val="16"/>
          <w:szCs w:val="16"/>
          <w:color w:val="auto"/>
        </w:rPr>
      </w:pPr>
    </w:p>
    <w:p>
      <w:pPr>
        <w:ind w:left="861" w:hanging="292"/>
        <w:spacing w:after="0"/>
        <w:tabs>
          <w:tab w:leader="none" w:pos="86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Assets and liabilities, at the closing rate prevailing at the date of each consolidated statement of financial position.</w:t>
      </w:r>
    </w:p>
    <w:p>
      <w:pPr>
        <w:spacing w:after="0" w:line="16" w:lineRule="exact"/>
        <w:rPr>
          <w:rFonts w:ascii="Arial" w:cs="Arial" w:eastAsia="Arial" w:hAnsi="Arial"/>
          <w:sz w:val="16"/>
          <w:szCs w:val="16"/>
          <w:color w:val="auto"/>
        </w:rPr>
      </w:pPr>
    </w:p>
    <w:p>
      <w:pPr>
        <w:ind w:left="861" w:hanging="292"/>
        <w:spacing w:after="0"/>
        <w:tabs>
          <w:tab w:leader="none" w:pos="861"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Income and expense, at the average exchange rate for each month of the year.</w:t>
      </w:r>
    </w:p>
    <w:p>
      <w:pPr>
        <w:spacing w:after="0" w:line="184" w:lineRule="exact"/>
        <w:rPr>
          <w:sz w:val="20"/>
          <w:szCs w:val="20"/>
          <w:color w:val="auto"/>
        </w:rPr>
      </w:pPr>
    </w:p>
    <w:p>
      <w:pPr>
        <w:ind w:left="561"/>
        <w:spacing w:after="0"/>
        <w:rPr>
          <w:sz w:val="20"/>
          <w:szCs w:val="20"/>
          <w:color w:val="auto"/>
        </w:rPr>
      </w:pPr>
      <w:r>
        <w:rPr>
          <w:rFonts w:ascii="Arial" w:cs="Arial" w:eastAsia="Arial" w:hAnsi="Arial"/>
          <w:sz w:val="16"/>
          <w:szCs w:val="16"/>
          <w:color w:val="auto"/>
        </w:rPr>
        <w:t>All resulting exchange differences were recognized within “Exchange differences” in the consolidated statement of comprehensive income.</w:t>
      </w:r>
    </w:p>
    <w:p>
      <w:pPr>
        <w:spacing w:after="0" w:line="195" w:lineRule="exact"/>
        <w:rPr>
          <w:sz w:val="20"/>
          <w:szCs w:val="20"/>
          <w:color w:val="auto"/>
        </w:rPr>
      </w:pPr>
    </w:p>
    <w:p>
      <w:pPr>
        <w:ind w:left="281" w:hanging="281"/>
        <w:spacing w:after="0"/>
        <w:tabs>
          <w:tab w:leader="none" w:pos="2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Recognition of income and expenses from banking activities -</w:t>
      </w:r>
    </w:p>
    <w:p>
      <w:pPr>
        <w:spacing w:after="0" w:line="195" w:lineRule="exact"/>
        <w:rPr>
          <w:rFonts w:ascii="Arial" w:cs="Arial" w:eastAsia="Arial" w:hAnsi="Arial"/>
          <w:sz w:val="16"/>
          <w:szCs w:val="16"/>
          <w:color w:val="auto"/>
        </w:rPr>
      </w:pPr>
    </w:p>
    <w:p>
      <w:pPr>
        <w:ind w:left="281" w:right="100"/>
        <w:spacing w:after="0" w:line="277" w:lineRule="auto"/>
        <w:rPr>
          <w:rFonts w:ascii="Arial" w:cs="Arial" w:eastAsia="Arial" w:hAnsi="Arial"/>
          <w:sz w:val="16"/>
          <w:szCs w:val="16"/>
          <w:color w:val="auto"/>
        </w:rPr>
      </w:pPr>
      <w:r>
        <w:rPr>
          <w:rFonts w:ascii="Arial" w:cs="Arial" w:eastAsia="Arial" w:hAnsi="Arial"/>
          <w:sz w:val="15"/>
          <w:szCs w:val="15"/>
          <w:color w:val="auto"/>
        </w:rPr>
        <w:t>Interest income and expense for all interest-bearing financial instruments, including those related to financial instruments classified as held for trading or measured at fair value through profit or loss, are recognized within “Interest and similar income” and “Interest and similar expenses” in the consolidated statement of income using the Effective Interest Rate (EIR) method, which is the rate that discounts estimated future cash payments or receipts over the expected life of the financial instrument or a shorter period, where appropriate, to the net carrying amount of the financial asset or financial liability.</w:t>
      </w:r>
    </w:p>
    <w:p>
      <w:pPr>
        <w:spacing w:after="0" w:line="151" w:lineRule="exact"/>
        <w:rPr>
          <w:rFonts w:ascii="Arial" w:cs="Arial" w:eastAsia="Arial" w:hAnsi="Arial"/>
          <w:sz w:val="16"/>
          <w:szCs w:val="16"/>
          <w:color w:val="auto"/>
        </w:rPr>
      </w:pPr>
    </w:p>
    <w:p>
      <w:pPr>
        <w:ind w:left="281" w:right="180"/>
        <w:spacing w:after="0" w:line="269" w:lineRule="auto"/>
        <w:rPr>
          <w:rFonts w:ascii="Arial" w:cs="Arial" w:eastAsia="Arial" w:hAnsi="Arial"/>
          <w:sz w:val="16"/>
          <w:szCs w:val="16"/>
          <w:color w:val="auto"/>
        </w:rPr>
      </w:pPr>
      <w:r>
        <w:rPr>
          <w:rFonts w:ascii="Arial" w:cs="Arial" w:eastAsia="Arial" w:hAnsi="Arial"/>
          <w:sz w:val="16"/>
          <w:szCs w:val="16"/>
          <w:color w:val="auto"/>
        </w:rPr>
        <w:t>Interest income includes coupons earned on fixed income investment and the discount and premium on financial instruments. Dividends are recognized as income when they are declared.</w:t>
      </w:r>
    </w:p>
    <w:p>
      <w:pPr>
        <w:spacing w:after="0" w:line="156"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Fees and commission income are recognized on an accrual basis. Contingent credit fees for loans that are likely to be drawn down and other credit related fees are deferred (together with any direct incremental cost) and recognized as an adjustment to the effective interest rate on the loan.</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All other revenues and expenses are recognized on an accrual basis.</w:t>
      </w:r>
    </w:p>
    <w:p>
      <w:pPr>
        <w:spacing w:after="0" w:line="195" w:lineRule="exact"/>
        <w:rPr>
          <w:rFonts w:ascii="Arial" w:cs="Arial" w:eastAsia="Arial" w:hAnsi="Arial"/>
          <w:sz w:val="16"/>
          <w:szCs w:val="16"/>
          <w:color w:val="auto"/>
        </w:rPr>
      </w:pPr>
    </w:p>
    <w:p>
      <w:pPr>
        <w:ind w:left="281" w:right="9400" w:hanging="281"/>
        <w:spacing w:after="0" w:line="565" w:lineRule="auto"/>
        <w:tabs>
          <w:tab w:leader="none" w:pos="281"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Insurance activities - Product classification:</w:t>
      </w:r>
    </w:p>
    <w:p>
      <w:pPr>
        <w:ind w:left="281" w:right="80"/>
        <w:spacing w:after="0" w:line="258" w:lineRule="auto"/>
        <w:rPr>
          <w:rFonts w:ascii="Arial" w:cs="Arial" w:eastAsia="Arial" w:hAnsi="Arial"/>
          <w:sz w:val="14"/>
          <w:szCs w:val="14"/>
          <w:color w:val="auto"/>
        </w:rPr>
      </w:pPr>
      <w:r>
        <w:rPr>
          <w:rFonts w:ascii="Arial" w:cs="Arial" w:eastAsia="Arial" w:hAnsi="Arial"/>
          <w:sz w:val="16"/>
          <w:szCs w:val="16"/>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w:t>
      </w:r>
    </w:p>
    <w:p>
      <w:pPr>
        <w:spacing w:after="0" w:line="165" w:lineRule="exact"/>
        <w:rPr>
          <w:rFonts w:ascii="Arial" w:cs="Arial" w:eastAsia="Arial" w:hAnsi="Arial"/>
          <w:sz w:val="14"/>
          <w:szCs w:val="14"/>
          <w:color w:val="auto"/>
        </w:rPr>
      </w:pPr>
    </w:p>
    <w:p>
      <w:pPr>
        <w:ind w:left="281" w:right="740"/>
        <w:spacing w:after="0" w:line="269" w:lineRule="auto"/>
        <w:rPr>
          <w:rFonts w:ascii="Arial" w:cs="Arial" w:eastAsia="Arial" w:hAnsi="Arial"/>
          <w:sz w:val="14"/>
          <w:szCs w:val="14"/>
          <w:color w:val="auto"/>
        </w:rPr>
      </w:pPr>
      <w:r>
        <w:rPr>
          <w:rFonts w:ascii="Arial" w:cs="Arial" w:eastAsia="Arial" w:hAnsi="Arial"/>
          <w:sz w:val="16"/>
          <w:szCs w:val="16"/>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56" w:lineRule="exact"/>
        <w:rPr>
          <w:rFonts w:ascii="Arial" w:cs="Arial" w:eastAsia="Arial" w:hAnsi="Arial"/>
          <w:sz w:val="14"/>
          <w:szCs w:val="14"/>
          <w:color w:val="auto"/>
        </w:rPr>
      </w:pPr>
    </w:p>
    <w:p>
      <w:pPr>
        <w:ind w:left="281" w:right="40"/>
        <w:spacing w:after="0" w:line="303" w:lineRule="auto"/>
        <w:rPr>
          <w:rFonts w:ascii="Arial" w:cs="Arial" w:eastAsia="Arial" w:hAnsi="Arial"/>
          <w:sz w:val="14"/>
          <w:szCs w:val="14"/>
          <w:color w:val="auto"/>
        </w:rPr>
      </w:pPr>
      <w:r>
        <w:rPr>
          <w:rFonts w:ascii="Arial" w:cs="Arial" w:eastAsia="Arial" w:hAnsi="Arial"/>
          <w:sz w:val="15"/>
          <w:szCs w:val="15"/>
          <w:color w:val="auto"/>
        </w:rPr>
        <w:t>Life insurance contracts offered by the Group include retirement, disability and survival insurance, annuities and individual life which includes Investment Link insurance contracts. The non-life insurance contracts issued by the Group mainly include automobile, fire and allied lines, technical branches and healthcare.</w:t>
      </w:r>
    </w:p>
    <w:p>
      <w:pPr>
        <w:spacing w:after="0" w:line="323" w:lineRule="exact"/>
        <w:rPr>
          <w:rFonts w:ascii="Arial" w:cs="Arial" w:eastAsia="Arial" w:hAnsi="Arial"/>
          <w:sz w:val="14"/>
          <w:szCs w:val="14"/>
          <w:color w:val="auto"/>
        </w:rPr>
      </w:pPr>
    </w:p>
    <w:p>
      <w:pPr>
        <w:ind w:left="5361" w:hanging="91"/>
        <w:spacing w:after="0"/>
        <w:tabs>
          <w:tab w:leader="none" w:pos="5361" w:val="left"/>
        </w:tabs>
        <w:numPr>
          <w:ilvl w:val="1"/>
          <w:numId w:val="30"/>
        </w:numPr>
        <w:rPr>
          <w:rFonts w:ascii="Arial" w:cs="Arial" w:eastAsia="Arial" w:hAnsi="Arial"/>
          <w:sz w:val="16"/>
          <w:szCs w:val="16"/>
          <w:color w:val="auto"/>
        </w:rPr>
      </w:pPr>
      <w:r>
        <w:rPr>
          <w:rFonts w:ascii="Arial" w:cs="Arial" w:eastAsia="Arial" w:hAnsi="Arial"/>
          <w:sz w:val="16"/>
          <w:szCs w:val="16"/>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1"/>
          </w:cols>
          <w:pgMar w:left="519" w:top="814" w:right="27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Reinsurance: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 Group cedes insurance risk in the normal course of its operations for most of its businesses. Reinsurance assets represent balances due from reinsurance companies.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Reinsurance ceded is placed on both a proportional and non-proportional basis.</w:t>
      </w:r>
    </w:p>
    <w:p>
      <w:pPr>
        <w:spacing w:after="0" w:line="184"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Amounts recoverable from reinsurers are estimated in a manner consistent with the outstanding claims reserve or settled claims and ceded premiums, associated with the ceded policies and in accordance with the related reinsurance contracts.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Reinsurance assets are reviewed for impairment at each reporting date of the consolidated statement of financial position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measurable impact on the amounts that the Group will receive from the reinsurer. The impairment loss is recorded in the consolidated statement of income.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Ceded reinsurance arrangements do not relieve the Group from its obligations to policyholders.</w:t>
      </w:r>
    </w:p>
    <w:p>
      <w:pPr>
        <w:spacing w:after="0" w:line="195" w:lineRule="exact"/>
        <w:rPr>
          <w:sz w:val="20"/>
          <w:szCs w:val="20"/>
          <w:color w:val="auto"/>
        </w:rPr>
      </w:pPr>
    </w:p>
    <w:p>
      <w:pPr>
        <w:jc w:val="both"/>
        <w:ind w:right="80"/>
        <w:spacing w:after="0" w:line="258" w:lineRule="auto"/>
        <w:rPr>
          <w:sz w:val="20"/>
          <w:szCs w:val="20"/>
          <w:color w:val="auto"/>
        </w:rPr>
      </w:pPr>
      <w:r>
        <w:rPr>
          <w:rFonts w:ascii="Arial" w:cs="Arial" w:eastAsia="Arial" w:hAnsi="Arial"/>
          <w:sz w:val="16"/>
          <w:szCs w:val="16"/>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classification of the reinsured insurance contract.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Reinsurance liabilities represent balances due to reinsurance companies. Amounts payable are estimated in a manner consistent with the related reinsurance contract.</w:t>
      </w:r>
    </w:p>
    <w:p>
      <w:pPr>
        <w:spacing w:after="0" w:line="218"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Premiums and claims are presented on a gross basis for both ceded and assumed reinsurance, see Notes 24 and 25. Reinsurance assets or liabilities are derecognized when the contractual rights are extinguished or expire or when the contract is transferred to another party.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Reinsurance contracts that do not transfer significant insurance risk are not material to the insurance segment.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Insurance receivables:</w:t>
      </w:r>
    </w:p>
    <w:p>
      <w:pPr>
        <w:spacing w:after="0" w:line="195" w:lineRule="exact"/>
        <w:rPr>
          <w:sz w:val="20"/>
          <w:szCs w:val="20"/>
          <w:color w:val="auto"/>
        </w:rPr>
      </w:pPr>
    </w:p>
    <w:p>
      <w:pPr>
        <w:ind w:right="460"/>
        <w:spacing w:after="0" w:line="269" w:lineRule="auto"/>
        <w:rPr>
          <w:sz w:val="20"/>
          <w:szCs w:val="20"/>
          <w:color w:val="auto"/>
        </w:rPr>
      </w:pPr>
      <w:r>
        <w:rPr>
          <w:rFonts w:ascii="Arial" w:cs="Arial" w:eastAsia="Arial" w:hAnsi="Arial"/>
          <w:sz w:val="16"/>
          <w:szCs w:val="16"/>
          <w:color w:val="auto"/>
        </w:rPr>
        <w:t>Insurance receivables are recognized when due and measured on initial recognition at the fair value of the consideration received or receivable. Subsequent to initial recognition, insurance receivables are measured at amortized cost.</w:t>
      </w:r>
    </w:p>
    <w:p>
      <w:pPr>
        <w:spacing w:after="0" w:line="157" w:lineRule="exact"/>
        <w:rPr>
          <w:sz w:val="20"/>
          <w:szCs w:val="20"/>
          <w:color w:val="auto"/>
        </w:rPr>
      </w:pPr>
    </w:p>
    <w:p>
      <w:pPr>
        <w:ind w:right="40"/>
        <w:spacing w:after="0" w:line="312" w:lineRule="auto"/>
        <w:rPr>
          <w:sz w:val="20"/>
          <w:szCs w:val="20"/>
          <w:color w:val="auto"/>
        </w:rPr>
      </w:pPr>
      <w:r>
        <w:rPr>
          <w:rFonts w:ascii="Arial" w:cs="Arial" w:eastAsia="Arial" w:hAnsi="Arial"/>
          <w:sz w:val="14"/>
          <w:szCs w:val="14"/>
          <w:color w:val="auto"/>
        </w:rPr>
        <w:t>As of December 31, 2018 and 2017 the carrying amount of the insurance receivables is similar to their fair value due to their short term. The carrying value of insurance receivables is reviewed for impairment whenever events or circumstances indicate that the carrying amount may not be recoverable. The impairment loss is recorded in the consolidated statement of income. Insurance receivables are derecognized when the de-recognition criteria for financial assets, as described in Note 3(g), have been met.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“Investment Link” assets:</w:t>
      </w:r>
    </w:p>
    <w:p>
      <w:pPr>
        <w:spacing w:after="0" w:line="195" w:lineRule="exact"/>
        <w:rPr>
          <w:sz w:val="20"/>
          <w:szCs w:val="20"/>
          <w:color w:val="auto"/>
        </w:rPr>
      </w:pPr>
    </w:p>
    <w:p>
      <w:pPr>
        <w:ind w:right="100"/>
        <w:spacing w:after="0" w:line="302" w:lineRule="auto"/>
        <w:rPr>
          <w:sz w:val="20"/>
          <w:szCs w:val="20"/>
          <w:color w:val="auto"/>
        </w:rPr>
      </w:pPr>
      <w:r>
        <w:rPr>
          <w:rFonts w:ascii="Arial" w:cs="Arial" w:eastAsia="Arial" w:hAnsi="Arial"/>
          <w:sz w:val="14"/>
          <w:szCs w:val="14"/>
          <w:color w:val="auto"/>
        </w:rPr>
        <w:t>“Investment Link” assets represent financial instruments held for purposes of funding a group of life insurance contracts and for which investment gains and losses are allocated directly to the policyholders who bear the investment and reinvestment risk. Each account has specific characteristics and the assets are carried at fair value. The balances of each account are legally segregated and are not subject to claims that arise out of any other business of the Group. The liabilities linked to these contracts are equal in amount to the assets that support them, net of the commissions that the Group charges for the management of these contracts.</w:t>
      </w:r>
    </w:p>
    <w:p>
      <w:pPr>
        <w:spacing w:after="0" w:line="328"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4"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Deferred acquisition costs (DAC):</w:t>
      </w:r>
    </w:p>
    <w:p>
      <w:pPr>
        <w:spacing w:after="0" w:line="19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These comprise the direct costs that originate with and are related to traditional life and Investment Link insurance contracts, which are deferred; all other acquisition costs are recognized as an expense when incurred. The direct acquisition costs comprise primarily agent commissions corresponding to the underwriting and policy issuance costs.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Subsequent to initial recognition, these costs are amortized on a straight line basis based on the average expiration period of the related insurance contracts. Amortization is recorded in the consolidated statement of income.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DAC for general insurance and health products are amortized over the period in which the related revenues are earned.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DAC are derecognized when the related contracts are either settled or disposed of.</w:t>
      </w:r>
    </w:p>
    <w:p>
      <w:pPr>
        <w:spacing w:after="0" w:line="195"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An impairment review is performed at the date of the consolidated statement of financial position or more frequently when an indication of impairment arises. When the recoverable amounts are less than the carrying value an impairment loss is recognized in the consolidated statement of income. DAC is also considered in the liability adequacy test for each reporting period.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Reinsurance commissions: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Commissions on reinsurance contracts for ceded premiums are amortized on a straight line basis over the term of the coverage of the related insurance contract.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Insurance contract liabilities:</w:t>
      </w:r>
    </w:p>
    <w:p>
      <w:pPr>
        <w:spacing w:after="0" w:line="195" w:lineRule="exact"/>
        <w:rPr>
          <w:sz w:val="20"/>
          <w:szCs w:val="20"/>
          <w:color w:val="auto"/>
        </w:rPr>
      </w:pPr>
    </w:p>
    <w:p>
      <w:pPr>
        <w:ind w:left="280" w:hanging="276"/>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Life insurance contract liabilities -</w:t>
      </w:r>
    </w:p>
    <w:p>
      <w:pPr>
        <w:spacing w:after="0" w:line="195"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Life insurance liabilities are recognized when contracts are entered into.</w:t>
      </w:r>
    </w:p>
    <w:p>
      <w:pPr>
        <w:spacing w:after="0" w:line="195" w:lineRule="exact"/>
        <w:rPr>
          <w:rFonts w:ascii="Arial" w:cs="Arial" w:eastAsia="Arial" w:hAnsi="Arial"/>
          <w:sz w:val="16"/>
          <w:szCs w:val="16"/>
          <w:color w:val="auto"/>
        </w:rPr>
      </w:pPr>
    </w:p>
    <w:p>
      <w:pPr>
        <w:ind w:left="280" w:right="100"/>
        <w:spacing w:after="0" w:line="303" w:lineRule="auto"/>
        <w:rPr>
          <w:rFonts w:ascii="Arial" w:cs="Arial" w:eastAsia="Arial" w:hAnsi="Arial"/>
          <w:sz w:val="16"/>
          <w:szCs w:val="16"/>
          <w:color w:val="auto"/>
        </w:rPr>
      </w:pPr>
      <w:r>
        <w:rPr>
          <w:rFonts w:ascii="Arial" w:cs="Arial" w:eastAsia="Arial" w:hAnsi="Arial"/>
          <w:sz w:val="15"/>
          <w:szCs w:val="15"/>
          <w:color w:val="auto"/>
        </w:rPr>
        <w:t>The technical reserves maintained by the Group include the reserves of all of the business lines, comprising both the mathematical reserves and those of ongoing risk, as well as the reserves for outstanding claims, settled claims, claim settlement costs, claims incurred but not reported, as applicable to each line.</w:t>
      </w:r>
    </w:p>
    <w:p>
      <w:pPr>
        <w:spacing w:after="0" w:line="133" w:lineRule="exact"/>
        <w:rPr>
          <w:rFonts w:ascii="Arial" w:cs="Arial" w:eastAsia="Arial" w:hAnsi="Arial"/>
          <w:sz w:val="16"/>
          <w:szCs w:val="16"/>
          <w:color w:val="auto"/>
        </w:rPr>
      </w:pPr>
    </w:p>
    <w:p>
      <w:pPr>
        <w:ind w:left="280" w:right="100"/>
        <w:spacing w:after="0" w:line="273" w:lineRule="auto"/>
        <w:rPr>
          <w:rFonts w:ascii="Arial" w:cs="Arial" w:eastAsia="Arial" w:hAnsi="Arial"/>
          <w:sz w:val="16"/>
          <w:szCs w:val="16"/>
          <w:color w:val="auto"/>
        </w:rPr>
      </w:pPr>
      <w:r>
        <w:rPr>
          <w:rFonts w:ascii="Arial" w:cs="Arial" w:eastAsia="Arial" w:hAnsi="Arial"/>
          <w:sz w:val="15"/>
          <w:szCs w:val="15"/>
          <w:color w:val="auto"/>
        </w:rPr>
        <w:t>Due to the nature of the business, the mathematical reserves of the pension lines represent the main part of the Group’s reserves, with the line of Life Annuities as the major source of reserves due to the important volume of premiums and as a result of having only single premiums. In order to determine the reserves of this business, the discounted present value of the expected future pensions, to be paid in a guaranteed and non-guaranteed period is taken into account, calculated on the basis of mortality tables and interest rates. Those are based on the asset portfolio which supports the liabilities. Additionally, the constituted reserves include the amount required to cover the maintenance expenses related to the administration of the payment of future pensions.</w:t>
      </w:r>
    </w:p>
    <w:p>
      <w:pPr>
        <w:spacing w:after="0" w:line="156" w:lineRule="exact"/>
        <w:rPr>
          <w:rFonts w:ascii="Arial" w:cs="Arial" w:eastAsia="Arial" w:hAnsi="Arial"/>
          <w:sz w:val="16"/>
          <w:szCs w:val="16"/>
          <w:color w:val="auto"/>
        </w:rPr>
      </w:pPr>
    </w:p>
    <w:p>
      <w:pPr>
        <w:ind w:left="280" w:right="60"/>
        <w:spacing w:after="0" w:line="273" w:lineRule="auto"/>
        <w:rPr>
          <w:rFonts w:ascii="Arial" w:cs="Arial" w:eastAsia="Arial" w:hAnsi="Arial"/>
          <w:sz w:val="16"/>
          <w:szCs w:val="16"/>
          <w:color w:val="auto"/>
        </w:rPr>
      </w:pPr>
      <w:r>
        <w:rPr>
          <w:rFonts w:ascii="Arial" w:cs="Arial" w:eastAsia="Arial" w:hAnsi="Arial"/>
          <w:sz w:val="15"/>
          <w:szCs w:val="15"/>
          <w:color w:val="auto"/>
        </w:rPr>
        <w:t>On the other hand, in the Individual Life business the Group offers some products which are only risk related and others of risk and savings, the latter being those which comprise the highest percentage of reserves of the line. Risk and savings products can be differentiated between those with a guaranteed interest rate and others without guaranteed interest, the reserve for the first group being equal to the balance of the policy accounts plus the unaccredited surplus interest, and for the second group it is equal to the balance of the policy accounts. Said accounts are established with the premiums collected, tax deductions, expenses and costs of insurance and the accreditation of interest based on the yield of the portfolio which supports said reserves.</w:t>
      </w:r>
    </w:p>
    <w:p>
      <w:pPr>
        <w:spacing w:after="0" w:line="346" w:lineRule="exact"/>
        <w:rPr>
          <w:rFonts w:ascii="Arial" w:cs="Arial" w:eastAsia="Arial" w:hAnsi="Arial"/>
          <w:sz w:val="16"/>
          <w:szCs w:val="16"/>
          <w:color w:val="auto"/>
        </w:rPr>
      </w:pPr>
    </w:p>
    <w:p>
      <w:pPr>
        <w:ind w:left="5080" w:hanging="91"/>
        <w:spacing w:after="0"/>
        <w:tabs>
          <w:tab w:leader="none" w:pos="5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4" w:right="239" w:bottom="1440" w:gutter="0" w:footer="0" w:header="0"/>
        </w:sectPr>
      </w:pPr>
    </w:p>
    <w:bookmarkStart w:id="39" w:name="page40"/>
    <w:bookmarkEnd w:id="39"/>
    <w:p>
      <w:pPr>
        <w:jc w:val="both"/>
        <w:ind w:left="280" w:right="40"/>
        <w:spacing w:after="0" w:line="288" w:lineRule="auto"/>
        <w:rPr>
          <w:sz w:val="20"/>
          <w:szCs w:val="20"/>
          <w:color w:val="auto"/>
        </w:rPr>
      </w:pPr>
      <w:r>
        <w:rPr>
          <w:rFonts w:ascii="Arial" w:cs="Arial" w:eastAsia="Arial" w:hAnsi="Arial"/>
          <w:sz w:val="14"/>
          <w:szCs w:val="14"/>
          <w:color w:val="auto"/>
        </w:rPr>
        <w:t>Life insurance claims reserves include reserves for reported claims and the estimates of the incurred claims that have not been reported to the Group. At December 31, 2018 and 2017, reserves for claims occurred and not reported were determined on the basis of the Chain Ladder methodology (a generally accepted actuarial method), whereby the weighted average of past claim development is projected into the future; this projection is based on the ratios of occurrence of accumulated past claims.</w:t>
      </w:r>
    </w:p>
    <w:p>
      <w:pPr>
        <w:spacing w:after="0" w:line="1" w:lineRule="exact"/>
        <w:rPr>
          <w:sz w:val="20"/>
          <w:szCs w:val="20"/>
          <w:color w:val="auto"/>
        </w:rPr>
      </w:pPr>
    </w:p>
    <w:p>
      <w:pPr>
        <w:ind w:left="280" w:right="440"/>
        <w:spacing w:after="0" w:line="254" w:lineRule="auto"/>
        <w:rPr>
          <w:sz w:val="20"/>
          <w:szCs w:val="20"/>
          <w:color w:val="auto"/>
        </w:rPr>
      </w:pPr>
      <w:r>
        <w:rPr>
          <w:rFonts w:ascii="Arial" w:cs="Arial" w:eastAsia="Arial" w:hAnsi="Arial"/>
          <w:sz w:val="16"/>
          <w:szCs w:val="16"/>
          <w:color w:val="auto"/>
        </w:rPr>
        <w:t>Adjustments to the liabilities at each reporting date of the consolidated statement of financial position are recorded in the consolidated statement of income. The liability is derecognized when the contract expires, is discharged or is cancelled.</w:t>
      </w:r>
    </w:p>
    <w:p>
      <w:pPr>
        <w:spacing w:after="0" w:line="168" w:lineRule="exact"/>
        <w:rPr>
          <w:sz w:val="20"/>
          <w:szCs w:val="20"/>
          <w:color w:val="auto"/>
        </w:rPr>
      </w:pPr>
    </w:p>
    <w:p>
      <w:pPr>
        <w:ind w:left="280"/>
        <w:spacing w:after="0" w:line="258" w:lineRule="auto"/>
        <w:rPr>
          <w:sz w:val="20"/>
          <w:szCs w:val="20"/>
          <w:color w:val="auto"/>
        </w:rPr>
      </w:pPr>
      <w:r>
        <w:rPr>
          <w:rFonts w:ascii="Arial" w:cs="Arial" w:eastAsia="Arial" w:hAnsi="Arial"/>
          <w:sz w:val="16"/>
          <w:szCs w:val="16"/>
          <w:color w:val="auto"/>
        </w:rPr>
        <w:t>At each reporting date, an evaluation is carried out as to whether the life insurance liabilities are adequate, net of the related DAC, by means of a liability adequacy test as established by IFRS 4. At December 31, of 2018 and 2017, the Group’s Management concluded that the liabilities are sufficient and, therefore, they have not recognized any additional liability for life insurance contracts.</w:t>
      </w:r>
    </w:p>
    <w:p>
      <w:pPr>
        <w:spacing w:after="0" w:line="165" w:lineRule="exact"/>
        <w:rPr>
          <w:sz w:val="20"/>
          <w:szCs w:val="20"/>
          <w:color w:val="auto"/>
        </w:rPr>
      </w:pPr>
    </w:p>
    <w:p>
      <w:pPr>
        <w:ind w:left="280" w:right="4860" w:hanging="276"/>
        <w:spacing w:after="0" w:line="565" w:lineRule="auto"/>
        <w:tabs>
          <w:tab w:leader="none" w:pos="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Non-life insurance contract liabilities (which comprise general and healthcare insurance) - Non-life insurance contract liabilities are recognized when contracts are entered into.</w:t>
      </w:r>
    </w:p>
    <w:p>
      <w:pPr>
        <w:ind w:left="280" w:right="60"/>
        <w:spacing w:after="0" w:line="254" w:lineRule="auto"/>
        <w:rPr>
          <w:rFonts w:ascii="Arial" w:cs="Arial" w:eastAsia="Arial" w:hAnsi="Arial"/>
          <w:sz w:val="14"/>
          <w:szCs w:val="14"/>
          <w:color w:val="auto"/>
        </w:rPr>
      </w:pPr>
      <w:r>
        <w:rPr>
          <w:rFonts w:ascii="Arial" w:cs="Arial" w:eastAsia="Arial" w:hAnsi="Arial"/>
          <w:sz w:val="16"/>
          <w:szCs w:val="16"/>
          <w:color w:val="auto"/>
        </w:rPr>
        <w:t>Claims reserves are based on the last estimated cost of all claims incurred but not settled at the date of the consolidated statement of financial position, whether reported or not, together with related claim handling costs and the expected reduction in value of salvage and other recoveries. Delays can be experienced in the notification and settlement of certain types of claims, therefore their ultimate cost cannot be known with certainty at the date of the consolidated statement of financial position.</w:t>
      </w:r>
    </w:p>
    <w:p>
      <w:pPr>
        <w:spacing w:after="0" w:line="169" w:lineRule="exact"/>
        <w:rPr>
          <w:rFonts w:ascii="Arial" w:cs="Arial" w:eastAsia="Arial" w:hAnsi="Arial"/>
          <w:sz w:val="14"/>
          <w:szCs w:val="14"/>
          <w:color w:val="auto"/>
        </w:rPr>
      </w:pPr>
    </w:p>
    <w:p>
      <w:pPr>
        <w:ind w:left="280" w:right="100"/>
        <w:spacing w:after="0" w:line="277" w:lineRule="auto"/>
        <w:rPr>
          <w:rFonts w:ascii="Arial" w:cs="Arial" w:eastAsia="Arial" w:hAnsi="Arial"/>
          <w:sz w:val="14"/>
          <w:szCs w:val="14"/>
          <w:color w:val="auto"/>
        </w:rPr>
      </w:pPr>
      <w:r>
        <w:rPr>
          <w:rFonts w:ascii="Arial" w:cs="Arial" w:eastAsia="Arial" w:hAnsi="Arial"/>
          <w:sz w:val="15"/>
          <w:szCs w:val="15"/>
          <w:color w:val="auto"/>
        </w:rPr>
        <w:t>Claims occurred but not reported are estimated and included in the provision (liabilities). IBNR reserves are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the historical data. No provision for equalization or catastrophe reserves is recognized. The liabilities are derecognized when the contract expires, is discharged or is cancelled.</w:t>
      </w:r>
    </w:p>
    <w:p>
      <w:pPr>
        <w:spacing w:after="0" w:line="151" w:lineRule="exact"/>
        <w:rPr>
          <w:rFonts w:ascii="Arial" w:cs="Arial" w:eastAsia="Arial" w:hAnsi="Arial"/>
          <w:sz w:val="14"/>
          <w:szCs w:val="14"/>
          <w:color w:val="auto"/>
        </w:rPr>
      </w:pPr>
    </w:p>
    <w:p>
      <w:pPr>
        <w:ind w:left="280" w:right="380"/>
        <w:spacing w:after="0" w:line="269" w:lineRule="auto"/>
        <w:rPr>
          <w:rFonts w:ascii="Arial" w:cs="Arial" w:eastAsia="Arial" w:hAnsi="Arial"/>
          <w:sz w:val="14"/>
          <w:szCs w:val="14"/>
          <w:color w:val="auto"/>
        </w:rPr>
      </w:pPr>
      <w:r>
        <w:rPr>
          <w:rFonts w:ascii="Arial" w:cs="Arial" w:eastAsia="Arial" w:hAnsi="Arial"/>
          <w:sz w:val="16"/>
          <w:szCs w:val="16"/>
          <w:color w:val="auto"/>
        </w:rPr>
        <w:t>Technical reserves for non-life insurance contracts comprise the provision for unearned premiums which represents premiums received for risks that have not yet expired. Generally, the reserve is liberated during the term of the contract and is recognized as premium income.</w:t>
      </w:r>
    </w:p>
    <w:p>
      <w:pPr>
        <w:spacing w:after="0" w:line="157" w:lineRule="exact"/>
        <w:rPr>
          <w:sz w:val="20"/>
          <w:szCs w:val="20"/>
          <w:color w:val="auto"/>
        </w:rPr>
      </w:pPr>
    </w:p>
    <w:p>
      <w:pPr>
        <w:ind w:left="280" w:right="100"/>
        <w:spacing w:after="0" w:line="277" w:lineRule="auto"/>
        <w:rPr>
          <w:sz w:val="20"/>
          <w:szCs w:val="20"/>
          <w:color w:val="auto"/>
        </w:rPr>
      </w:pPr>
      <w:r>
        <w:rPr>
          <w:rFonts w:ascii="Arial" w:cs="Arial" w:eastAsia="Arial" w:hAnsi="Arial"/>
          <w:sz w:val="15"/>
          <w:szCs w:val="15"/>
          <w:color w:val="auto"/>
        </w:rPr>
        <w:t>At each reporting date the Group reviews the risk from outstanding claims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statement of income by setting up a provision for liability adequacy. As of December 31, 2018 and 2017, Management determined that the liabilities were adequate; therefore, it has not recorded any additional liabilities for non-life insurance contracts.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Income recognition:</w:t>
      </w:r>
    </w:p>
    <w:p>
      <w:pPr>
        <w:spacing w:after="0" w:line="195" w:lineRule="exact"/>
        <w:rPr>
          <w:sz w:val="20"/>
          <w:szCs w:val="20"/>
          <w:color w:val="auto"/>
        </w:rPr>
      </w:pPr>
    </w:p>
    <w:p>
      <w:pPr>
        <w:ind w:left="280" w:hanging="276"/>
        <w:spacing w:after="0"/>
        <w:tabs>
          <w:tab w:leader="none" w:pos="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Gross premiums -</w:t>
      </w:r>
    </w:p>
    <w:p>
      <w:pPr>
        <w:spacing w:after="0" w:line="195"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Life insurance contracts -</w:t>
      </w:r>
    </w:p>
    <w:p>
      <w:pPr>
        <w:spacing w:after="0" w:line="195" w:lineRule="exact"/>
        <w:rPr>
          <w:rFonts w:ascii="Arial" w:cs="Arial" w:eastAsia="Arial" w:hAnsi="Arial"/>
          <w:sz w:val="16"/>
          <w:szCs w:val="16"/>
          <w:color w:val="auto"/>
        </w:rPr>
      </w:pPr>
    </w:p>
    <w:p>
      <w:pPr>
        <w:ind w:left="280" w:right="20"/>
        <w:spacing w:after="0" w:line="269" w:lineRule="auto"/>
        <w:rPr>
          <w:rFonts w:ascii="Arial" w:cs="Arial" w:eastAsia="Arial" w:hAnsi="Arial"/>
          <w:sz w:val="16"/>
          <w:szCs w:val="16"/>
          <w:color w:val="auto"/>
        </w:rPr>
      </w:pPr>
      <w:r>
        <w:rPr>
          <w:rFonts w:ascii="Arial" w:cs="Arial" w:eastAsia="Arial" w:hAnsi="Arial"/>
          <w:sz w:val="16"/>
          <w:szCs w:val="16"/>
          <w:color w:val="auto"/>
        </w:rPr>
        <w:t>Gross premiums on life contracts are recognized as revenue when due from the policyholder. For single premium business, revenue is recognized on the date on which the policy is effective.</w:t>
      </w:r>
    </w:p>
    <w:p>
      <w:pPr>
        <w:spacing w:after="0" w:line="346" w:lineRule="exact"/>
        <w:rPr>
          <w:rFonts w:ascii="Arial" w:cs="Arial" w:eastAsia="Arial" w:hAnsi="Arial"/>
          <w:sz w:val="16"/>
          <w:szCs w:val="16"/>
          <w:color w:val="auto"/>
        </w:rPr>
      </w:pPr>
    </w:p>
    <w:p>
      <w:pPr>
        <w:ind w:left="5080" w:hanging="91"/>
        <w:spacing w:after="0"/>
        <w:tabs>
          <w:tab w:leader="none" w:pos="5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5" w:right="239" w:bottom="1440" w:gutter="0" w:footer="0" w:header="0"/>
        </w:sectPr>
      </w:pPr>
    </w:p>
    <w:bookmarkStart w:id="40" w:name="page41"/>
    <w:bookmarkEnd w:id="40"/>
    <w:p>
      <w:pPr>
        <w:ind w:left="561"/>
        <w:spacing w:after="0"/>
        <w:rPr>
          <w:sz w:val="20"/>
          <w:szCs w:val="20"/>
          <w:color w:val="auto"/>
        </w:rPr>
      </w:pPr>
      <w:r>
        <w:rPr>
          <w:rFonts w:ascii="Arial" w:cs="Arial" w:eastAsia="Arial" w:hAnsi="Arial"/>
          <w:sz w:val="16"/>
          <w:szCs w:val="16"/>
          <w:color w:val="auto"/>
        </w:rPr>
        <w:t>Non-life insurance contracts -</w:t>
      </w:r>
    </w:p>
    <w:p>
      <w:pPr>
        <w:spacing w:after="0" w:line="195" w:lineRule="exact"/>
        <w:rPr>
          <w:sz w:val="20"/>
          <w:szCs w:val="20"/>
          <w:color w:val="auto"/>
        </w:rPr>
      </w:pPr>
    </w:p>
    <w:p>
      <w:pPr>
        <w:ind w:left="561"/>
        <w:spacing w:after="0" w:line="258" w:lineRule="auto"/>
        <w:rPr>
          <w:sz w:val="20"/>
          <w:szCs w:val="20"/>
          <w:color w:val="auto"/>
        </w:rPr>
      </w:pPr>
      <w:r>
        <w:rPr>
          <w:rFonts w:ascii="Arial" w:cs="Arial" w:eastAsia="Arial" w:hAnsi="Arial"/>
          <w:sz w:val="16"/>
          <w:szCs w:val="16"/>
          <w:color w:val="auto"/>
        </w:rPr>
        <w:t>Gross non-life insurance direct and assumed premiums comprise the total premiums written and are recognized on the date of issue of the policy as a receivable. At the same time, a reserve is recorded for unearned premiums which represent premiums for risks that have not yet expired. Unearned premiums are recognized as income over the contract period which is also the coverage and risk period.</w:t>
      </w:r>
    </w:p>
    <w:p>
      <w:pPr>
        <w:spacing w:after="0" w:line="16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(ii) Fees and commission income -</w:t>
      </w:r>
    </w:p>
    <w:p>
      <w:pPr>
        <w:spacing w:after="0" w:line="195" w:lineRule="exact"/>
        <w:rPr>
          <w:sz w:val="20"/>
          <w:szCs w:val="20"/>
          <w:color w:val="auto"/>
        </w:rPr>
      </w:pPr>
    </w:p>
    <w:p>
      <w:pPr>
        <w:ind w:left="561" w:right="320"/>
        <w:spacing w:after="0" w:line="303" w:lineRule="auto"/>
        <w:rPr>
          <w:sz w:val="20"/>
          <w:szCs w:val="20"/>
          <w:color w:val="auto"/>
        </w:rPr>
      </w:pPr>
      <w:r>
        <w:rPr>
          <w:rFonts w:ascii="Arial" w:cs="Arial" w:eastAsia="Arial" w:hAnsi="Arial"/>
          <w:sz w:val="15"/>
          <w:szCs w:val="15"/>
          <w:color w:val="auto"/>
        </w:rPr>
        <w:t>Investment Link insurance contract policyholders remunerate the Group for policy administration services, investment management services, surrenders and other contract fees. These fees are recognized as revenue in the consolidated statement of income in the period in which the services are provided.</w:t>
      </w:r>
    </w:p>
    <w:p>
      <w:pPr>
        <w:spacing w:after="0" w:line="133" w:lineRule="exact"/>
        <w:rPr>
          <w:sz w:val="20"/>
          <w:szCs w:val="20"/>
          <w:color w:val="auto"/>
        </w:rPr>
      </w:pPr>
    </w:p>
    <w:p>
      <w:pPr>
        <w:ind w:left="281"/>
        <w:spacing w:after="0"/>
        <w:rPr>
          <w:sz w:val="20"/>
          <w:szCs w:val="20"/>
          <w:color w:val="auto"/>
        </w:rPr>
      </w:pPr>
      <w:r>
        <w:rPr>
          <w:rFonts w:ascii="Arial" w:cs="Arial" w:eastAsia="Arial" w:hAnsi="Arial"/>
          <w:sz w:val="16"/>
          <w:szCs w:val="16"/>
          <w:color w:val="auto"/>
        </w:rPr>
        <w:t>Recognition of benefits, claims and expenses:</w:t>
      </w:r>
    </w:p>
    <w:p>
      <w:pPr>
        <w:spacing w:after="0" w:line="195" w:lineRule="exact"/>
        <w:rPr>
          <w:sz w:val="20"/>
          <w:szCs w:val="20"/>
          <w:color w:val="auto"/>
        </w:rPr>
      </w:pPr>
    </w:p>
    <w:p>
      <w:pPr>
        <w:ind w:left="561" w:hanging="276"/>
        <w:spacing w:after="0"/>
        <w:tabs>
          <w:tab w:leader="none" w:pos="5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Benefits and claims -</w:t>
      </w:r>
    </w:p>
    <w:p>
      <w:pPr>
        <w:spacing w:after="0" w:line="195" w:lineRule="exact"/>
        <w:rPr>
          <w:rFonts w:ascii="Arial" w:cs="Arial" w:eastAsia="Arial" w:hAnsi="Arial"/>
          <w:sz w:val="16"/>
          <w:szCs w:val="16"/>
          <w:color w:val="auto"/>
        </w:rPr>
      </w:pPr>
    </w:p>
    <w:p>
      <w:pPr>
        <w:ind w:left="561" w:right="140"/>
        <w:spacing w:after="0" w:line="258" w:lineRule="auto"/>
        <w:rPr>
          <w:rFonts w:ascii="Arial" w:cs="Arial" w:eastAsia="Arial" w:hAnsi="Arial"/>
          <w:sz w:val="16"/>
          <w:szCs w:val="16"/>
          <w:color w:val="auto"/>
        </w:rPr>
      </w:pPr>
      <w:r>
        <w:rPr>
          <w:rFonts w:ascii="Arial" w:cs="Arial" w:eastAsia="Arial" w:hAnsi="Arial"/>
          <w:sz w:val="16"/>
          <w:szCs w:val="16"/>
          <w:color w:val="auto"/>
        </w:rPr>
        <w:t>The benefits and claims for life insurance contracts include the cost of all claims arising during the year including internal and external claim handling costs that are directly related to the processing and settlement of claims. Death, survival and disability claims are recorded on the basis of notifications received. Pension payments are recorded when they accrue.</w:t>
      </w:r>
    </w:p>
    <w:p>
      <w:pPr>
        <w:spacing w:after="0" w:line="165" w:lineRule="exact"/>
        <w:rPr>
          <w:rFonts w:ascii="Arial" w:cs="Arial" w:eastAsia="Arial" w:hAnsi="Arial"/>
          <w:sz w:val="16"/>
          <w:szCs w:val="16"/>
          <w:color w:val="auto"/>
        </w:rPr>
      </w:pPr>
    </w:p>
    <w:p>
      <w:pPr>
        <w:jc w:val="both"/>
        <w:ind w:left="561" w:right="180"/>
        <w:spacing w:after="0" w:line="258" w:lineRule="auto"/>
        <w:rPr>
          <w:rFonts w:ascii="Arial" w:cs="Arial" w:eastAsia="Arial" w:hAnsi="Arial"/>
          <w:sz w:val="16"/>
          <w:szCs w:val="16"/>
          <w:color w:val="auto"/>
        </w:rPr>
      </w:pPr>
      <w:r>
        <w:rPr>
          <w:rFonts w:ascii="Arial" w:cs="Arial" w:eastAsia="Arial" w:hAnsi="Arial"/>
          <w:sz w:val="16"/>
          <w:szCs w:val="16"/>
          <w:color w:val="auto"/>
        </w:rPr>
        <w:t>General and health insurance claims include all claims occurring during the year, whether reported or not, internal and external claim handling costs that are directly related to the processing and settlement of claims, a reduction for the value of salvage and other recoveries, and any adjustment to claims outstanding from previous years.</w:t>
      </w:r>
    </w:p>
    <w:p>
      <w:pPr>
        <w:spacing w:after="0" w:line="165" w:lineRule="exact"/>
        <w:rPr>
          <w:rFonts w:ascii="Arial" w:cs="Arial" w:eastAsia="Arial" w:hAnsi="Arial"/>
          <w:sz w:val="16"/>
          <w:szCs w:val="16"/>
          <w:color w:val="auto"/>
        </w:rPr>
      </w:pPr>
    </w:p>
    <w:p>
      <w:pPr>
        <w:ind w:left="621" w:hanging="336"/>
        <w:spacing w:after="0"/>
        <w:tabs>
          <w:tab w:leader="none" w:pos="621"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Reinsurance premiums -</w:t>
      </w:r>
    </w:p>
    <w:p>
      <w:pPr>
        <w:spacing w:after="0" w:line="195" w:lineRule="exact"/>
        <w:rPr>
          <w:sz w:val="20"/>
          <w:szCs w:val="20"/>
          <w:color w:val="auto"/>
        </w:rPr>
      </w:pPr>
    </w:p>
    <w:p>
      <w:pPr>
        <w:ind w:left="561" w:right="660"/>
        <w:spacing w:after="0" w:line="269" w:lineRule="auto"/>
        <w:rPr>
          <w:sz w:val="20"/>
          <w:szCs w:val="20"/>
          <w:color w:val="auto"/>
        </w:rPr>
      </w:pPr>
      <w:r>
        <w:rPr>
          <w:rFonts w:ascii="Arial" w:cs="Arial" w:eastAsia="Arial" w:hAnsi="Arial"/>
          <w:sz w:val="16"/>
          <w:szCs w:val="16"/>
          <w:color w:val="auto"/>
        </w:rPr>
        <w:t>Comprise the total premiums payable for the coverage of the insurance contracts and are recognized on the date on which the validity of the insurance policy commences. Unearned ceded premiums are deferred over the term of the underlying insurance contract.</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(iii) Reinsurance claims -</w:t>
      </w:r>
    </w:p>
    <w:p>
      <w:pPr>
        <w:spacing w:after="0" w:line="195" w:lineRule="exact"/>
        <w:rPr>
          <w:sz w:val="20"/>
          <w:szCs w:val="20"/>
          <w:color w:val="auto"/>
        </w:rPr>
      </w:pPr>
    </w:p>
    <w:p>
      <w:pPr>
        <w:ind w:left="561"/>
        <w:spacing w:after="0"/>
        <w:rPr>
          <w:sz w:val="20"/>
          <w:szCs w:val="20"/>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195" w:lineRule="exact"/>
        <w:rPr>
          <w:sz w:val="20"/>
          <w:szCs w:val="20"/>
          <w:color w:val="auto"/>
        </w:rPr>
      </w:pPr>
    </w:p>
    <w:p>
      <w:pPr>
        <w:ind w:left="281" w:hanging="281"/>
        <w:spacing w:after="0"/>
        <w:tabs>
          <w:tab w:leader="none" w:pos="2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Financial instruments: Initial recognition and subsequent measurement -</w:t>
      </w:r>
    </w:p>
    <w:p>
      <w:pPr>
        <w:spacing w:after="0" w:line="195" w:lineRule="exact"/>
        <w:rPr>
          <w:rFonts w:ascii="Arial" w:cs="Arial" w:eastAsia="Arial" w:hAnsi="Arial"/>
          <w:sz w:val="16"/>
          <w:szCs w:val="16"/>
          <w:color w:val="auto"/>
        </w:rPr>
      </w:pPr>
    </w:p>
    <w:p>
      <w:pPr>
        <w:ind w:left="281" w:right="1560"/>
        <w:spacing w:after="0" w:line="494" w:lineRule="auto"/>
        <w:rPr>
          <w:rFonts w:ascii="Arial" w:cs="Arial" w:eastAsia="Arial" w:hAnsi="Arial"/>
          <w:sz w:val="16"/>
          <w:szCs w:val="16"/>
          <w:color w:val="auto"/>
        </w:rPr>
      </w:pPr>
      <w:r>
        <w:rPr>
          <w:rFonts w:ascii="Arial" w:cs="Arial" w:eastAsia="Arial" w:hAnsi="Arial"/>
          <w:sz w:val="16"/>
          <w:szCs w:val="16"/>
          <w:color w:val="auto"/>
        </w:rPr>
        <w:t>A financial instrument is any agreement that originates a financial asset of one entity and a financial liability or equity instrument of another entity. The Group determined the classification of its financial instruments at initial recognition.</w:t>
      </w:r>
    </w:p>
    <w:p>
      <w:pPr>
        <w:spacing w:after="0" w:line="1"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All the financial instruments are initially recognized at fair value plus the incremental costs related to the transaction that are directly attributable to the purchase or issue of the instrument, except in the case of financial assets or liabilities carried at fair value through profit or loss.</w:t>
      </w:r>
    </w:p>
    <w:p>
      <w:pPr>
        <w:spacing w:after="0" w:line="156" w:lineRule="exact"/>
        <w:rPr>
          <w:rFonts w:ascii="Arial" w:cs="Arial" w:eastAsia="Arial" w:hAnsi="Arial"/>
          <w:sz w:val="16"/>
          <w:szCs w:val="16"/>
          <w:color w:val="auto"/>
        </w:rPr>
      </w:pPr>
    </w:p>
    <w:p>
      <w:pPr>
        <w:ind w:left="281" w:right="240"/>
        <w:spacing w:after="0" w:line="258" w:lineRule="auto"/>
        <w:rPr>
          <w:rFonts w:ascii="Arial" w:cs="Arial" w:eastAsia="Arial" w:hAnsi="Arial"/>
          <w:sz w:val="16"/>
          <w:szCs w:val="16"/>
          <w:color w:val="auto"/>
        </w:rPr>
      </w:pPr>
      <w:r>
        <w:rPr>
          <w:rFonts w:ascii="Arial" w:cs="Arial" w:eastAsia="Arial" w:hAnsi="Arial"/>
          <w:sz w:val="16"/>
          <w:szCs w:val="16"/>
          <w:color w:val="auto"/>
        </w:rPr>
        <w:t>The purchases or sales of financial assets that require the delivery of the assets within a term established according to market regulations or conventions (regular market terms) are recognized on the negotiation date, in other words, the date in which the Group commits to purchase or sell the asset. The derivatives are recognized on the trading date.</w:t>
      </w:r>
    </w:p>
    <w:p>
      <w:pPr>
        <w:spacing w:after="0" w:line="16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Policy applicable from January 1, 2018 -</w:t>
      </w:r>
    </w:p>
    <w:p>
      <w:pPr>
        <w:spacing w:after="0" w:line="195" w:lineRule="exact"/>
        <w:rPr>
          <w:rFonts w:ascii="Arial" w:cs="Arial" w:eastAsia="Arial" w:hAnsi="Arial"/>
          <w:sz w:val="16"/>
          <w:szCs w:val="16"/>
          <w:color w:val="auto"/>
        </w:rPr>
      </w:pPr>
    </w:p>
    <w:p>
      <w:pPr>
        <w:ind w:left="281" w:right="60"/>
        <w:spacing w:after="0" w:line="269" w:lineRule="auto"/>
        <w:rPr>
          <w:rFonts w:ascii="Arial" w:cs="Arial" w:eastAsia="Arial" w:hAnsi="Arial"/>
          <w:sz w:val="16"/>
          <w:szCs w:val="16"/>
          <w:color w:val="auto"/>
        </w:rPr>
      </w:pPr>
      <w:r>
        <w:rPr>
          <w:rFonts w:ascii="Arial" w:cs="Arial" w:eastAsia="Arial" w:hAnsi="Arial"/>
          <w:sz w:val="16"/>
          <w:szCs w:val="16"/>
          <w:color w:val="auto"/>
        </w:rPr>
        <w:t>At December 31, 2018, the Group classified the financial assets in one of the categories defined by IFRS 9: financial assets at fair value through profit or loss, at fair value though other comprehensive income and at amortized cost, based on:</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35"/>
        </w:numPr>
        <w:rPr>
          <w:rFonts w:ascii="Arial" w:cs="Arial" w:eastAsia="Arial" w:hAnsi="Arial"/>
          <w:sz w:val="16"/>
          <w:szCs w:val="16"/>
          <w:color w:val="auto"/>
        </w:rPr>
      </w:pPr>
      <w:r>
        <w:rPr>
          <w:rFonts w:ascii="Arial" w:cs="Arial" w:eastAsia="Arial" w:hAnsi="Arial"/>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5" w:right="239" w:bottom="1440" w:gutter="0" w:footer="0" w:header="0"/>
        </w:sectPr>
      </w:pPr>
    </w:p>
    <w:bookmarkStart w:id="41" w:name="page42"/>
    <w:bookmarkEnd w:id="41"/>
    <w:p>
      <w:pPr>
        <w:ind w:left="280" w:hanging="276"/>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business model for managing the financial assets and</w:t>
      </w:r>
    </w:p>
    <w:p>
      <w:pPr>
        <w:spacing w:after="0" w:line="16" w:lineRule="exact"/>
        <w:rPr>
          <w:rFonts w:ascii="Arial" w:cs="Arial" w:eastAsia="Arial" w:hAnsi="Arial"/>
          <w:sz w:val="16"/>
          <w:szCs w:val="16"/>
          <w:color w:val="auto"/>
        </w:rPr>
      </w:pPr>
    </w:p>
    <w:p>
      <w:pPr>
        <w:ind w:left="280" w:hanging="276"/>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characteristics of the contractual cash flows of the financial asset.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Business model -</w:t>
      </w:r>
    </w:p>
    <w:p>
      <w:pPr>
        <w:spacing w:after="0" w:line="19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Represents how the financial assets are managed to generate cash flows and it does not depend on the Management’s intention with regard to an individual instrument. Financial assets can be managed for the purpose of: i) obtaining contractual cash flows; ii) obtaining contractual cash flows and sale; or iii) others. In order to evaluate the business models, the Group considers the risks that affect the performance of the business model, and how the performance of the business model is evaluated and informed to Management. If the cash flows are carried out in a manner other than what is expected by the Group, the classification of the remaining financial assets maintained in this business model is not modified.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When the financial asset is maintained in the business models i) and ii), it requires the application of the “Solely Payments of Principal and Interest” test - “SPPI”.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SPPI Test -</w:t>
      </w:r>
    </w:p>
    <w:p>
      <w:pPr>
        <w:spacing w:after="0" w:line="19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This test consists in the evaluation of the cash flows generated by a financial instrument in order to verify if the contractual terms of the financial asset give rise on specified dates to cash flows that are solely payments of principal and interest. In order to conform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73" w:lineRule="exact"/>
        <w:rPr>
          <w:sz w:val="20"/>
          <w:szCs w:val="20"/>
          <w:color w:val="auto"/>
        </w:rPr>
      </w:pPr>
    </w:p>
    <w:p>
      <w:pPr>
        <w:ind w:left="280" w:hanging="276"/>
        <w:spacing w:after="0"/>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assets at amortized cost -</w:t>
      </w:r>
    </w:p>
    <w:p>
      <w:pPr>
        <w:spacing w:after="0" w:line="195" w:lineRule="exact"/>
        <w:rPr>
          <w:rFonts w:ascii="Arial" w:cs="Arial" w:eastAsia="Arial" w:hAnsi="Arial"/>
          <w:sz w:val="16"/>
          <w:szCs w:val="16"/>
          <w:color w:val="auto"/>
        </w:rPr>
      </w:pPr>
    </w:p>
    <w:p>
      <w:pPr>
        <w:ind w:left="280" w:right="40"/>
        <w:spacing w:after="0" w:line="303" w:lineRule="auto"/>
        <w:rPr>
          <w:rFonts w:ascii="Arial" w:cs="Arial" w:eastAsia="Arial" w:hAnsi="Arial"/>
          <w:sz w:val="16"/>
          <w:szCs w:val="16"/>
          <w:color w:val="auto"/>
        </w:rPr>
      </w:pPr>
      <w:r>
        <w:rPr>
          <w:rFonts w:ascii="Arial" w:cs="Arial" w:eastAsia="Arial" w:hAnsi="Arial"/>
          <w:sz w:val="15"/>
          <w:szCs w:val="15"/>
          <w:color w:val="auto"/>
        </w:rPr>
        <w:t>A financial asset is classified at amortized cost if: a) it is held within a business model the objective of which is to maintain the financial asset to obtain the contractual cash flows, and b) the contractual conditions give rise, on specified dates, to cash flows that are solely payments of the principal and interest.</w:t>
      </w:r>
    </w:p>
    <w:p>
      <w:pPr>
        <w:spacing w:after="0" w:line="133" w:lineRule="exact"/>
        <w:rPr>
          <w:rFonts w:ascii="Arial" w:cs="Arial" w:eastAsia="Arial" w:hAnsi="Arial"/>
          <w:sz w:val="16"/>
          <w:szCs w:val="16"/>
          <w:color w:val="auto"/>
        </w:rPr>
      </w:pPr>
    </w:p>
    <w:p>
      <w:pPr>
        <w:ind w:left="280"/>
        <w:spacing w:after="0" w:line="252" w:lineRule="auto"/>
        <w:rPr>
          <w:rFonts w:ascii="Arial" w:cs="Arial" w:eastAsia="Arial" w:hAnsi="Arial"/>
          <w:sz w:val="16"/>
          <w:szCs w:val="16"/>
          <w:color w:val="auto"/>
        </w:rPr>
      </w:pPr>
      <w:r>
        <w:rPr>
          <w:rFonts w:ascii="Arial" w:cs="Arial" w:eastAsia="Arial" w:hAnsi="Arial"/>
          <w:sz w:val="16"/>
          <w:szCs w:val="16"/>
          <w:color w:val="auto"/>
        </w:rPr>
        <w:t>After their initial recognition, the financial assets of this category are valued at amortized cost, using the effective interest rate method, minus any credit loss provision. The amortized cost is calculated considering any discount or premium incurred in the acquisition and professional fees that constitute an integral part of the effective interest rate. The amortization of the effective interest rate is included in the item “Interest and similar income” of the consolidated income statement. The effective interest rate is the rate that discounts the future estimated cash payments or collections throughout the expected useful life of the financial asset using the gross carrying amount.</w:t>
      </w:r>
    </w:p>
    <w:p>
      <w:pPr>
        <w:spacing w:after="0" w:line="171" w:lineRule="exact"/>
        <w:rPr>
          <w:rFonts w:ascii="Arial" w:cs="Arial" w:eastAsia="Arial" w:hAnsi="Arial"/>
          <w:sz w:val="16"/>
          <w:szCs w:val="16"/>
          <w:color w:val="auto"/>
        </w:rPr>
      </w:pPr>
    </w:p>
    <w:p>
      <w:pPr>
        <w:ind w:left="280" w:right="100"/>
        <w:spacing w:after="0" w:line="258" w:lineRule="auto"/>
        <w:rPr>
          <w:rFonts w:ascii="Arial" w:cs="Arial" w:eastAsia="Arial" w:hAnsi="Arial"/>
          <w:sz w:val="16"/>
          <w:szCs w:val="16"/>
          <w:color w:val="auto"/>
        </w:rPr>
      </w:pPr>
      <w:r>
        <w:rPr>
          <w:rFonts w:ascii="Arial" w:cs="Arial" w:eastAsia="Arial" w:hAnsi="Arial"/>
          <w:sz w:val="16"/>
          <w:szCs w:val="16"/>
          <w:color w:val="auto"/>
        </w:rPr>
        <w:t>Financial assets at amortized cost include direct credits that are recorded when the disbursement of the funds in favor of the clients is carried out, and indirect (contingent) credits that are recorded when the documents that support said credit facilities are issued. Furthermore, the Group considers as refinanced or restructured those credits that, due to difficulties in payment on the part of the debtor, change their payment schedule.</w:t>
      </w:r>
    </w:p>
    <w:p>
      <w:pPr>
        <w:spacing w:after="0" w:line="165" w:lineRule="exact"/>
        <w:rPr>
          <w:rFonts w:ascii="Arial" w:cs="Arial" w:eastAsia="Arial" w:hAnsi="Arial"/>
          <w:sz w:val="16"/>
          <w:szCs w:val="16"/>
          <w:color w:val="auto"/>
        </w:rPr>
      </w:pPr>
    </w:p>
    <w:p>
      <w:pPr>
        <w:ind w:left="280" w:right="20"/>
        <w:spacing w:after="0" w:line="269" w:lineRule="auto"/>
        <w:rPr>
          <w:rFonts w:ascii="Arial" w:cs="Arial" w:eastAsia="Arial" w:hAnsi="Arial"/>
          <w:sz w:val="16"/>
          <w:szCs w:val="16"/>
          <w:color w:val="auto"/>
        </w:rPr>
      </w:pPr>
      <w:r>
        <w:rPr>
          <w:rFonts w:ascii="Arial" w:cs="Arial" w:eastAsia="Arial" w:hAnsi="Arial"/>
          <w:sz w:val="16"/>
          <w:szCs w:val="16"/>
          <w:color w:val="auto"/>
        </w:rPr>
        <w:t>The impairment loss is calculated using the expected credit loss approach, and recognized in the consolidated income statement in the item “Net gain on securities” for investments and in the item “Provision for credit losses on loan portfolio” for loans.</w:t>
      </w:r>
    </w:p>
    <w:p>
      <w:pPr>
        <w:spacing w:after="0" w:line="346" w:lineRule="exact"/>
        <w:rPr>
          <w:rFonts w:ascii="Arial" w:cs="Arial" w:eastAsia="Arial" w:hAnsi="Arial"/>
          <w:sz w:val="16"/>
          <w:szCs w:val="16"/>
          <w:color w:val="auto"/>
        </w:rPr>
      </w:pPr>
    </w:p>
    <w:p>
      <w:pPr>
        <w:ind w:left="5080" w:hanging="91"/>
        <w:spacing w:after="0"/>
        <w:tabs>
          <w:tab w:leader="none" w:pos="50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4" w:right="239" w:bottom="1440" w:gutter="0" w:footer="0" w:header="0"/>
        </w:sectPr>
      </w:pPr>
    </w:p>
    <w:bookmarkStart w:id="42" w:name="page43"/>
    <w:bookmarkEnd w:id="42"/>
    <w:p>
      <w:pPr>
        <w:ind w:left="276"/>
        <w:spacing w:after="0"/>
        <w:rPr>
          <w:sz w:val="20"/>
          <w:szCs w:val="20"/>
          <w:color w:val="auto"/>
        </w:rPr>
      </w:pPr>
      <w:r>
        <w:rPr>
          <w:rFonts w:ascii="Arial" w:cs="Arial" w:eastAsia="Arial" w:hAnsi="Arial"/>
          <w:sz w:val="14"/>
          <w:szCs w:val="14"/>
          <w:color w:val="auto"/>
        </w:rPr>
        <w:t>The balance of the financial assets, measured at amortized cost, is presented net of the provision for credit losses in the consolidated statement of financial position.</w:t>
      </w:r>
    </w:p>
    <w:p>
      <w:pPr>
        <w:spacing w:after="0" w:line="218" w:lineRule="exact"/>
        <w:rPr>
          <w:sz w:val="20"/>
          <w:szCs w:val="20"/>
          <w:color w:val="auto"/>
        </w:rPr>
      </w:pPr>
    </w:p>
    <w:p>
      <w:pPr>
        <w:ind w:left="276"/>
        <w:spacing w:after="0"/>
        <w:rPr>
          <w:sz w:val="20"/>
          <w:szCs w:val="20"/>
          <w:color w:val="auto"/>
        </w:rPr>
      </w:pPr>
      <w:r>
        <w:rPr>
          <w:rFonts w:ascii="Arial" w:cs="Arial" w:eastAsia="Arial" w:hAnsi="Arial"/>
          <w:sz w:val="16"/>
          <w:szCs w:val="16"/>
          <w:color w:val="auto"/>
        </w:rPr>
        <w:t>The accounting treatment of repurchase and reverse repurchase agreements and securities lending and borrowing is explained in Note 3(f)(viii).</w:t>
      </w:r>
    </w:p>
    <w:p>
      <w:pPr>
        <w:spacing w:after="0" w:line="195" w:lineRule="exact"/>
        <w:rPr>
          <w:sz w:val="20"/>
          <w:szCs w:val="20"/>
          <w:color w:val="auto"/>
        </w:rPr>
      </w:pPr>
    </w:p>
    <w:p>
      <w:pPr>
        <w:ind w:left="276" w:hanging="276"/>
        <w:spacing w:after="0"/>
        <w:tabs>
          <w:tab w:leader="none" w:pos="2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Financial assets at fair value through other comprehensive income -</w:t>
      </w:r>
    </w:p>
    <w:p>
      <w:pPr>
        <w:spacing w:after="0" w:line="195" w:lineRule="exact"/>
        <w:rPr>
          <w:rFonts w:ascii="Arial" w:cs="Arial" w:eastAsia="Arial" w:hAnsi="Arial"/>
          <w:sz w:val="16"/>
          <w:szCs w:val="16"/>
          <w:color w:val="auto"/>
        </w:rPr>
      </w:pPr>
    </w:p>
    <w:p>
      <w:pPr>
        <w:ind w:left="276" w:right="40"/>
        <w:spacing w:after="0" w:line="258" w:lineRule="auto"/>
        <w:rPr>
          <w:rFonts w:ascii="Arial" w:cs="Arial" w:eastAsia="Arial" w:hAnsi="Arial"/>
          <w:sz w:val="16"/>
          <w:szCs w:val="16"/>
          <w:color w:val="auto"/>
        </w:rPr>
      </w:pPr>
      <w:r>
        <w:rPr>
          <w:rFonts w:ascii="Arial" w:cs="Arial" w:eastAsia="Arial" w:hAnsi="Arial"/>
          <w:sz w:val="16"/>
          <w:szCs w:val="16"/>
          <w:color w:val="auto"/>
        </w:rPr>
        <w:t>A financial asset is classified and measured at fair value through other comprehensive income if: a) the financial asset is maintained within a business model whose objective is achieved by both collecting contractual cash flows and selling financial assets, and b) the contractual conditions give rise, on specified dates, to cash flows that are solely payments of principal and interest.</w:t>
      </w:r>
    </w:p>
    <w:p>
      <w:pPr>
        <w:spacing w:after="0" w:line="165" w:lineRule="exact"/>
        <w:rPr>
          <w:rFonts w:ascii="Arial" w:cs="Arial" w:eastAsia="Arial" w:hAnsi="Arial"/>
          <w:sz w:val="16"/>
          <w:szCs w:val="16"/>
          <w:color w:val="auto"/>
        </w:rPr>
      </w:pPr>
    </w:p>
    <w:p>
      <w:pPr>
        <w:ind w:left="276" w:right="540"/>
        <w:spacing w:after="0" w:line="269" w:lineRule="auto"/>
        <w:rPr>
          <w:rFonts w:ascii="Arial" w:cs="Arial" w:eastAsia="Arial" w:hAnsi="Arial"/>
          <w:sz w:val="16"/>
          <w:szCs w:val="16"/>
          <w:color w:val="auto"/>
        </w:rPr>
      </w:pPr>
      <w:r>
        <w:rPr>
          <w:rFonts w:ascii="Arial" w:cs="Arial" w:eastAsia="Arial" w:hAnsi="Arial"/>
          <w:sz w:val="16"/>
          <w:szCs w:val="16"/>
          <w:color w:val="auto"/>
        </w:rPr>
        <w:t>The financial assets that the Group maintains in this category are: a) investments in debt instruments, and b) investments in equity instruments, not for trading, irrevocably designated at initial recognition.</w:t>
      </w:r>
    </w:p>
    <w:p>
      <w:pPr>
        <w:spacing w:after="0" w:line="156"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Investments in debt instruments -</w:t>
      </w:r>
    </w:p>
    <w:p>
      <w:pPr>
        <w:spacing w:after="0" w:line="195" w:lineRule="exact"/>
        <w:rPr>
          <w:rFonts w:ascii="Arial" w:cs="Arial" w:eastAsia="Arial" w:hAnsi="Arial"/>
          <w:sz w:val="16"/>
          <w:szCs w:val="16"/>
          <w:color w:val="auto"/>
        </w:rPr>
      </w:pPr>
    </w:p>
    <w:p>
      <w:pPr>
        <w:ind w:left="276" w:right="200"/>
        <w:spacing w:after="0" w:line="258" w:lineRule="auto"/>
        <w:rPr>
          <w:rFonts w:ascii="Arial" w:cs="Arial" w:eastAsia="Arial" w:hAnsi="Arial"/>
          <w:sz w:val="16"/>
          <w:szCs w:val="16"/>
          <w:color w:val="auto"/>
        </w:rPr>
      </w:pPr>
      <w:r>
        <w:rPr>
          <w:rFonts w:ascii="Arial" w:cs="Arial" w:eastAsia="Arial" w:hAnsi="Arial"/>
          <w:sz w:val="16"/>
          <w:szCs w:val="16"/>
          <w:color w:val="auto"/>
        </w:rPr>
        <w:t>After their initial recognition, investments in debt instruments are measured at fair value, recording the unrealized gains and losses in the consolidated statement of comprehensive income, net of their corresponding income tax and non-controlling interest, until the investment is sold; upon which the accumulated profit or loss is recognized in the item “Net gain on securities” of the consolidated statement of income.</w:t>
      </w:r>
    </w:p>
    <w:p>
      <w:pPr>
        <w:spacing w:after="0" w:line="165" w:lineRule="exact"/>
        <w:rPr>
          <w:rFonts w:ascii="Arial" w:cs="Arial" w:eastAsia="Arial" w:hAnsi="Arial"/>
          <w:sz w:val="16"/>
          <w:szCs w:val="16"/>
          <w:color w:val="auto"/>
        </w:rPr>
      </w:pPr>
    </w:p>
    <w:p>
      <w:pPr>
        <w:ind w:left="276" w:right="60"/>
        <w:spacing w:after="0" w:line="269" w:lineRule="auto"/>
        <w:rPr>
          <w:rFonts w:ascii="Arial" w:cs="Arial" w:eastAsia="Arial" w:hAnsi="Arial"/>
          <w:sz w:val="16"/>
          <w:szCs w:val="16"/>
          <w:color w:val="auto"/>
        </w:rPr>
      </w:pPr>
      <w:r>
        <w:rPr>
          <w:rFonts w:ascii="Arial" w:cs="Arial" w:eastAsia="Arial" w:hAnsi="Arial"/>
          <w:sz w:val="16"/>
          <w:szCs w:val="16"/>
          <w:color w:val="auto"/>
        </w:rPr>
        <w:t>Interest is recognized in the consolidated statement of income in the item “Interest and similar income” and it is reported as interest income using the effective interest rate method.</w:t>
      </w:r>
    </w:p>
    <w:p>
      <w:pPr>
        <w:spacing w:after="0" w:line="156" w:lineRule="exact"/>
        <w:rPr>
          <w:rFonts w:ascii="Arial" w:cs="Arial" w:eastAsia="Arial" w:hAnsi="Arial"/>
          <w:sz w:val="16"/>
          <w:szCs w:val="16"/>
          <w:color w:val="auto"/>
        </w:rPr>
      </w:pPr>
    </w:p>
    <w:p>
      <w:pPr>
        <w:ind w:left="276" w:right="380"/>
        <w:spacing w:after="0" w:line="269" w:lineRule="auto"/>
        <w:rPr>
          <w:rFonts w:ascii="Arial" w:cs="Arial" w:eastAsia="Arial" w:hAnsi="Arial"/>
          <w:sz w:val="16"/>
          <w:szCs w:val="16"/>
          <w:color w:val="auto"/>
        </w:rPr>
      </w:pPr>
      <w:r>
        <w:rPr>
          <w:rFonts w:ascii="Arial" w:cs="Arial" w:eastAsia="Arial" w:hAnsi="Arial"/>
          <w:sz w:val="16"/>
          <w:szCs w:val="16"/>
          <w:color w:val="auto"/>
        </w:rPr>
        <w:t>When a debt instrument is designated in a fair value hedging relationship, any change in the fair value due to changes in the hedged risk is recognized in the item “Interest and similar income” of the consolidated statement of income.</w:t>
      </w:r>
    </w:p>
    <w:p>
      <w:pPr>
        <w:spacing w:after="0" w:line="156" w:lineRule="exact"/>
        <w:rPr>
          <w:rFonts w:ascii="Arial" w:cs="Arial" w:eastAsia="Arial" w:hAnsi="Arial"/>
          <w:sz w:val="16"/>
          <w:szCs w:val="16"/>
          <w:color w:val="auto"/>
        </w:rPr>
      </w:pPr>
    </w:p>
    <w:p>
      <w:pPr>
        <w:ind w:left="276" w:right="100"/>
        <w:spacing w:after="0" w:line="258" w:lineRule="auto"/>
        <w:rPr>
          <w:rFonts w:ascii="Arial" w:cs="Arial" w:eastAsia="Arial" w:hAnsi="Arial"/>
          <w:sz w:val="16"/>
          <w:szCs w:val="16"/>
          <w:color w:val="auto"/>
        </w:rPr>
      </w:pPr>
      <w:r>
        <w:rPr>
          <w:rFonts w:ascii="Arial" w:cs="Arial" w:eastAsia="Arial" w:hAnsi="Arial"/>
          <w:sz w:val="16"/>
          <w:szCs w:val="16"/>
          <w:color w:val="auto"/>
        </w:rPr>
        <w:t>The gains or losses due to exchange differences related to the amortized cost of the debt instrument are recognized in the consolidated statement of income, and those related to the difference between the amortized cost and the fair value are recognized as part of the unrealized gain or loss in the consolidated statement of comprehensive income.</w:t>
      </w:r>
    </w:p>
    <w:p>
      <w:pPr>
        <w:spacing w:after="0" w:line="165" w:lineRule="exact"/>
        <w:rPr>
          <w:rFonts w:ascii="Arial" w:cs="Arial" w:eastAsia="Arial" w:hAnsi="Arial"/>
          <w:sz w:val="16"/>
          <w:szCs w:val="16"/>
          <w:color w:val="auto"/>
        </w:rPr>
      </w:pPr>
    </w:p>
    <w:p>
      <w:pPr>
        <w:ind w:left="276"/>
        <w:spacing w:after="0" w:line="269" w:lineRule="auto"/>
        <w:rPr>
          <w:rFonts w:ascii="Arial" w:cs="Arial" w:eastAsia="Arial" w:hAnsi="Arial"/>
          <w:sz w:val="16"/>
          <w:szCs w:val="16"/>
          <w:color w:val="auto"/>
        </w:rPr>
      </w:pPr>
      <w:r>
        <w:rPr>
          <w:rFonts w:ascii="Arial" w:cs="Arial" w:eastAsia="Arial" w:hAnsi="Arial"/>
          <w:sz w:val="16"/>
          <w:szCs w:val="16"/>
          <w:color w:val="auto"/>
        </w:rPr>
        <w:t>The estimated fair value of the investments in debt instruments is mainly determined based on quotations or, in their absence, based on the discounted cash flows using market rates in accordance with the credit quality and the maturity term of the investment.</w:t>
      </w:r>
    </w:p>
    <w:p>
      <w:pPr>
        <w:spacing w:after="0" w:line="156" w:lineRule="exact"/>
        <w:rPr>
          <w:rFonts w:ascii="Arial" w:cs="Arial" w:eastAsia="Arial" w:hAnsi="Arial"/>
          <w:sz w:val="16"/>
          <w:szCs w:val="16"/>
          <w:color w:val="auto"/>
        </w:rPr>
      </w:pPr>
    </w:p>
    <w:p>
      <w:pPr>
        <w:ind w:left="276" w:right="120"/>
        <w:spacing w:after="0" w:line="277" w:lineRule="auto"/>
        <w:rPr>
          <w:rFonts w:ascii="Arial" w:cs="Arial" w:eastAsia="Arial" w:hAnsi="Arial"/>
          <w:sz w:val="16"/>
          <w:szCs w:val="16"/>
          <w:color w:val="auto"/>
        </w:rPr>
      </w:pPr>
      <w:r>
        <w:rPr>
          <w:rFonts w:ascii="Arial" w:cs="Arial" w:eastAsia="Arial" w:hAnsi="Arial"/>
          <w:sz w:val="15"/>
          <w:szCs w:val="15"/>
          <w:color w:val="auto"/>
        </w:rPr>
        <w:t>The impairment loss of investments in debt instruments is calculated using the expected loss approach and is recognized in the consolidated statement of comprehensive income, charged to the item “Net gain on securities” of the consolidated statement of income; in this sense, it does not reduce the carrying amount of the financial asset in the consolidated statement of financial position, which is maintained at fair value. The impairment loss recognized in the consolidated statement of comprehensive income is reclassified to the consolidated statement of income when the debt instrument is derecognized.</w:t>
      </w:r>
    </w:p>
    <w:p>
      <w:pPr>
        <w:spacing w:after="0" w:line="151"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Investments in equity instruments, not for trading, designated upon initial recognition -</w:t>
      </w:r>
    </w:p>
    <w:p>
      <w:pPr>
        <w:spacing w:after="0" w:line="195" w:lineRule="exact"/>
        <w:rPr>
          <w:rFonts w:ascii="Arial" w:cs="Arial" w:eastAsia="Arial" w:hAnsi="Arial"/>
          <w:sz w:val="16"/>
          <w:szCs w:val="16"/>
          <w:color w:val="auto"/>
        </w:rPr>
      </w:pPr>
    </w:p>
    <w:p>
      <w:pPr>
        <w:ind w:left="276" w:right="380"/>
        <w:spacing w:after="0" w:line="269" w:lineRule="auto"/>
        <w:rPr>
          <w:rFonts w:ascii="Arial" w:cs="Arial" w:eastAsia="Arial" w:hAnsi="Arial"/>
          <w:sz w:val="16"/>
          <w:szCs w:val="16"/>
          <w:color w:val="auto"/>
        </w:rPr>
      </w:pPr>
      <w:r>
        <w:rPr>
          <w:rFonts w:ascii="Arial" w:cs="Arial" w:eastAsia="Arial" w:hAnsi="Arial"/>
          <w:sz w:val="16"/>
          <w:szCs w:val="16"/>
          <w:color w:val="auto"/>
        </w:rPr>
        <w:t>At the moment of their initial recognition, the Group can make an irrevocable choice to present the equity instruments, which are not for trading, but for strategic purposes, in the category “At fair value through other comprehensive income”.</w:t>
      </w:r>
    </w:p>
    <w:p>
      <w:pPr>
        <w:spacing w:after="0" w:line="346" w:lineRule="exact"/>
        <w:rPr>
          <w:rFonts w:ascii="Arial" w:cs="Arial" w:eastAsia="Arial" w:hAnsi="Arial"/>
          <w:sz w:val="16"/>
          <w:szCs w:val="16"/>
          <w:color w:val="auto"/>
        </w:rPr>
      </w:pPr>
    </w:p>
    <w:p>
      <w:pPr>
        <w:ind w:left="5076" w:hanging="91"/>
        <w:spacing w:after="0"/>
        <w:tabs>
          <w:tab w:leader="none" w:pos="5076" w:val="left"/>
        </w:tabs>
        <w:numPr>
          <w:ilvl w:val="1"/>
          <w:numId w:val="38"/>
        </w:numPr>
        <w:rPr>
          <w:rFonts w:ascii="Arial" w:cs="Arial" w:eastAsia="Arial" w:hAnsi="Arial"/>
          <w:sz w:val="16"/>
          <w:szCs w:val="16"/>
          <w:color w:val="auto"/>
        </w:rPr>
      </w:pPr>
      <w:r>
        <w:rPr>
          <w:rFonts w:ascii="Arial" w:cs="Arial" w:eastAsia="Arial" w:hAnsi="Arial"/>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56"/>
          </w:cols>
          <w:pgMar w:left="804" w:top="814" w:right="239" w:bottom="1440" w:gutter="0" w:footer="0" w:header="0"/>
        </w:sectPr>
      </w:pPr>
    </w:p>
    <w:bookmarkStart w:id="43" w:name="page44"/>
    <w:bookmarkEnd w:id="43"/>
    <w:p>
      <w:pPr>
        <w:ind w:left="276" w:right="280"/>
        <w:spacing w:after="0" w:line="254" w:lineRule="auto"/>
        <w:rPr>
          <w:sz w:val="20"/>
          <w:szCs w:val="20"/>
          <w:color w:val="auto"/>
        </w:rPr>
      </w:pPr>
      <w:r>
        <w:rPr>
          <w:rFonts w:ascii="Arial" w:cs="Arial" w:eastAsia="Arial" w:hAnsi="Arial"/>
          <w:sz w:val="16"/>
          <w:szCs w:val="16"/>
          <w:color w:val="auto"/>
        </w:rPr>
        <w:t>After their initial recognition, the equity investments are measured at fair value, recording the unrealized gains and losses in the consolidated statement of comprehensive income, net of their corresponding income tax and non-controlling interest, until the investment is sold, whereupon the accumulated gain or loss is transferred to the item “Retained earnings” of the consolidated statement of changes in equity; in other words, they are not subsequently reclassified to the consolidated statement of income.</w:t>
      </w:r>
    </w:p>
    <w:p>
      <w:pPr>
        <w:spacing w:after="0" w:line="169" w:lineRule="exact"/>
        <w:rPr>
          <w:sz w:val="20"/>
          <w:szCs w:val="20"/>
          <w:color w:val="auto"/>
        </w:rPr>
      </w:pPr>
    </w:p>
    <w:p>
      <w:pPr>
        <w:ind w:left="276"/>
        <w:spacing w:after="0"/>
        <w:rPr>
          <w:sz w:val="20"/>
          <w:szCs w:val="20"/>
          <w:color w:val="auto"/>
        </w:rPr>
      </w:pPr>
      <w:r>
        <w:rPr>
          <w:rFonts w:ascii="Arial" w:cs="Arial" w:eastAsia="Arial" w:hAnsi="Arial"/>
          <w:sz w:val="16"/>
          <w:szCs w:val="16"/>
          <w:color w:val="auto"/>
        </w:rPr>
        <w:t>As a result, the equity instruments classified in this category do not require a loss impairment evaluation.</w:t>
      </w:r>
    </w:p>
    <w:p>
      <w:pPr>
        <w:spacing w:after="0" w:line="195" w:lineRule="exact"/>
        <w:rPr>
          <w:sz w:val="20"/>
          <w:szCs w:val="20"/>
          <w:color w:val="auto"/>
        </w:rPr>
      </w:pPr>
    </w:p>
    <w:p>
      <w:pPr>
        <w:ind w:left="276" w:right="60"/>
        <w:spacing w:after="0" w:line="269" w:lineRule="auto"/>
        <w:rPr>
          <w:sz w:val="20"/>
          <w:szCs w:val="20"/>
          <w:color w:val="auto"/>
        </w:rPr>
      </w:pPr>
      <w:r>
        <w:rPr>
          <w:rFonts w:ascii="Arial" w:cs="Arial" w:eastAsia="Arial" w:hAnsi="Arial"/>
          <w:sz w:val="16"/>
          <w:szCs w:val="16"/>
          <w:color w:val="auto"/>
        </w:rPr>
        <w:t>Dividends are recognized when the collection right has been established and they are recorded in the item “Interest and similar income” of the consolidated statement of income.</w:t>
      </w:r>
    </w:p>
    <w:p>
      <w:pPr>
        <w:spacing w:after="0" w:line="157" w:lineRule="exact"/>
        <w:rPr>
          <w:sz w:val="20"/>
          <w:szCs w:val="20"/>
          <w:color w:val="auto"/>
        </w:rPr>
      </w:pPr>
    </w:p>
    <w:p>
      <w:pPr>
        <w:ind w:left="276" w:hanging="276"/>
        <w:spacing w:after="0"/>
        <w:tabs>
          <w:tab w:leader="none" w:pos="2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Financial assets at fair value through profit or loss -</w:t>
      </w:r>
    </w:p>
    <w:p>
      <w:pPr>
        <w:spacing w:after="0" w:line="195" w:lineRule="exact"/>
        <w:rPr>
          <w:rFonts w:ascii="Arial" w:cs="Arial" w:eastAsia="Arial" w:hAnsi="Arial"/>
          <w:sz w:val="16"/>
          <w:szCs w:val="16"/>
          <w:color w:val="auto"/>
        </w:rPr>
      </w:pPr>
    </w:p>
    <w:p>
      <w:pPr>
        <w:ind w:left="276" w:right="340"/>
        <w:spacing w:after="0" w:line="269" w:lineRule="auto"/>
        <w:rPr>
          <w:rFonts w:ascii="Arial" w:cs="Arial" w:eastAsia="Arial" w:hAnsi="Arial"/>
          <w:sz w:val="16"/>
          <w:szCs w:val="16"/>
          <w:color w:val="auto"/>
        </w:rPr>
      </w:pPr>
      <w:r>
        <w:rPr>
          <w:rFonts w:ascii="Arial" w:cs="Arial" w:eastAsia="Arial" w:hAnsi="Arial"/>
          <w:sz w:val="16"/>
          <w:szCs w:val="16"/>
          <w:color w:val="auto"/>
        </w:rPr>
        <w:t>Financial assets must be classified and measured at fair value through profit or loss, unless they are classified and measured at “Amortized cost” or “At fair value through other comprehensive income”.</w:t>
      </w:r>
    </w:p>
    <w:p>
      <w:pPr>
        <w:spacing w:after="0" w:line="156" w:lineRule="exact"/>
        <w:rPr>
          <w:rFonts w:ascii="Arial" w:cs="Arial" w:eastAsia="Arial" w:hAnsi="Arial"/>
          <w:sz w:val="16"/>
          <w:szCs w:val="16"/>
          <w:color w:val="auto"/>
        </w:rPr>
      </w:pPr>
    </w:p>
    <w:p>
      <w:pPr>
        <w:ind w:left="276" w:right="280"/>
        <w:spacing w:after="0" w:line="342" w:lineRule="auto"/>
        <w:rPr>
          <w:rFonts w:ascii="Arial" w:cs="Arial" w:eastAsia="Arial" w:hAnsi="Arial"/>
          <w:sz w:val="16"/>
          <w:szCs w:val="16"/>
          <w:color w:val="auto"/>
        </w:rPr>
      </w:pPr>
      <w:r>
        <w:rPr>
          <w:rFonts w:ascii="Arial" w:cs="Arial" w:eastAsia="Arial" w:hAnsi="Arial"/>
          <w:sz w:val="14"/>
          <w:szCs w:val="14"/>
          <w:color w:val="auto"/>
        </w:rPr>
        <w:t>The financial assets that the Group maintains in this category are: a) Investments in debt instruments, b) investments in equity instruments for trading purposes, c) financial assets designated at fair value through profit or loss from their initial recognition, and d) derivative financial instruments for trading purposes.</w:t>
      </w:r>
    </w:p>
    <w:p>
      <w:pPr>
        <w:spacing w:after="0" w:line="110"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Debt instruments -</w:t>
      </w:r>
    </w:p>
    <w:p>
      <w:pPr>
        <w:spacing w:after="0" w:line="195" w:lineRule="exact"/>
        <w:rPr>
          <w:rFonts w:ascii="Arial" w:cs="Arial" w:eastAsia="Arial" w:hAnsi="Arial"/>
          <w:sz w:val="16"/>
          <w:szCs w:val="16"/>
          <w:color w:val="auto"/>
        </w:rPr>
      </w:pPr>
    </w:p>
    <w:p>
      <w:pPr>
        <w:ind w:left="276" w:right="420"/>
        <w:spacing w:after="0" w:line="269" w:lineRule="auto"/>
        <w:rPr>
          <w:rFonts w:ascii="Arial" w:cs="Arial" w:eastAsia="Arial" w:hAnsi="Arial"/>
          <w:sz w:val="16"/>
          <w:szCs w:val="16"/>
          <w:color w:val="auto"/>
        </w:rPr>
      </w:pPr>
      <w:r>
        <w:rPr>
          <w:rFonts w:ascii="Arial" w:cs="Arial" w:eastAsia="Arial" w:hAnsi="Arial"/>
          <w:sz w:val="16"/>
          <w:szCs w:val="16"/>
          <w:color w:val="auto"/>
        </w:rPr>
        <w:t>Said instruments are classified in this category since: a) they are maintained for trading purposes, or b) their cash flows are not solely payments of principal and interest.</w:t>
      </w:r>
    </w:p>
    <w:p>
      <w:pPr>
        <w:spacing w:after="0" w:line="156" w:lineRule="exact"/>
        <w:rPr>
          <w:rFonts w:ascii="Arial" w:cs="Arial" w:eastAsia="Arial" w:hAnsi="Arial"/>
          <w:sz w:val="16"/>
          <w:szCs w:val="16"/>
          <w:color w:val="auto"/>
        </w:rPr>
      </w:pPr>
    </w:p>
    <w:p>
      <w:pPr>
        <w:ind w:left="276" w:right="100"/>
        <w:spacing w:after="0" w:line="269" w:lineRule="auto"/>
        <w:rPr>
          <w:rFonts w:ascii="Arial" w:cs="Arial" w:eastAsia="Arial" w:hAnsi="Arial"/>
          <w:sz w:val="16"/>
          <w:szCs w:val="16"/>
          <w:color w:val="auto"/>
        </w:rPr>
      </w:pPr>
      <w:r>
        <w:rPr>
          <w:rFonts w:ascii="Arial" w:cs="Arial" w:eastAsia="Arial" w:hAnsi="Arial"/>
          <w:sz w:val="16"/>
          <w:szCs w:val="16"/>
          <w:color w:val="auto"/>
        </w:rPr>
        <w:t>After their initial recognition they are measured at fair value, recording the changes in the item “Net gain on securities” of the consolidated statement of income. The interest earned is accrued in the item “Interest and similar income” of the consolidated statement of income.</w:t>
      </w:r>
    </w:p>
    <w:p>
      <w:pPr>
        <w:spacing w:after="0" w:line="156"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Equity instruments -</w:t>
      </w:r>
    </w:p>
    <w:p>
      <w:pPr>
        <w:spacing w:after="0" w:line="195" w:lineRule="exact"/>
        <w:rPr>
          <w:rFonts w:ascii="Arial" w:cs="Arial" w:eastAsia="Arial" w:hAnsi="Arial"/>
          <w:sz w:val="16"/>
          <w:szCs w:val="16"/>
          <w:color w:val="auto"/>
        </w:rPr>
      </w:pPr>
    </w:p>
    <w:p>
      <w:pPr>
        <w:ind w:left="276" w:right="60"/>
        <w:spacing w:after="0" w:line="269" w:lineRule="auto"/>
        <w:rPr>
          <w:rFonts w:ascii="Arial" w:cs="Arial" w:eastAsia="Arial" w:hAnsi="Arial"/>
          <w:sz w:val="16"/>
          <w:szCs w:val="16"/>
          <w:color w:val="auto"/>
        </w:rPr>
      </w:pPr>
      <w:r>
        <w:rPr>
          <w:rFonts w:ascii="Arial" w:cs="Arial" w:eastAsia="Arial" w:hAnsi="Arial"/>
          <w:sz w:val="16"/>
          <w:szCs w:val="16"/>
          <w:color w:val="auto"/>
        </w:rPr>
        <w:t>Equity instruments are classified and measured at fair value through profit or loss, unless an irrevocable choice is made, at the time of initial recognition, to designate them at fair value through other comprehensive income.</w:t>
      </w:r>
    </w:p>
    <w:p>
      <w:pPr>
        <w:spacing w:after="0" w:line="156" w:lineRule="exact"/>
        <w:rPr>
          <w:rFonts w:ascii="Arial" w:cs="Arial" w:eastAsia="Arial" w:hAnsi="Arial"/>
          <w:sz w:val="16"/>
          <w:szCs w:val="16"/>
          <w:color w:val="auto"/>
        </w:rPr>
      </w:pPr>
    </w:p>
    <w:p>
      <w:pPr>
        <w:ind w:left="276"/>
        <w:spacing w:after="0" w:line="269" w:lineRule="auto"/>
        <w:rPr>
          <w:rFonts w:ascii="Arial" w:cs="Arial" w:eastAsia="Arial" w:hAnsi="Arial"/>
          <w:sz w:val="16"/>
          <w:szCs w:val="16"/>
          <w:color w:val="auto"/>
        </w:rPr>
      </w:pPr>
      <w:r>
        <w:rPr>
          <w:rFonts w:ascii="Arial" w:cs="Arial" w:eastAsia="Arial" w:hAnsi="Arial"/>
          <w:sz w:val="16"/>
          <w:szCs w:val="16"/>
          <w:color w:val="auto"/>
        </w:rPr>
        <w:t>After their initial recognition, they are measured at fair value, recording the changes in the item “Net gains on securities” of the consolidated statement of income. The profit from dividends is recorded in the consolidated statement of income when the right to payment has been recognized.</w:t>
      </w:r>
    </w:p>
    <w:p>
      <w:pPr>
        <w:spacing w:after="0" w:line="156"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Financial assets designated at fair value through profit or loss from initial recognition -</w:t>
      </w:r>
    </w:p>
    <w:p>
      <w:pPr>
        <w:spacing w:after="0" w:line="195" w:lineRule="exact"/>
        <w:rPr>
          <w:rFonts w:ascii="Arial" w:cs="Arial" w:eastAsia="Arial" w:hAnsi="Arial"/>
          <w:sz w:val="16"/>
          <w:szCs w:val="16"/>
          <w:color w:val="auto"/>
        </w:rPr>
      </w:pPr>
    </w:p>
    <w:p>
      <w:pPr>
        <w:ind w:left="276" w:right="20"/>
        <w:spacing w:after="0" w:line="258" w:lineRule="auto"/>
        <w:rPr>
          <w:rFonts w:ascii="Arial" w:cs="Arial" w:eastAsia="Arial" w:hAnsi="Arial"/>
          <w:sz w:val="16"/>
          <w:szCs w:val="16"/>
          <w:color w:val="auto"/>
        </w:rPr>
      </w:pPr>
      <w:r>
        <w:rPr>
          <w:rFonts w:ascii="Arial" w:cs="Arial" w:eastAsia="Arial" w:hAnsi="Arial"/>
          <w:sz w:val="16"/>
          <w:szCs w:val="16"/>
          <w:color w:val="auto"/>
        </w:rPr>
        <w:t>Upon initial recognition, Management can irrevocably designate financial assets as measured at fair value through profit or loss, if doing so eliminates or significantly reduces an incongruence of measurement or recognition that would otherwise arise from the measurement of the assets or liabilities or from the recognition of the profit and losses thereof on different bases.</w:t>
      </w:r>
    </w:p>
    <w:p>
      <w:pPr>
        <w:spacing w:after="0" w:line="165" w:lineRule="exact"/>
        <w:rPr>
          <w:rFonts w:ascii="Arial" w:cs="Arial" w:eastAsia="Arial" w:hAnsi="Arial"/>
          <w:sz w:val="16"/>
          <w:szCs w:val="16"/>
          <w:color w:val="auto"/>
        </w:rPr>
      </w:pPr>
    </w:p>
    <w:p>
      <w:pPr>
        <w:ind w:left="276" w:right="20"/>
        <w:spacing w:after="0" w:line="269" w:lineRule="auto"/>
        <w:rPr>
          <w:rFonts w:ascii="Arial" w:cs="Arial" w:eastAsia="Arial" w:hAnsi="Arial"/>
          <w:sz w:val="16"/>
          <w:szCs w:val="16"/>
          <w:color w:val="auto"/>
        </w:rPr>
      </w:pPr>
      <w:r>
        <w:rPr>
          <w:rFonts w:ascii="Arial" w:cs="Arial" w:eastAsia="Arial" w:hAnsi="Arial"/>
          <w:sz w:val="16"/>
          <w:szCs w:val="16"/>
          <w:color w:val="auto"/>
        </w:rPr>
        <w:t>After initial recognition they are measured at fair value, recording the changes in the item “Net gain (loss) on financial assets designated at fair value through profit or loss” of the consolidated statement of income.</w:t>
      </w:r>
    </w:p>
    <w:p>
      <w:pPr>
        <w:spacing w:after="0" w:line="346" w:lineRule="exact"/>
        <w:rPr>
          <w:rFonts w:ascii="Arial" w:cs="Arial" w:eastAsia="Arial" w:hAnsi="Arial"/>
          <w:sz w:val="16"/>
          <w:szCs w:val="16"/>
          <w:color w:val="auto"/>
        </w:rPr>
      </w:pPr>
    </w:p>
    <w:p>
      <w:pPr>
        <w:ind w:left="5076" w:hanging="91"/>
        <w:spacing w:after="0"/>
        <w:tabs>
          <w:tab w:leader="none" w:pos="5076" w:val="left"/>
        </w:tabs>
        <w:numPr>
          <w:ilvl w:val="1"/>
          <w:numId w:val="39"/>
        </w:numPr>
        <w:rPr>
          <w:rFonts w:ascii="Arial" w:cs="Arial" w:eastAsia="Arial" w:hAnsi="Arial"/>
          <w:sz w:val="16"/>
          <w:szCs w:val="16"/>
          <w:color w:val="auto"/>
        </w:rPr>
      </w:pPr>
      <w:r>
        <w:rPr>
          <w:rFonts w:ascii="Arial" w:cs="Arial" w:eastAsia="Arial" w:hAnsi="Arial"/>
          <w:sz w:val="16"/>
          <w:szCs w:val="16"/>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16"/>
          </w:cols>
          <w:pgMar w:left="804" w:top="814" w:right="279" w:bottom="1440" w:gutter="0" w:footer="0" w:header="0"/>
        </w:sectPr>
      </w:pPr>
    </w:p>
    <w:bookmarkStart w:id="44" w:name="page45"/>
    <w:bookmarkEnd w:id="44"/>
    <w:p>
      <w:pPr>
        <w:ind w:right="140"/>
        <w:spacing w:after="0" w:line="269" w:lineRule="auto"/>
        <w:rPr>
          <w:sz w:val="20"/>
          <w:szCs w:val="20"/>
          <w:color w:val="auto"/>
        </w:rPr>
      </w:pPr>
      <w:r>
        <w:rPr>
          <w:rFonts w:ascii="Arial" w:cs="Arial" w:eastAsia="Arial" w:hAnsi="Arial"/>
          <w:sz w:val="16"/>
          <w:szCs w:val="16"/>
          <w:color w:val="auto"/>
        </w:rPr>
        <w:t>At December 31, 2018, the Group classified the financial liabilities upon initial recognition as measured at amortized cost, except in the case of the financial liabilities at fair value through profit or loss. These liabilities include the derivatives measured at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interest incurred is accrued in the item “Interest and similar income” of the consolidated statement of income.</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Furthermore, upon initial recognition, Management can irrevocably designate financial liabilities as measured at fair value through profit or loss when one of the following criteria is complied with:</w:t>
      </w:r>
    </w:p>
    <w:p>
      <w:pPr>
        <w:spacing w:after="0" w:line="157" w:lineRule="exact"/>
        <w:rPr>
          <w:sz w:val="20"/>
          <w:szCs w:val="20"/>
          <w:color w:val="auto"/>
        </w:rPr>
      </w:pPr>
    </w:p>
    <w:p>
      <w:pPr>
        <w:ind w:left="280" w:right="120" w:hanging="276"/>
        <w:spacing w:after="0" w:line="254" w:lineRule="auto"/>
        <w:tabs>
          <w:tab w:leader="none" w:pos="28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An incongruence in the measurement is eliminated or significantly reduced, which would otherwise arise from using different criteria to measure assets or liabilities; or</w:t>
      </w:r>
    </w:p>
    <w:p>
      <w:pPr>
        <w:ind w:left="280" w:right="100" w:hanging="276"/>
        <w:spacing w:after="0" w:line="247" w:lineRule="auto"/>
        <w:tabs>
          <w:tab w:leader="none" w:pos="28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They are part of a group of financial liabilities, which are managed and their yield is evaluated based on fair value, according to a documented investment strategy or risk management; or</w:t>
      </w:r>
    </w:p>
    <w:p>
      <w:pPr>
        <w:ind w:left="280" w:hanging="276"/>
        <w:spacing w:after="0"/>
        <w:tabs>
          <w:tab w:leader="none" w:pos="28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The financial liability contains one or more embedded derivatives that otherwise significantly modify the required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Policy applicable up to December 31, 2017 -</w:t>
      </w:r>
    </w:p>
    <w:p>
      <w:pPr>
        <w:spacing w:after="0" w:line="195" w:lineRule="exact"/>
        <w:rPr>
          <w:sz w:val="20"/>
          <w:szCs w:val="20"/>
          <w:color w:val="auto"/>
        </w:rPr>
      </w:pPr>
    </w:p>
    <w:p>
      <w:pPr>
        <w:ind w:right="240"/>
        <w:spacing w:after="0" w:line="303" w:lineRule="auto"/>
        <w:rPr>
          <w:sz w:val="20"/>
          <w:szCs w:val="20"/>
          <w:color w:val="auto"/>
        </w:rPr>
      </w:pPr>
      <w:r>
        <w:rPr>
          <w:rFonts w:ascii="Arial" w:cs="Arial" w:eastAsia="Arial" w:hAnsi="Arial"/>
          <w:sz w:val="15"/>
          <w:szCs w:val="15"/>
          <w:color w:val="auto"/>
        </w:rPr>
        <w:t>As of December 31, 2017, the Group classified its financial instruments in one of the categories defined by IAS 39: financial assets and financial liabilities at fair value through profit or loss; loans and receivables; available-for-sale financial investments; held-to-maturity financial investments and other financial liabilities.</w:t>
      </w:r>
    </w:p>
    <w:p>
      <w:pPr>
        <w:spacing w:after="0" w:line="13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classification of the financial instruments upon their initial recognition depended on the purpose and intention of the Management for which the financial instruments were acquired and their characteristics.</w:t>
      </w:r>
    </w:p>
    <w:p>
      <w:pPr>
        <w:spacing w:after="0" w:line="157" w:lineRule="exact"/>
        <w:rPr>
          <w:sz w:val="20"/>
          <w:szCs w:val="20"/>
          <w:color w:val="auto"/>
        </w:rPr>
      </w:pPr>
    </w:p>
    <w:p>
      <w:pPr>
        <w:ind w:left="280" w:hanging="276"/>
        <w:spacing w:after="0"/>
        <w:tabs>
          <w:tab w:leader="none" w:pos="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Financial assets and liabilities at fair value through profit or loss -</w:t>
      </w:r>
    </w:p>
    <w:p>
      <w:pPr>
        <w:spacing w:after="0" w:line="195" w:lineRule="exact"/>
        <w:rPr>
          <w:rFonts w:ascii="Arial" w:cs="Arial" w:eastAsia="Arial" w:hAnsi="Arial"/>
          <w:sz w:val="16"/>
          <w:szCs w:val="16"/>
          <w:color w:val="auto"/>
        </w:rPr>
      </w:pPr>
    </w:p>
    <w:p>
      <w:pPr>
        <w:ind w:left="280" w:right="100"/>
        <w:spacing w:after="0" w:line="258" w:lineRule="auto"/>
        <w:rPr>
          <w:rFonts w:ascii="Arial" w:cs="Arial" w:eastAsia="Arial" w:hAnsi="Arial"/>
          <w:sz w:val="16"/>
          <w:szCs w:val="16"/>
          <w:color w:val="auto"/>
        </w:rPr>
      </w:pPr>
      <w:r>
        <w:rPr>
          <w:rFonts w:ascii="Arial" w:cs="Arial" w:eastAsia="Arial" w:hAnsi="Arial"/>
          <w:sz w:val="16"/>
          <w:szCs w:val="16"/>
          <w:color w:val="auto"/>
        </w:rPr>
        <w:t>Financial assets and liabilities at fair value through profit or loss included financial assets and liabilities held for trading and financial assets and liabilities designated at fair value through profit or loss, the designation of which was upon initial recognition and on an instrument by instrument basis. Derivative financial instruments were also categorized as held for trading unless they had been designated as hedging instruments.</w:t>
      </w:r>
    </w:p>
    <w:p>
      <w:pPr>
        <w:spacing w:after="0" w:line="165" w:lineRule="exact"/>
        <w:rPr>
          <w:rFonts w:ascii="Arial" w:cs="Arial" w:eastAsia="Arial" w:hAnsi="Arial"/>
          <w:sz w:val="16"/>
          <w:szCs w:val="16"/>
          <w:color w:val="auto"/>
        </w:rPr>
      </w:pPr>
    </w:p>
    <w:p>
      <w:pPr>
        <w:jc w:val="both"/>
        <w:ind w:left="280" w:right="480"/>
        <w:spacing w:after="0" w:line="342" w:lineRule="auto"/>
        <w:rPr>
          <w:rFonts w:ascii="Arial" w:cs="Arial" w:eastAsia="Arial" w:hAnsi="Arial"/>
          <w:sz w:val="16"/>
          <w:szCs w:val="16"/>
          <w:color w:val="auto"/>
        </w:rPr>
      </w:pPr>
      <w:r>
        <w:rPr>
          <w:rFonts w:ascii="Arial" w:cs="Arial" w:eastAsia="Arial" w:hAnsi="Arial"/>
          <w:sz w:val="14"/>
          <w:szCs w:val="14"/>
          <w:color w:val="auto"/>
        </w:rPr>
        <w:t>A financial asset or liability was classified as held for trading if it was acquired for the purpose of selling or repurchasing in the short term, and is presented in “Investments at fair value through profit or loss” or “Financial liabilities at fair value through profit or loss” in the consolidated statement of financial position.</w:t>
      </w:r>
    </w:p>
    <w:p>
      <w:pPr>
        <w:spacing w:after="0" w:line="110" w:lineRule="exact"/>
        <w:rPr>
          <w:rFonts w:ascii="Arial" w:cs="Arial" w:eastAsia="Arial" w:hAnsi="Arial"/>
          <w:sz w:val="16"/>
          <w:szCs w:val="16"/>
          <w:color w:val="auto"/>
        </w:rPr>
      </w:pPr>
    </w:p>
    <w:p>
      <w:pPr>
        <w:ind w:left="280" w:right="160"/>
        <w:spacing w:after="0" w:line="269" w:lineRule="auto"/>
        <w:rPr>
          <w:rFonts w:ascii="Arial" w:cs="Arial" w:eastAsia="Arial" w:hAnsi="Arial"/>
          <w:sz w:val="16"/>
          <w:szCs w:val="16"/>
          <w:color w:val="auto"/>
        </w:rPr>
      </w:pPr>
      <w:r>
        <w:rPr>
          <w:rFonts w:ascii="Arial" w:cs="Arial" w:eastAsia="Arial" w:hAnsi="Arial"/>
          <w:sz w:val="16"/>
          <w:szCs w:val="16"/>
          <w:color w:val="auto"/>
        </w:rPr>
        <w:t>Interest earned or incurred was accrued in the consolidated statement of income in “Interest and similar income” or “interest and similar expenses”, according to the terms of the contract. Dividend income was recorded when the right to payment was established.</w:t>
      </w:r>
    </w:p>
    <w:p>
      <w:pPr>
        <w:spacing w:after="0" w:line="156"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Management could designate an instrument at fair value through profit or loss upon initial recognition if the following criteria were met:</w:t>
      </w:r>
    </w:p>
    <w:p>
      <w:pPr>
        <w:spacing w:after="0" w:line="195" w:lineRule="exact"/>
        <w:rPr>
          <w:rFonts w:ascii="Arial" w:cs="Arial" w:eastAsia="Arial" w:hAnsi="Arial"/>
          <w:sz w:val="16"/>
          <w:szCs w:val="16"/>
          <w:color w:val="auto"/>
        </w:rPr>
      </w:pPr>
    </w:p>
    <w:p>
      <w:pPr>
        <w:ind w:left="580" w:right="40" w:hanging="292"/>
        <w:spacing w:after="0" w:line="269" w:lineRule="auto"/>
        <w:tabs>
          <w:tab w:leader="none" w:pos="5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designation eliminated or significantly reduced the inconsistent treatment that would otherwise arise from measuring assets or liabilities or recognizing gains or losses generated by them on a different basis; or</w:t>
      </w:r>
    </w:p>
    <w:p>
      <w:pPr>
        <w:spacing w:after="0" w:line="156" w:lineRule="exact"/>
        <w:rPr>
          <w:rFonts w:ascii="Arial" w:cs="Arial" w:eastAsia="Arial" w:hAnsi="Arial"/>
          <w:sz w:val="16"/>
          <w:szCs w:val="16"/>
          <w:color w:val="auto"/>
        </w:rPr>
      </w:pPr>
    </w:p>
    <w:p>
      <w:pPr>
        <w:ind w:left="580" w:right="200" w:hanging="292"/>
        <w:spacing w:after="0" w:line="269" w:lineRule="auto"/>
        <w:tabs>
          <w:tab w:leader="none" w:pos="5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assets and liabilities were part of a group of financial assets, financial liabilities or both which were managed and evaluated based on the yield on their fair value, in accordance with a documented risk management or investment strategy; or</w:t>
      </w:r>
    </w:p>
    <w:p>
      <w:pPr>
        <w:spacing w:after="0" w:line="156" w:lineRule="exact"/>
        <w:rPr>
          <w:rFonts w:ascii="Arial" w:cs="Arial" w:eastAsia="Arial" w:hAnsi="Arial"/>
          <w:sz w:val="16"/>
          <w:szCs w:val="16"/>
          <w:color w:val="auto"/>
        </w:rPr>
      </w:pPr>
    </w:p>
    <w:p>
      <w:pPr>
        <w:ind w:left="580" w:right="240" w:hanging="292"/>
        <w:spacing w:after="0" w:line="269" w:lineRule="auto"/>
        <w:tabs>
          <w:tab w:leader="none" w:pos="5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contract contained one or more embedded derivatives which significantly modified the cash flows that might otherwise be required by the contract and their separation was not prohibited by IAS 39. In this case, the entire contract was designated at fair value through profit or loss.</w:t>
      </w:r>
    </w:p>
    <w:p>
      <w:pPr>
        <w:spacing w:after="0" w:line="346" w:lineRule="exact"/>
        <w:rPr>
          <w:rFonts w:ascii="Arial" w:cs="Arial" w:eastAsia="Arial" w:hAnsi="Arial"/>
          <w:sz w:val="16"/>
          <w:szCs w:val="16"/>
          <w:color w:val="auto"/>
        </w:rPr>
      </w:pPr>
    </w:p>
    <w:p>
      <w:pPr>
        <w:ind w:left="5080" w:hanging="91"/>
        <w:spacing w:after="0"/>
        <w:tabs>
          <w:tab w:leader="none" w:pos="5080" w:val="left"/>
        </w:tabs>
        <w:numPr>
          <w:ilvl w:val="2"/>
          <w:numId w:val="41"/>
        </w:numPr>
        <w:rPr>
          <w:rFonts w:ascii="Arial" w:cs="Arial" w:eastAsia="Arial" w:hAnsi="Arial"/>
          <w:sz w:val="16"/>
          <w:szCs w:val="16"/>
          <w:color w:val="auto"/>
        </w:rPr>
      </w:pPr>
      <w:r>
        <w:rPr>
          <w:rFonts w:ascii="Arial" w:cs="Arial" w:eastAsia="Arial" w:hAnsi="Arial"/>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20"/>
          </w:cols>
          <w:pgMar w:left="800" w:top="815" w:right="279" w:bottom="1440" w:gutter="0" w:footer="0" w:header="0"/>
        </w:sectPr>
      </w:pPr>
    </w:p>
    <w:bookmarkStart w:id="45" w:name="page46"/>
    <w:bookmarkEnd w:id="45"/>
    <w:p>
      <w:pPr>
        <w:ind w:left="276" w:right="80"/>
        <w:spacing w:after="0" w:line="269" w:lineRule="auto"/>
        <w:rPr>
          <w:sz w:val="20"/>
          <w:szCs w:val="20"/>
          <w:color w:val="auto"/>
        </w:rPr>
      </w:pPr>
      <w:r>
        <w:rPr>
          <w:rFonts w:ascii="Arial" w:cs="Arial" w:eastAsia="Arial" w:hAnsi="Arial"/>
          <w:sz w:val="16"/>
          <w:szCs w:val="16"/>
          <w:color w:val="auto"/>
        </w:rPr>
        <w:t>Changes in fair value of a financial asset designated through profit or loss were recorded in “Net gain (loss) on financial assets designated at fair value through profit or loss” of the consolidated statement of income.</w:t>
      </w:r>
    </w:p>
    <w:p>
      <w:pPr>
        <w:spacing w:after="0" w:line="157" w:lineRule="exact"/>
        <w:rPr>
          <w:sz w:val="20"/>
          <w:szCs w:val="20"/>
          <w:color w:val="auto"/>
        </w:rPr>
      </w:pPr>
    </w:p>
    <w:p>
      <w:pPr>
        <w:ind w:left="276" w:hanging="276"/>
        <w:spacing w:after="0"/>
        <w:tabs>
          <w:tab w:leader="none" w:pos="2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Loans and receivables -</w:t>
      </w:r>
    </w:p>
    <w:p>
      <w:pPr>
        <w:spacing w:after="0" w:line="195"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Loans and receivables were non-derivative financial assets with fixed or determinable payments that were not quoted in an active market.</w:t>
      </w:r>
    </w:p>
    <w:p>
      <w:pPr>
        <w:spacing w:after="0" w:line="195" w:lineRule="exact"/>
        <w:rPr>
          <w:rFonts w:ascii="Arial" w:cs="Arial" w:eastAsia="Arial" w:hAnsi="Arial"/>
          <w:sz w:val="16"/>
          <w:szCs w:val="16"/>
          <w:color w:val="auto"/>
        </w:rPr>
      </w:pPr>
    </w:p>
    <w:p>
      <w:pPr>
        <w:ind w:left="276"/>
        <w:spacing w:after="0" w:line="254" w:lineRule="auto"/>
        <w:rPr>
          <w:rFonts w:ascii="Arial" w:cs="Arial" w:eastAsia="Arial" w:hAnsi="Arial"/>
          <w:sz w:val="16"/>
          <w:szCs w:val="16"/>
          <w:color w:val="auto"/>
        </w:rPr>
      </w:pPr>
      <w:r>
        <w:rPr>
          <w:rFonts w:ascii="Arial" w:cs="Arial" w:eastAsia="Arial" w:hAnsi="Arial"/>
          <w:sz w:val="16"/>
          <w:szCs w:val="16"/>
          <w:color w:val="auto"/>
        </w:rPr>
        <w:t>After initial recognition, loans and receivables were measured at amortized cost using the effective interest rate method, less any provision for impairment. Amortized cost was calculated by taking into account any discount or premium on acquisition and fees or costs that were an integral part of the effective interest rate. The effective interest rate amortization was recognized in the consolidated statement of income in “Interest and similar income”. Losses from impairment were recognized in the consolidated statement of income in “Provision for credit losses on loan portfolio”.</w:t>
      </w:r>
    </w:p>
    <w:p>
      <w:pPr>
        <w:spacing w:after="0" w:line="169" w:lineRule="exact"/>
        <w:rPr>
          <w:rFonts w:ascii="Arial" w:cs="Arial" w:eastAsia="Arial" w:hAnsi="Arial"/>
          <w:sz w:val="16"/>
          <w:szCs w:val="16"/>
          <w:color w:val="auto"/>
        </w:rPr>
      </w:pPr>
    </w:p>
    <w:p>
      <w:pPr>
        <w:ind w:left="276"/>
        <w:spacing w:after="0" w:line="258" w:lineRule="auto"/>
        <w:rPr>
          <w:rFonts w:ascii="Arial" w:cs="Arial" w:eastAsia="Arial" w:hAnsi="Arial"/>
          <w:sz w:val="16"/>
          <w:szCs w:val="16"/>
          <w:color w:val="auto"/>
        </w:rPr>
      </w:pPr>
      <w:r>
        <w:rPr>
          <w:rFonts w:ascii="Arial" w:cs="Arial" w:eastAsia="Arial" w:hAnsi="Arial"/>
          <w:sz w:val="16"/>
          <w:szCs w:val="16"/>
          <w:color w:val="auto"/>
        </w:rPr>
        <w:t>Direct loans were recorded when disbursement of funds to the costumers were made. Indirect (off-balance sheet) loans were recorded when documents supporting such facilities were issued. In the same way, the Group considered as refinanced or restructured those loans that changed their payment schedules due to difficulties in the debtor’s ability to repay the loan.</w:t>
      </w:r>
    </w:p>
    <w:p>
      <w:pPr>
        <w:spacing w:after="0" w:line="165" w:lineRule="exact"/>
        <w:rPr>
          <w:rFonts w:ascii="Arial" w:cs="Arial" w:eastAsia="Arial" w:hAnsi="Arial"/>
          <w:sz w:val="16"/>
          <w:szCs w:val="16"/>
          <w:color w:val="auto"/>
        </w:rPr>
      </w:pPr>
    </w:p>
    <w:p>
      <w:pPr>
        <w:ind w:left="276" w:right="260"/>
        <w:spacing w:after="0" w:line="258" w:lineRule="auto"/>
        <w:rPr>
          <w:rFonts w:ascii="Arial" w:cs="Arial" w:eastAsia="Arial" w:hAnsi="Arial"/>
          <w:sz w:val="16"/>
          <w:szCs w:val="16"/>
          <w:color w:val="auto"/>
        </w:rPr>
      </w:pPr>
      <w:r>
        <w:rPr>
          <w:rFonts w:ascii="Arial" w:cs="Arial" w:eastAsia="Arial" w:hAnsi="Arial"/>
          <w:sz w:val="16"/>
          <w:szCs w:val="16"/>
          <w:color w:val="auto"/>
        </w:rPr>
        <w:t>A provision for loan losses was established if there was objective evidence that the Group would not be able to collect all amounts due according to the original contractual terms of the loans. The provision for loan losses was established based on an internal risk classification and considering any guarantees and collaterals received, Note 3(i) and 33.1.</w:t>
      </w:r>
    </w:p>
    <w:p>
      <w:pPr>
        <w:spacing w:after="0" w:line="165" w:lineRule="exact"/>
        <w:rPr>
          <w:rFonts w:ascii="Arial" w:cs="Arial" w:eastAsia="Arial" w:hAnsi="Arial"/>
          <w:sz w:val="16"/>
          <w:szCs w:val="16"/>
          <w:color w:val="auto"/>
        </w:rPr>
      </w:pPr>
    </w:p>
    <w:p>
      <w:pPr>
        <w:ind w:left="276" w:hanging="276"/>
        <w:spacing w:after="0"/>
        <w:tabs>
          <w:tab w:leader="none" w:pos="2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Available-for-sale investments -</w:t>
      </w:r>
    </w:p>
    <w:p>
      <w:pPr>
        <w:spacing w:after="0" w:line="195" w:lineRule="exact"/>
        <w:rPr>
          <w:rFonts w:ascii="Arial" w:cs="Arial" w:eastAsia="Arial" w:hAnsi="Arial"/>
          <w:sz w:val="16"/>
          <w:szCs w:val="16"/>
          <w:color w:val="auto"/>
        </w:rPr>
      </w:pPr>
    </w:p>
    <w:p>
      <w:pPr>
        <w:ind w:left="276" w:right="400"/>
        <w:spacing w:after="0" w:line="283" w:lineRule="auto"/>
        <w:rPr>
          <w:rFonts w:ascii="Arial" w:cs="Arial" w:eastAsia="Arial" w:hAnsi="Arial"/>
          <w:sz w:val="16"/>
          <w:szCs w:val="16"/>
          <w:color w:val="auto"/>
        </w:rPr>
      </w:pPr>
      <w:r>
        <w:rPr>
          <w:rFonts w:ascii="Arial" w:cs="Arial" w:eastAsia="Arial" w:hAnsi="Arial"/>
          <w:sz w:val="15"/>
          <w:szCs w:val="15"/>
          <w:color w:val="auto"/>
        </w:rPr>
        <w:t>Available-for-sale investments included equity investments and debt securities. Equity investments classified as available-for-sale were those that were neither classified as held for trading nor designated at fair value through profit or loss. Debt instruments in this category were those that were intended to be held for an indefinite period of time and that could be sold in response to needs for liquidity or in response to changes in market conditions.</w:t>
      </w:r>
    </w:p>
    <w:p>
      <w:pPr>
        <w:spacing w:after="0" w:line="148" w:lineRule="exact"/>
        <w:rPr>
          <w:rFonts w:ascii="Arial" w:cs="Arial" w:eastAsia="Arial" w:hAnsi="Arial"/>
          <w:sz w:val="16"/>
          <w:szCs w:val="16"/>
          <w:color w:val="auto"/>
        </w:rPr>
      </w:pPr>
    </w:p>
    <w:p>
      <w:pPr>
        <w:ind w:left="276" w:right="40"/>
        <w:spacing w:after="0" w:line="302" w:lineRule="auto"/>
        <w:rPr>
          <w:rFonts w:ascii="Arial" w:cs="Arial" w:eastAsia="Arial" w:hAnsi="Arial"/>
          <w:sz w:val="16"/>
          <w:szCs w:val="16"/>
          <w:color w:val="auto"/>
        </w:rPr>
      </w:pPr>
      <w:r>
        <w:rPr>
          <w:rFonts w:ascii="Arial" w:cs="Arial" w:eastAsia="Arial" w:hAnsi="Arial"/>
          <w:sz w:val="14"/>
          <w:szCs w:val="14"/>
          <w:color w:val="auto"/>
        </w:rPr>
        <w:t>After initial recognition, available-for-sale investments were subsequently measured at fair value with unrealized gains or losses recognized as other comprehensive income in the available-for-sale reserve, net of the corresponding deferred income tax and non-controlling interest, until the investment was sold, at which time the cumulative gain or loss was recognized in the consolidated statement of income in “Net gain on securities”, or was determined to be impaired, at which time the impaired amount was recognized in the consolidated statement of income in “Net gain on securities”, and removed from the reserve of investments available-for-sale.</w:t>
      </w:r>
    </w:p>
    <w:p>
      <w:pPr>
        <w:spacing w:after="0" w:line="137" w:lineRule="exact"/>
        <w:rPr>
          <w:rFonts w:ascii="Arial" w:cs="Arial" w:eastAsia="Arial" w:hAnsi="Arial"/>
          <w:sz w:val="16"/>
          <w:szCs w:val="16"/>
          <w:color w:val="auto"/>
        </w:rPr>
      </w:pPr>
    </w:p>
    <w:p>
      <w:pPr>
        <w:ind w:left="276" w:right="80"/>
        <w:spacing w:after="0" w:line="303" w:lineRule="auto"/>
        <w:rPr>
          <w:rFonts w:ascii="Arial" w:cs="Arial" w:eastAsia="Arial" w:hAnsi="Arial"/>
          <w:sz w:val="16"/>
          <w:szCs w:val="16"/>
          <w:color w:val="auto"/>
        </w:rPr>
      </w:pPr>
      <w:r>
        <w:rPr>
          <w:rFonts w:ascii="Arial" w:cs="Arial" w:eastAsia="Arial" w:hAnsi="Arial"/>
          <w:sz w:val="15"/>
          <w:szCs w:val="15"/>
          <w:color w:val="auto"/>
        </w:rPr>
        <w:t>Interest and similar income earned were recognized in the consolidated statement of income in “Interest and similar income”. Interest earned was reported as interest income using the effective interest rate method and similar income earned were recognized when collection rights were established.</w:t>
      </w:r>
    </w:p>
    <w:p>
      <w:pPr>
        <w:spacing w:after="0" w:line="133" w:lineRule="exact"/>
        <w:rPr>
          <w:rFonts w:ascii="Arial" w:cs="Arial" w:eastAsia="Arial" w:hAnsi="Arial"/>
          <w:sz w:val="16"/>
          <w:szCs w:val="16"/>
          <w:color w:val="auto"/>
        </w:rPr>
      </w:pPr>
    </w:p>
    <w:p>
      <w:pPr>
        <w:ind w:left="276" w:right="540"/>
        <w:spacing w:after="0" w:line="269" w:lineRule="auto"/>
        <w:rPr>
          <w:rFonts w:ascii="Arial" w:cs="Arial" w:eastAsia="Arial" w:hAnsi="Arial"/>
          <w:sz w:val="16"/>
          <w:szCs w:val="16"/>
          <w:color w:val="auto"/>
        </w:rPr>
      </w:pPr>
      <w:r>
        <w:rPr>
          <w:rFonts w:ascii="Arial" w:cs="Arial" w:eastAsia="Arial" w:hAnsi="Arial"/>
          <w:sz w:val="16"/>
          <w:szCs w:val="16"/>
          <w:color w:val="auto"/>
        </w:rPr>
        <w:t>Estimated fair values were based primarily on quoted prices or, if quoted market prices were not available, discounted expected cash flows using market rates commensurate with the credit quality and maturity of the investment.</w:t>
      </w:r>
    </w:p>
    <w:p>
      <w:pPr>
        <w:spacing w:after="0" w:line="346" w:lineRule="exact"/>
        <w:rPr>
          <w:rFonts w:ascii="Arial" w:cs="Arial" w:eastAsia="Arial" w:hAnsi="Arial"/>
          <w:sz w:val="16"/>
          <w:szCs w:val="16"/>
          <w:color w:val="auto"/>
        </w:rPr>
      </w:pPr>
    </w:p>
    <w:p>
      <w:pPr>
        <w:ind w:left="5076" w:hanging="91"/>
        <w:spacing w:after="0"/>
        <w:tabs>
          <w:tab w:leader="none" w:pos="5076" w:val="left"/>
        </w:tabs>
        <w:numPr>
          <w:ilvl w:val="1"/>
          <w:numId w:val="42"/>
        </w:numPr>
        <w:rPr>
          <w:rFonts w:ascii="Arial" w:cs="Arial" w:eastAsia="Arial" w:hAnsi="Arial"/>
          <w:sz w:val="16"/>
          <w:szCs w:val="16"/>
          <w:color w:val="auto"/>
        </w:rPr>
      </w:pPr>
      <w:r>
        <w:rPr>
          <w:rFonts w:ascii="Arial" w:cs="Arial" w:eastAsia="Arial" w:hAnsi="Arial"/>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796"/>
          </w:cols>
          <w:pgMar w:left="804" w:top="814" w:right="299" w:bottom="1440" w:gutter="0" w:footer="0" w:header="0"/>
        </w:sectPr>
      </w:pPr>
    </w:p>
    <w:bookmarkStart w:id="46" w:name="page47"/>
    <w:bookmarkEnd w:id="46"/>
    <w:p>
      <w:pPr>
        <w:ind w:left="280" w:right="80"/>
        <w:spacing w:after="0" w:line="258" w:lineRule="auto"/>
        <w:rPr>
          <w:sz w:val="20"/>
          <w:szCs w:val="20"/>
          <w:color w:val="auto"/>
        </w:rPr>
      </w:pPr>
      <w:r>
        <w:rPr>
          <w:rFonts w:ascii="Arial" w:cs="Arial" w:eastAsia="Arial" w:hAnsi="Arial"/>
          <w:sz w:val="16"/>
          <w:szCs w:val="16"/>
          <w:color w:val="auto"/>
        </w:rPr>
        <w:t>The Group evaluated whether its ability and intention to sell its available-for-sale financial assets in the near term were still appropriate. When, in rare circumstances, the Group was unable to trade these financial assets due to inactive markets, the Group could elect to reclassify these financial assets if Management had the ability and intention to hold such assets for the foreseeable future or until maturity.</w:t>
      </w:r>
    </w:p>
    <w:p>
      <w:pPr>
        <w:spacing w:after="0" w:line="165" w:lineRule="exact"/>
        <w:rPr>
          <w:sz w:val="20"/>
          <w:szCs w:val="20"/>
          <w:color w:val="auto"/>
        </w:rPr>
      </w:pPr>
    </w:p>
    <w:p>
      <w:pPr>
        <w:ind w:left="280" w:right="40"/>
        <w:spacing w:after="0" w:line="258" w:lineRule="auto"/>
        <w:rPr>
          <w:sz w:val="20"/>
          <w:szCs w:val="20"/>
          <w:color w:val="auto"/>
        </w:rPr>
      </w:pPr>
      <w:r>
        <w:rPr>
          <w:rFonts w:ascii="Arial" w:cs="Arial" w:eastAsia="Arial" w:hAnsi="Arial"/>
          <w:sz w:val="16"/>
          <w:szCs w:val="16"/>
          <w:color w:val="auto"/>
        </w:rPr>
        <w:t>For a financial asset reclassified from the available-for-sale category, the fair value carrying amount at the date of reclassification became its new amortized cost and any previous gain or loss on the asset that had been recognized in other comprehensive income was amortized to consolidated statement of income over the remaining life of the investment using the effective interest rate.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(vii)Held-to-maturity investments -</w:t>
      </w:r>
    </w:p>
    <w:p>
      <w:pPr>
        <w:spacing w:after="0" w:line="195" w:lineRule="exact"/>
        <w:rPr>
          <w:sz w:val="20"/>
          <w:szCs w:val="20"/>
          <w:color w:val="auto"/>
        </w:rPr>
      </w:pPr>
    </w:p>
    <w:p>
      <w:pPr>
        <w:ind w:left="280"/>
        <w:spacing w:after="0" w:line="273" w:lineRule="auto"/>
        <w:rPr>
          <w:sz w:val="20"/>
          <w:szCs w:val="20"/>
          <w:color w:val="auto"/>
        </w:rPr>
      </w:pPr>
      <w:r>
        <w:rPr>
          <w:rFonts w:ascii="Arial" w:cs="Arial" w:eastAsia="Arial" w:hAnsi="Arial"/>
          <w:sz w:val="15"/>
          <w:szCs w:val="15"/>
          <w:color w:val="auto"/>
        </w:rPr>
        <w:t>Held-to-maturity investments were non–derivative financial assets with fixed or variable payments and fixed maturities, which Credicorp had the intention and ability to hold to maturity. After initial measurement, held-to-maturity investments were subsequently measured at amortized cost using the effective interest rate less impairment. Amortized cost was calculated by taking into account any discount or premium on acquisition and fees that were an integral part of the effective interest rate. The amortization was included in “Interest and similar income” of the consolidated statement of income. The losses arising from impairment of these investments were recognized in the consolidated statement of income in “Net gain on securities”.</w:t>
      </w:r>
    </w:p>
    <w:p>
      <w:pPr>
        <w:spacing w:after="0" w:line="157" w:lineRule="exact"/>
        <w:rPr>
          <w:sz w:val="20"/>
          <w:szCs w:val="20"/>
          <w:color w:val="auto"/>
        </w:rPr>
      </w:pPr>
    </w:p>
    <w:p>
      <w:pPr>
        <w:ind w:left="280" w:right="280"/>
        <w:spacing w:after="0" w:line="269" w:lineRule="auto"/>
        <w:rPr>
          <w:sz w:val="20"/>
          <w:szCs w:val="20"/>
          <w:color w:val="auto"/>
        </w:rPr>
      </w:pPr>
      <w:r>
        <w:rPr>
          <w:rFonts w:ascii="Arial" w:cs="Arial" w:eastAsia="Arial" w:hAnsi="Arial"/>
          <w:sz w:val="16"/>
          <w:szCs w:val="16"/>
          <w:color w:val="auto"/>
        </w:rPr>
        <w:t>At December 31, 2017, the Group had not recognized any impairment loss on held-to-maturity investments. See policy of impairment of financial assets carried at amortized cost in Note 3(i)(i).</w:t>
      </w:r>
    </w:p>
    <w:p>
      <w:pPr>
        <w:spacing w:after="0" w:line="157" w:lineRule="exact"/>
        <w:rPr>
          <w:sz w:val="20"/>
          <w:szCs w:val="20"/>
          <w:color w:val="auto"/>
        </w:rPr>
      </w:pPr>
    </w:p>
    <w:p>
      <w:pPr>
        <w:jc w:val="both"/>
        <w:ind w:left="280" w:right="200"/>
        <w:spacing w:after="0" w:line="258" w:lineRule="auto"/>
        <w:rPr>
          <w:sz w:val="20"/>
          <w:szCs w:val="20"/>
          <w:color w:val="auto"/>
        </w:rPr>
      </w:pPr>
      <w:r>
        <w:rPr>
          <w:rFonts w:ascii="Arial" w:cs="Arial" w:eastAsia="Arial" w:hAnsi="Arial"/>
          <w:sz w:val="16"/>
          <w:szCs w:val="16"/>
          <w:color w:val="auto"/>
        </w:rPr>
        <w:t>If the Group sold or reclassified a more than insignificant amount of held-to-maturity investments before maturity (other than in certain specific circumstances), the entire category would be tainted and would have to be reclassified as available-for-sale. Furthermore, the Group would be prohibited from classifying any financial asset as held-to-maturity during the following two (2) years.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December 31, 2017, the Group did not plan to sell or reclassify any of its held-to-maturity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(viii)Repurchase and reverse repurchase agreements and securities lending and borrowing -</w:t>
      </w:r>
    </w:p>
    <w:p>
      <w:pPr>
        <w:spacing w:after="0" w:line="195" w:lineRule="exact"/>
        <w:rPr>
          <w:sz w:val="20"/>
          <w:szCs w:val="20"/>
          <w:color w:val="auto"/>
        </w:rPr>
      </w:pPr>
    </w:p>
    <w:p>
      <w:pPr>
        <w:ind w:left="280" w:right="120"/>
        <w:spacing w:after="0" w:line="297" w:lineRule="auto"/>
        <w:rPr>
          <w:sz w:val="20"/>
          <w:szCs w:val="20"/>
          <w:color w:val="auto"/>
        </w:rPr>
      </w:pPr>
      <w:r>
        <w:rPr>
          <w:rFonts w:ascii="Arial" w:cs="Arial" w:eastAsia="Arial" w:hAnsi="Arial"/>
          <w:sz w:val="14"/>
          <w:szCs w:val="14"/>
          <w:color w:val="auto"/>
        </w:rPr>
        <w:t>Securities sold under repurchase agreements at a specified future date are not derecognized from the consolidated statement of financial position as the Group retains substantially all of the risks and rewards of ownership. The cash received is recorded as an asset in “Cash and due from banks” and the corresponding obligation to return it is recognized too, including accrued interest, as a liability in “Payables from repurchase agreements and securities lending”, reflecting the transaction’s economic substance as a loan to the Group. The difference between the sale and repurchase price was treated as interest expense and accrued over the life of the agreement using the effective interest rate and was recognized in “Interest and similar expenses” of the consolidated statement of income.</w:t>
      </w:r>
    </w:p>
    <w:p>
      <w:pPr>
        <w:spacing w:after="0" w:line="142" w:lineRule="exact"/>
        <w:rPr>
          <w:sz w:val="20"/>
          <w:szCs w:val="20"/>
          <w:color w:val="auto"/>
        </w:rPr>
      </w:pPr>
    </w:p>
    <w:p>
      <w:pPr>
        <w:ind w:left="280" w:right="120"/>
        <w:spacing w:after="0" w:line="273" w:lineRule="auto"/>
        <w:rPr>
          <w:sz w:val="20"/>
          <w:szCs w:val="20"/>
          <w:color w:val="auto"/>
        </w:rPr>
      </w:pPr>
      <w:r>
        <w:rPr>
          <w:rFonts w:ascii="Arial" w:cs="Arial" w:eastAsia="Arial" w:hAnsi="Arial"/>
          <w:sz w:val="15"/>
          <w:szCs w:val="15"/>
          <w:color w:val="auto"/>
        </w:rPr>
        <w:t>As part of this transaction the Group grants assets as collateral. When the counterparty receives securities and has the right to sell or re-pledge, the Group reclassifies those securities in “Available-for-sale investments pledged as collateral” or “Held-to-maturity investments pledged as collateral”, as appropriate, of the consolidated statement of financial position. Also, when the counterparty receives cash as collateral that will be restricted until the maturity of the contract, the Group reclassifies the cash in “Cash collateral, reverse repurchase agreements and securities borrowings” in the consolidated statement of financial position, which includes accrued interest that is calculated according to the effective interest rate method.</w:t>
      </w:r>
    </w:p>
    <w:p>
      <w:pPr>
        <w:spacing w:after="0" w:line="34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40"/>
          </w:cols>
          <w:pgMar w:left="800" w:top="815" w:right="259" w:bottom="1440" w:gutter="0" w:footer="0" w:header="0"/>
        </w:sectPr>
      </w:pPr>
    </w:p>
    <w:bookmarkStart w:id="47" w:name="page48"/>
    <w:bookmarkEnd w:id="47"/>
    <w:p>
      <w:pPr>
        <w:ind w:left="561" w:right="120"/>
        <w:spacing w:after="0" w:line="252" w:lineRule="auto"/>
        <w:rPr>
          <w:sz w:val="20"/>
          <w:szCs w:val="20"/>
          <w:color w:val="auto"/>
        </w:rPr>
      </w:pPr>
      <w:r>
        <w:rPr>
          <w:rFonts w:ascii="Arial" w:cs="Arial" w:eastAsia="Arial" w:hAnsi="Arial"/>
          <w:sz w:val="16"/>
          <w:szCs w:val="16"/>
          <w:color w:val="auto"/>
        </w:rPr>
        <w:t>Conversely, securities purchased under reverse repurchase agreements at a specified future date are not recognized in the consolidated statement of financial position. The cash granted is recorded as an outgoing asset in “Cash and due from banks” account and the corresponding right to payment, including accrued interest, is recorded in “Cash collateral from reverse repurchase agreements and securities borrowing”, reflecting the transaction’s economic substance as a loan granted by the Group. The difference between the purchase and resale price is recorded in “Interest and similar income” of the consolidated statement of income and is accrued over the life of the agreement using the effective interest rate method.</w:t>
      </w:r>
    </w:p>
    <w:p>
      <w:pPr>
        <w:spacing w:after="0" w:line="172" w:lineRule="exact"/>
        <w:rPr>
          <w:sz w:val="20"/>
          <w:szCs w:val="20"/>
          <w:color w:val="auto"/>
        </w:rPr>
      </w:pPr>
    </w:p>
    <w:p>
      <w:pPr>
        <w:jc w:val="both"/>
        <w:ind w:left="561" w:right="40"/>
        <w:spacing w:after="0" w:line="258" w:lineRule="auto"/>
        <w:rPr>
          <w:sz w:val="20"/>
          <w:szCs w:val="20"/>
          <w:color w:val="auto"/>
        </w:rPr>
      </w:pPr>
      <w:r>
        <w:rPr>
          <w:rFonts w:ascii="Arial" w:cs="Arial" w:eastAsia="Arial" w:hAnsi="Arial"/>
          <w:sz w:val="16"/>
          <w:szCs w:val="16"/>
          <w:color w:val="auto"/>
        </w:rPr>
        <w:t>If securities purchased under reverse repurchase agreement are subsequently sold to third parties, the obligation to return the securities is recorded as a short sale in the consolidated statement of financial position as “Financial liabilities at fair value through profit or loss” and measured at fair value, with any gains or losses included in the consolidated statement of income as “Net gain on securities”.</w:t>
      </w:r>
    </w:p>
    <w:p>
      <w:pPr>
        <w:spacing w:after="0" w:line="165" w:lineRule="exact"/>
        <w:rPr>
          <w:sz w:val="20"/>
          <w:szCs w:val="20"/>
          <w:color w:val="auto"/>
        </w:rPr>
      </w:pPr>
    </w:p>
    <w:p>
      <w:pPr>
        <w:ind w:left="561" w:right="800"/>
        <w:spacing w:after="0" w:line="269" w:lineRule="auto"/>
        <w:rPr>
          <w:sz w:val="20"/>
          <w:szCs w:val="20"/>
          <w:color w:val="auto"/>
        </w:rPr>
      </w:pPr>
      <w:r>
        <w:rPr>
          <w:rFonts w:ascii="Arial" w:cs="Arial" w:eastAsia="Arial" w:hAnsi="Arial"/>
          <w:sz w:val="16"/>
          <w:szCs w:val="16"/>
          <w:color w:val="auto"/>
        </w:rPr>
        <w:t>Securities lending and borrowing transactions are usually collateralized by securities. The transfer of the securities to counterparties is only reflected in the consolidated statement of financial position if the risks and rewards of ownership are also transferred.</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(ix)  Other financial liabilities -</w:t>
      </w:r>
    </w:p>
    <w:p>
      <w:pPr>
        <w:spacing w:after="0" w:line="195" w:lineRule="exact"/>
        <w:rPr>
          <w:sz w:val="20"/>
          <w:szCs w:val="20"/>
          <w:color w:val="auto"/>
        </w:rPr>
      </w:pPr>
    </w:p>
    <w:p>
      <w:pPr>
        <w:ind w:left="561" w:right="140"/>
        <w:spacing w:after="0" w:line="269" w:lineRule="auto"/>
        <w:rPr>
          <w:sz w:val="20"/>
          <w:szCs w:val="20"/>
          <w:color w:val="auto"/>
        </w:rPr>
      </w:pPr>
      <w:r>
        <w:rPr>
          <w:rFonts w:ascii="Arial" w:cs="Arial" w:eastAsia="Arial" w:hAnsi="Arial"/>
          <w:sz w:val="16"/>
          <w:szCs w:val="16"/>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157" w:lineRule="exact"/>
        <w:rPr>
          <w:sz w:val="20"/>
          <w:szCs w:val="20"/>
          <w:color w:val="auto"/>
        </w:rPr>
      </w:pPr>
    </w:p>
    <w:p>
      <w:pPr>
        <w:ind w:left="281" w:right="7760" w:hanging="281"/>
        <w:spacing w:after="0" w:line="494" w:lineRule="auto"/>
        <w:tabs>
          <w:tab w:leader="none" w:pos="281"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De-recognition of financial assets and liabilities - Financial assets:</w:t>
      </w:r>
    </w:p>
    <w:p>
      <w:pPr>
        <w:spacing w:after="0" w:line="1" w:lineRule="exact"/>
        <w:rPr>
          <w:rFonts w:ascii="Arial" w:cs="Arial" w:eastAsia="Arial" w:hAnsi="Arial"/>
          <w:sz w:val="16"/>
          <w:szCs w:val="16"/>
          <w:color w:val="auto"/>
        </w:rPr>
      </w:pPr>
    </w:p>
    <w:p>
      <w:pPr>
        <w:jc w:val="both"/>
        <w:ind w:left="281" w:right="160"/>
        <w:spacing w:after="0" w:line="302" w:lineRule="auto"/>
        <w:rPr>
          <w:rFonts w:ascii="Arial" w:cs="Arial" w:eastAsia="Arial" w:hAnsi="Arial"/>
          <w:sz w:val="16"/>
          <w:szCs w:val="16"/>
          <w:color w:val="auto"/>
        </w:rPr>
      </w:pPr>
      <w:r>
        <w:rPr>
          <w:rFonts w:ascii="Arial" w:cs="Arial" w:eastAsia="Arial" w:hAnsi="Arial"/>
          <w:sz w:val="14"/>
          <w:szCs w:val="14"/>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37" w:lineRule="exact"/>
        <w:rPr>
          <w:rFonts w:ascii="Arial" w:cs="Arial" w:eastAsia="Arial" w:hAnsi="Arial"/>
          <w:sz w:val="16"/>
          <w:szCs w:val="16"/>
          <w:color w:val="auto"/>
        </w:rPr>
      </w:pPr>
    </w:p>
    <w:p>
      <w:pPr>
        <w:ind w:left="281"/>
        <w:spacing w:after="0" w:line="302" w:lineRule="auto"/>
        <w:rPr>
          <w:rFonts w:ascii="Arial" w:cs="Arial" w:eastAsia="Arial" w:hAnsi="Arial"/>
          <w:sz w:val="16"/>
          <w:szCs w:val="16"/>
          <w:color w:val="auto"/>
        </w:rPr>
      </w:pPr>
      <w:r>
        <w:rPr>
          <w:rFonts w:ascii="Arial" w:cs="Arial" w:eastAsia="Arial" w:hAnsi="Arial"/>
          <w:sz w:val="14"/>
          <w:szCs w:val="14"/>
          <w:color w:val="auto"/>
        </w:rPr>
        <w:t>When the Group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the Group’s continuing involvement. In that case, the Group also recognizes the associated liability. The transferred asset and the associated liability are measured on a basis that reflects the rights and obligations that the Group has retained.</w:t>
      </w:r>
    </w:p>
    <w:p>
      <w:pPr>
        <w:spacing w:after="0" w:line="137" w:lineRule="exact"/>
        <w:rPr>
          <w:rFonts w:ascii="Arial" w:cs="Arial" w:eastAsia="Arial" w:hAnsi="Arial"/>
          <w:sz w:val="16"/>
          <w:szCs w:val="16"/>
          <w:color w:val="auto"/>
        </w:rPr>
      </w:pPr>
    </w:p>
    <w:p>
      <w:pPr>
        <w:ind w:left="281" w:right="260"/>
        <w:spacing w:after="0" w:line="269" w:lineRule="auto"/>
        <w:rPr>
          <w:rFonts w:ascii="Arial" w:cs="Arial" w:eastAsia="Arial" w:hAnsi="Arial"/>
          <w:sz w:val="16"/>
          <w:szCs w:val="16"/>
          <w:color w:val="auto"/>
        </w:rPr>
      </w:pPr>
      <w:r>
        <w:rPr>
          <w:rFonts w:ascii="Arial" w:cs="Arial" w:eastAsia="Arial" w:hAnsi="Arial"/>
          <w:sz w:val="16"/>
          <w:szCs w:val="16"/>
          <w:color w:val="auto"/>
        </w:rPr>
        <w:t>Continuing involvement that takes the form of a guarantee over the transferred asset is measured at the lower of (i) the original carrying amount of the asset, and (ii) the maximum amount of consideration that the Group could be required to repay.</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43"/>
        </w:numPr>
        <w:rPr>
          <w:rFonts w:ascii="Arial" w:cs="Arial" w:eastAsia="Arial" w:hAnsi="Arial"/>
          <w:sz w:val="16"/>
          <w:szCs w:val="16"/>
          <w:color w:val="auto"/>
        </w:rPr>
      </w:pPr>
      <w:r>
        <w:rPr>
          <w:rFonts w:ascii="Arial" w:cs="Arial" w:eastAsia="Arial" w:hAnsi="Arial"/>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5" w:right="219" w:bottom="1440" w:gutter="0" w:footer="0" w:header="0"/>
        </w:sectPr>
      </w:pPr>
    </w:p>
    <w:bookmarkStart w:id="48" w:name="page49"/>
    <w:bookmarkEnd w:id="48"/>
    <w:p>
      <w:pPr>
        <w:ind w:left="281"/>
        <w:spacing w:after="0"/>
        <w:rPr>
          <w:sz w:val="20"/>
          <w:szCs w:val="20"/>
          <w:color w:val="auto"/>
        </w:rPr>
      </w:pPr>
      <w:r>
        <w:rPr>
          <w:rFonts w:ascii="Arial" w:cs="Arial" w:eastAsia="Arial" w:hAnsi="Arial"/>
          <w:sz w:val="16"/>
          <w:szCs w:val="16"/>
          <w:color w:val="auto"/>
        </w:rPr>
        <w:t>Financial liabilities:</w:t>
      </w:r>
    </w:p>
    <w:p>
      <w:pPr>
        <w:spacing w:after="0" w:line="195" w:lineRule="exact"/>
        <w:rPr>
          <w:sz w:val="20"/>
          <w:szCs w:val="20"/>
          <w:color w:val="auto"/>
        </w:rPr>
      </w:pPr>
    </w:p>
    <w:p>
      <w:pPr>
        <w:ind w:left="281" w:right="20"/>
        <w:spacing w:after="0" w:line="254" w:lineRule="auto"/>
        <w:rPr>
          <w:sz w:val="20"/>
          <w:szCs w:val="20"/>
          <w:color w:val="auto"/>
        </w:rPr>
      </w:pPr>
      <w:r>
        <w:rPr>
          <w:rFonts w:ascii="Arial" w:cs="Arial" w:eastAsia="Arial" w:hAnsi="Arial"/>
          <w:sz w:val="16"/>
          <w:szCs w:val="16"/>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de-recognition of the original liability and the recognition of a new liability; the difference between the carrying amount of the original financial liability and the consideration paid is recognized in the consolidated statement of income.</w:t>
      </w:r>
    </w:p>
    <w:p>
      <w:pPr>
        <w:spacing w:after="0" w:line="169" w:lineRule="exact"/>
        <w:rPr>
          <w:sz w:val="20"/>
          <w:szCs w:val="20"/>
          <w:color w:val="auto"/>
        </w:rPr>
      </w:pPr>
    </w:p>
    <w:p>
      <w:pPr>
        <w:ind w:left="281" w:hanging="281"/>
        <w:spacing w:after="0"/>
        <w:tabs>
          <w:tab w:leader="none" w:pos="2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Offsetting financial instruments -</w:t>
      </w:r>
    </w:p>
    <w:p>
      <w:pPr>
        <w:spacing w:after="0" w:line="195" w:lineRule="exact"/>
        <w:rPr>
          <w:rFonts w:ascii="Arial" w:cs="Arial" w:eastAsia="Arial" w:hAnsi="Arial"/>
          <w:sz w:val="16"/>
          <w:szCs w:val="16"/>
          <w:color w:val="auto"/>
        </w:rPr>
      </w:pPr>
    </w:p>
    <w:p>
      <w:pPr>
        <w:ind w:left="281" w:right="60"/>
        <w:spacing w:after="0" w:line="303" w:lineRule="auto"/>
        <w:rPr>
          <w:rFonts w:ascii="Arial" w:cs="Arial" w:eastAsia="Arial" w:hAnsi="Arial"/>
          <w:sz w:val="16"/>
          <w:szCs w:val="16"/>
          <w:color w:val="auto"/>
        </w:rPr>
      </w:pPr>
      <w:r>
        <w:rPr>
          <w:rFonts w:ascii="Arial" w:cs="Arial" w:eastAsia="Arial" w:hAnsi="Arial"/>
          <w:sz w:val="15"/>
          <w:szCs w:val="15"/>
          <w:color w:val="auto"/>
        </w:rPr>
        <w:t>Financial assets and liabilities are offset and the net amount is reported in the consolidated statement of financial position when there is a legally enforceable right to offset the recognized amounts and Management has the intention to settle on a net basis, or realize the asset and settle the liability simultaneously.</w:t>
      </w:r>
    </w:p>
    <w:p>
      <w:pPr>
        <w:spacing w:after="0" w:line="133" w:lineRule="exact"/>
        <w:rPr>
          <w:rFonts w:ascii="Arial" w:cs="Arial" w:eastAsia="Arial" w:hAnsi="Arial"/>
          <w:sz w:val="16"/>
          <w:szCs w:val="16"/>
          <w:color w:val="auto"/>
        </w:rPr>
      </w:pPr>
    </w:p>
    <w:p>
      <w:pPr>
        <w:ind w:left="281" w:hanging="281"/>
        <w:spacing w:after="0"/>
        <w:tabs>
          <w:tab w:leader="none" w:pos="2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Impairment of financial assets -</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Policy applicable from January 1, 2018 -</w:t>
      </w:r>
    </w:p>
    <w:p>
      <w:pPr>
        <w:spacing w:after="0" w:line="195"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As of December 31, 2018, the Group applies a three-stage approach to measure the provision for credit loss, using an impairment model based on the expected credit losses as established in IFRS 9, for the following categories:</w:t>
      </w:r>
    </w:p>
    <w:p>
      <w:pPr>
        <w:spacing w:after="0" w:line="156" w:lineRule="exact"/>
        <w:rPr>
          <w:rFonts w:ascii="Arial" w:cs="Arial" w:eastAsia="Arial" w:hAnsi="Arial"/>
          <w:sz w:val="16"/>
          <w:szCs w:val="16"/>
          <w:color w:val="auto"/>
        </w:rPr>
      </w:pPr>
    </w:p>
    <w:p>
      <w:pPr>
        <w:ind w:left="561" w:hanging="276"/>
        <w:spacing w:after="0"/>
        <w:tabs>
          <w:tab w:leader="none" w:pos="561" w:val="left"/>
        </w:tabs>
        <w:numPr>
          <w:ilvl w:val="1"/>
          <w:numId w:val="44"/>
        </w:numPr>
        <w:rPr>
          <w:rFonts w:ascii="Arial" w:cs="Arial" w:eastAsia="Arial" w:hAnsi="Arial"/>
          <w:sz w:val="16"/>
          <w:szCs w:val="16"/>
          <w:color w:val="auto"/>
        </w:rPr>
      </w:pPr>
      <w:r>
        <w:rPr>
          <w:rFonts w:ascii="Arial" w:cs="Arial" w:eastAsia="Arial" w:hAnsi="Arial"/>
          <w:sz w:val="16"/>
          <w:szCs w:val="16"/>
          <w:color w:val="auto"/>
        </w:rPr>
        <w:t>Financial assets at amortized cost,</w:t>
      </w:r>
    </w:p>
    <w:p>
      <w:pPr>
        <w:spacing w:after="0" w:line="16" w:lineRule="exact"/>
        <w:rPr>
          <w:rFonts w:ascii="Arial" w:cs="Arial" w:eastAsia="Arial" w:hAnsi="Arial"/>
          <w:sz w:val="16"/>
          <w:szCs w:val="16"/>
          <w:color w:val="auto"/>
        </w:rPr>
      </w:pPr>
    </w:p>
    <w:p>
      <w:pPr>
        <w:ind w:left="561" w:hanging="276"/>
        <w:spacing w:after="0"/>
        <w:tabs>
          <w:tab w:leader="none" w:pos="561"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Debt instruments classified as investments at fair value through other comprehensive income, and</w:t>
      </w:r>
    </w:p>
    <w:p>
      <w:pPr>
        <w:spacing w:after="0" w:line="5" w:lineRule="exact"/>
        <w:rPr>
          <w:rFonts w:ascii="Arial" w:cs="Arial" w:eastAsia="Arial" w:hAnsi="Arial"/>
          <w:sz w:val="16"/>
          <w:szCs w:val="16"/>
          <w:color w:val="auto"/>
        </w:rPr>
      </w:pPr>
    </w:p>
    <w:p>
      <w:pPr>
        <w:ind w:left="561" w:hanging="276"/>
        <w:spacing w:after="0"/>
        <w:tabs>
          <w:tab w:leader="none" w:pos="561"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Indirect loans that are presented in off-balance accounts.</w:t>
      </w:r>
    </w:p>
    <w:p>
      <w:pPr>
        <w:spacing w:after="0" w:line="184" w:lineRule="exact"/>
        <w:rPr>
          <w:sz w:val="20"/>
          <w:szCs w:val="20"/>
          <w:color w:val="auto"/>
        </w:rPr>
      </w:pPr>
    </w:p>
    <w:p>
      <w:pPr>
        <w:ind w:left="281" w:right="20"/>
        <w:spacing w:after="0" w:line="269" w:lineRule="auto"/>
        <w:rPr>
          <w:sz w:val="20"/>
          <w:szCs w:val="20"/>
          <w:color w:val="auto"/>
        </w:rPr>
      </w:pPr>
      <w:r>
        <w:rPr>
          <w:rFonts w:ascii="Arial" w:cs="Arial" w:eastAsia="Arial" w:hAnsi="Arial"/>
          <w:sz w:val="16"/>
          <w:szCs w:val="16"/>
          <w:color w:val="auto"/>
        </w:rPr>
        <w:t>The financial assets classified or designated at fair value through profit of loss and the equity instruments designated at fair value through other comprehensive income, are not subject to impairment evaluation.</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Financial assets migrate through three stages according to the change in the credit risk from the initial recognition.</w:t>
      </w:r>
    </w:p>
    <w:p>
      <w:pPr>
        <w:spacing w:after="0" w:line="19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Impairment model of expected credit losses -</w:t>
      </w:r>
    </w:p>
    <w:p>
      <w:pPr>
        <w:spacing w:after="0" w:line="195" w:lineRule="exact"/>
        <w:rPr>
          <w:sz w:val="20"/>
          <w:szCs w:val="20"/>
          <w:color w:val="auto"/>
        </w:rPr>
      </w:pPr>
    </w:p>
    <w:p>
      <w:pPr>
        <w:ind w:left="281"/>
        <w:spacing w:after="0" w:line="302" w:lineRule="auto"/>
        <w:rPr>
          <w:sz w:val="20"/>
          <w:szCs w:val="20"/>
          <w:color w:val="auto"/>
        </w:rPr>
      </w:pPr>
      <w:r>
        <w:rPr>
          <w:rFonts w:ascii="Arial" w:cs="Arial" w:eastAsia="Arial" w:hAnsi="Arial"/>
          <w:sz w:val="14"/>
          <w:szCs w:val="14"/>
          <w:color w:val="auto"/>
        </w:rPr>
        <w:t>The calculations of credit losses are products of models with a series of underlying assumptions with regard to the choice of the variable inputs and their interdependencies. The impairment model for expected credit loss reflects the present value of all the cash deficit events related to the events of default, whether (i) during the following twelve months or (ii) during the expected useful life of a financial instrument depending on the impairment of the credit from the beginning. The expected credit loss reflects an unbiased result weighted by probability that considers a range of multiple outcomes based on reasonable and supportable forecasts.</w:t>
      </w:r>
    </w:p>
    <w:p>
      <w:pPr>
        <w:spacing w:after="0" w:line="138" w:lineRule="exact"/>
        <w:rPr>
          <w:sz w:val="20"/>
          <w:szCs w:val="20"/>
          <w:color w:val="auto"/>
        </w:rPr>
      </w:pPr>
    </w:p>
    <w:p>
      <w:pPr>
        <w:ind w:left="281" w:right="160"/>
        <w:spacing w:after="0" w:line="269" w:lineRule="auto"/>
        <w:rPr>
          <w:sz w:val="20"/>
          <w:szCs w:val="20"/>
          <w:color w:val="auto"/>
        </w:rPr>
      </w:pPr>
      <w:r>
        <w:rPr>
          <w:rFonts w:ascii="Arial" w:cs="Arial" w:eastAsia="Arial" w:hAnsi="Arial"/>
          <w:sz w:val="16"/>
          <w:szCs w:val="16"/>
          <w:color w:val="auto"/>
        </w:rPr>
        <w:t>The provisions for credit losses will be measured on each reporting date following a three-stage model of expected credit losses based on the degree of credit impairment from its origin:</w:t>
      </w:r>
    </w:p>
    <w:p>
      <w:pPr>
        <w:spacing w:after="0" w:line="157" w:lineRule="exact"/>
        <w:rPr>
          <w:sz w:val="20"/>
          <w:szCs w:val="20"/>
          <w:color w:val="auto"/>
        </w:rPr>
      </w:pPr>
    </w:p>
    <w:p>
      <w:pPr>
        <w:ind w:left="621" w:right="120" w:hanging="336"/>
        <w:spacing w:after="0" w:line="258" w:lineRule="auto"/>
        <w:tabs>
          <w:tab w:leader="none" w:pos="6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Stage 1: Financial assets whose credit risk has not increased significantly since its initial recognition, a reserve will be recognized for losses equivalent to the credit losses expected to occur from defaults in the following 12 months. For those instruments with a maturity less than 12 months, a probability of default corresponding to the remaining term until maturity is used.</w:t>
      </w:r>
    </w:p>
    <w:p>
      <w:pPr>
        <w:spacing w:after="0" w:line="165" w:lineRule="exact"/>
        <w:rPr>
          <w:rFonts w:ascii="Arial" w:cs="Arial" w:eastAsia="Arial" w:hAnsi="Arial"/>
          <w:sz w:val="16"/>
          <w:szCs w:val="16"/>
          <w:color w:val="auto"/>
        </w:rPr>
      </w:pPr>
    </w:p>
    <w:p>
      <w:pPr>
        <w:ind w:left="1141" w:right="120" w:hanging="572"/>
        <w:spacing w:after="0" w:line="269" w:lineRule="auto"/>
        <w:tabs>
          <w:tab w:leader="none" w:pos="11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Stage 2: Financial assets that have presented a significant increase in credit risk compared with initial recognition, but are not considered impaired, a reserve will be recognized for losses equivalent to the credit losses expected to occur during the remaining life of the asset.</w:t>
      </w:r>
    </w:p>
    <w:p>
      <w:pPr>
        <w:spacing w:after="0" w:line="156" w:lineRule="exact"/>
        <w:rPr>
          <w:rFonts w:ascii="Arial" w:cs="Arial" w:eastAsia="Arial" w:hAnsi="Arial"/>
          <w:sz w:val="16"/>
          <w:szCs w:val="16"/>
          <w:color w:val="auto"/>
        </w:rPr>
      </w:pPr>
    </w:p>
    <w:p>
      <w:pPr>
        <w:ind w:left="1141" w:right="240" w:hanging="572"/>
        <w:spacing w:after="0" w:line="342" w:lineRule="auto"/>
        <w:tabs>
          <w:tab w:leader="none" w:pos="1141" w:val="left"/>
        </w:tabs>
        <w:numPr>
          <w:ilvl w:val="1"/>
          <w:numId w:val="45"/>
        </w:numPr>
        <w:rPr>
          <w:rFonts w:ascii="Arial" w:cs="Arial" w:eastAsia="Arial" w:hAnsi="Arial"/>
          <w:sz w:val="14"/>
          <w:szCs w:val="14"/>
          <w:color w:val="auto"/>
        </w:rPr>
      </w:pPr>
      <w:r>
        <w:rPr>
          <w:rFonts w:ascii="Arial" w:cs="Arial" w:eastAsia="Arial" w:hAnsi="Arial"/>
          <w:sz w:val="14"/>
          <w:szCs w:val="14"/>
          <w:color w:val="auto"/>
        </w:rPr>
        <w:t>Stage 3: Financial assets with evidence of impairment on the reporting date, a reserve will be recognized for losses equivalent to the expected credit losses during the entire life of the asset. The interest income will be recognized based on the carrying amount of the asset, net of the loss reserve.</w:t>
      </w:r>
    </w:p>
    <w:p>
      <w:pPr>
        <w:spacing w:after="0" w:line="299" w:lineRule="exact"/>
        <w:rPr>
          <w:rFonts w:ascii="Arial" w:cs="Arial" w:eastAsia="Arial" w:hAnsi="Arial"/>
          <w:sz w:val="14"/>
          <w:szCs w:val="14"/>
          <w:color w:val="auto"/>
        </w:rPr>
      </w:pPr>
    </w:p>
    <w:p>
      <w:pPr>
        <w:ind w:left="5361" w:hanging="91"/>
        <w:spacing w:after="0"/>
        <w:tabs>
          <w:tab w:leader="none" w:pos="5361" w:val="left"/>
        </w:tabs>
        <w:numPr>
          <w:ilvl w:val="2"/>
          <w:numId w:val="45"/>
        </w:numPr>
        <w:rPr>
          <w:rFonts w:ascii="Arial" w:cs="Arial" w:eastAsia="Arial" w:hAnsi="Arial"/>
          <w:sz w:val="16"/>
          <w:szCs w:val="16"/>
          <w:color w:val="auto"/>
        </w:rPr>
      </w:pPr>
      <w:r>
        <w:rPr>
          <w:rFonts w:ascii="Arial" w:cs="Arial" w:eastAsia="Arial" w:hAnsi="Arial"/>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4"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Measurement of the expected loss –</w:t>
      </w:r>
    </w:p>
    <w:p>
      <w:pPr>
        <w:spacing w:after="0" w:line="195" w:lineRule="exact"/>
        <w:rPr>
          <w:sz w:val="20"/>
          <w:szCs w:val="20"/>
          <w:color w:val="auto"/>
        </w:rPr>
      </w:pPr>
    </w:p>
    <w:p>
      <w:pPr>
        <w:ind w:right="460"/>
        <w:spacing w:after="0" w:line="303" w:lineRule="auto"/>
        <w:rPr>
          <w:sz w:val="20"/>
          <w:szCs w:val="20"/>
          <w:color w:val="auto"/>
        </w:rPr>
      </w:pPr>
      <w:r>
        <w:rPr>
          <w:rFonts w:ascii="Arial" w:cs="Arial" w:eastAsia="Arial" w:hAnsi="Arial"/>
          <w:sz w:val="15"/>
          <w:szCs w:val="15"/>
          <w:color w:val="auto"/>
        </w:rPr>
        <w:t>The measurement of the expected credit loss is mainly based on the product of probability of default (PD), loss given default (LGD), and exposure at default (EAD), discounted at the reporting date and considering the expected macroeconomic effects and all in accordance with the new regulation.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these statistical parameters are the following:</w:t>
      </w:r>
    </w:p>
    <w:p>
      <w:pPr>
        <w:spacing w:after="0" w:line="195" w:lineRule="exact"/>
        <w:rPr>
          <w:sz w:val="20"/>
          <w:szCs w:val="20"/>
          <w:color w:val="auto"/>
        </w:rPr>
      </w:pPr>
    </w:p>
    <w:p>
      <w:pPr>
        <w:ind w:left="280" w:right="160" w:hanging="276"/>
        <w:spacing w:after="0" w:line="269" w:lineRule="auto"/>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PD: is an estimate of the probability of default in a determined time horizon. A default can only occur at a determined moment during the remaining estimated life, if the provision has not been previously derecognized and it is still in the loan portfolio.</w:t>
      </w:r>
    </w:p>
    <w:p>
      <w:pPr>
        <w:spacing w:after="0" w:line="156" w:lineRule="exact"/>
        <w:rPr>
          <w:rFonts w:ascii="Arial" w:cs="Arial" w:eastAsia="Arial" w:hAnsi="Arial"/>
          <w:sz w:val="16"/>
          <w:szCs w:val="16"/>
          <w:color w:val="auto"/>
        </w:rPr>
      </w:pPr>
    </w:p>
    <w:p>
      <w:pPr>
        <w:ind w:left="280" w:right="40" w:hanging="276"/>
        <w:spacing w:after="0" w:line="342" w:lineRule="auto"/>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LGD: is an estimate of the loss produced in the case a predetermined value is produced at a given time. It is based on the difference between the contractual cash flows owed and those that the lender would expect to receive, even after the liquidation of any guarantee. Generally, it is expressed as a percentage of the EAD.</w:t>
      </w:r>
    </w:p>
    <w:p>
      <w:pPr>
        <w:spacing w:after="0" w:line="110" w:lineRule="exact"/>
        <w:rPr>
          <w:rFonts w:ascii="Arial" w:cs="Arial" w:eastAsia="Arial" w:hAnsi="Arial"/>
          <w:sz w:val="14"/>
          <w:szCs w:val="14"/>
          <w:color w:val="auto"/>
        </w:rPr>
      </w:pPr>
    </w:p>
    <w:p>
      <w:pPr>
        <w:ind w:left="280" w:right="920" w:hanging="276"/>
        <w:spacing w:after="0" w:line="342" w:lineRule="auto"/>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EAD: is an estimate of the exposure on a future default date, which considers the changes expected in the exposure after the reporting date, including the reimbursements of principal and interest, whether programmed by contract or otherwise, and the interest accrued due to default payments.</w:t>
      </w:r>
    </w:p>
    <w:p>
      <w:pPr>
        <w:spacing w:after="0" w:line="11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fundamental difference between the credit loss considered as Stage 1 and Stage 2 is the PD horizon. The estimates of Stage 1 use a 12-month horizon, while those situated in Stage 2 use an expected loss calculated with the remaining term of the asset and considers the effect of the significant increase in credit risk. Finally, Stage 3 will estimate the expected loss based on the best estimate (“ELBE”), according to the situation of the collection process of each asset.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Changes from one stage to another –</w:t>
      </w:r>
    </w:p>
    <w:p>
      <w:pPr>
        <w:spacing w:after="0" w:line="19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on the reporting date compared with the origination date; in this sense, the definition used considers the following criteria:</w:t>
      </w:r>
    </w:p>
    <w:p>
      <w:pPr>
        <w:spacing w:after="0" w:line="157" w:lineRule="exact"/>
        <w:rPr>
          <w:sz w:val="20"/>
          <w:szCs w:val="20"/>
          <w:color w:val="auto"/>
        </w:rPr>
      </w:pPr>
    </w:p>
    <w:p>
      <w:pPr>
        <w:ind w:left="280" w:hanging="276"/>
        <w:spacing w:after="0"/>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in arrears.</w:t>
      </w:r>
    </w:p>
    <w:p>
      <w:pPr>
        <w:spacing w:after="0" w:line="195" w:lineRule="exact"/>
        <w:rPr>
          <w:rFonts w:ascii="Arial" w:cs="Arial" w:eastAsia="Arial" w:hAnsi="Arial"/>
          <w:sz w:val="16"/>
          <w:szCs w:val="16"/>
          <w:color w:val="auto"/>
        </w:rPr>
      </w:pPr>
    </w:p>
    <w:p>
      <w:pPr>
        <w:ind w:left="280" w:right="280" w:hanging="276"/>
        <w:spacing w:after="0" w:line="269" w:lineRule="auto"/>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Risk thresholds have been established based on the internal models and based on relative difference thresholds (by portfolio and risk level) in which the instrument was originated.</w:t>
      </w:r>
    </w:p>
    <w:p>
      <w:pPr>
        <w:spacing w:after="0" w:line="156" w:lineRule="exact"/>
        <w:rPr>
          <w:rFonts w:ascii="Arial" w:cs="Arial" w:eastAsia="Arial" w:hAnsi="Arial"/>
          <w:sz w:val="16"/>
          <w:szCs w:val="16"/>
          <w:color w:val="auto"/>
        </w:rPr>
      </w:pPr>
    </w:p>
    <w:p>
      <w:pPr>
        <w:ind w:left="280" w:hanging="276"/>
        <w:spacing w:after="0"/>
        <w:tabs>
          <w:tab w:leader="none" w:pos="2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follow-up systems, alerts and monitoring of risk portfolios are integrated, as established by the current risk policy in Wholesale and Retail Banking.</w:t>
      </w:r>
    </w:p>
    <w:p>
      <w:pPr>
        <w:spacing w:after="0" w:line="207" w:lineRule="exact"/>
        <w:rPr>
          <w:sz w:val="20"/>
          <w:szCs w:val="20"/>
          <w:color w:val="auto"/>
        </w:rPr>
      </w:pPr>
    </w:p>
    <w:p>
      <w:pPr>
        <w:ind w:right="560"/>
        <w:spacing w:after="0" w:line="342" w:lineRule="auto"/>
        <w:rPr>
          <w:sz w:val="20"/>
          <w:szCs w:val="20"/>
          <w:color w:val="auto"/>
        </w:rPr>
      </w:pPr>
      <w:r>
        <w:rPr>
          <w:rFonts w:ascii="Arial" w:cs="Arial" w:eastAsia="Arial" w:hAnsi="Arial"/>
          <w:sz w:val="14"/>
          <w:szCs w:val="14"/>
          <w:color w:val="auto"/>
        </w:rPr>
        <w:t>Additionally, all the accounts that are classified as default on the reporting date are considered as stage 3. The significant risk increase evaluations from their initial recognition and of credit impairment are carried out independently on each reporting date. The assets can move in both directions, from one stage to another.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Prospective information -</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measurement of expected credit losses for each stage and the evaluation of significant increases in credit risk must consider information regarding previous events and current conditions, as well as the projections of future events and economic conditions. The estimate of the risk parameters (PD, LGD, EAD), used in the calculation of the provision in stages 1 and 2, included macroeconomic variables that differ between portfolios. These projections have a 3-year period and, additionally, a long-term projection.</w:t>
      </w:r>
    </w:p>
    <w:p>
      <w:pPr>
        <w:spacing w:after="0" w:line="35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80"/>
          </w:cols>
          <w:pgMar w:left="800" w:top="815" w:right="21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6"/>
          <w:szCs w:val="16"/>
          <w:color w:val="auto"/>
        </w:rPr>
        <w:t>The estimate of expected losses for stages 1, 2 and 3 will be a weighted estimate that considers three future macroeconomic scenarios. The base, optimist and pessimist scenarios are based on macroeconomic projections provided by the internal team of economic studies and approved by Senior Management. This same team also provides the probabilities of occurrence of each scenario. It should be stated, that the design of the scenario is adjusted at least once a year, with the possibility of a greater frequency if required by the surrounding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Macroeconomic factors -</w:t>
      </w:r>
    </w:p>
    <w:p>
      <w:pPr>
        <w:spacing w:after="0" w:line="195"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its models, the Group bases itself on an wide variety of prospective information such as economic inputs, including: the growth of the gross domestic product (GDP), unemployment rates, the base rates of the central bank, among others. It is possible that the inputs and models used to calculate the expected credit losses do not always capture all the market characteristics on the date of the financial statements. To reflect this, qualitative adjustments or overlays such as temporary adjustments can be carried out using the opinion of experts.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Expected life -</w:t>
      </w:r>
    </w:p>
    <w:p>
      <w:pPr>
        <w:spacing w:after="0" w:line="19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For the instruments in Stage 2 or 3, the reserves for losses will cover the lifetime expected credit losses of the instrument. For the majority of the instruments, the expected life is limited to the remaining term of the product, adjusted by expected advance payments. In the case of revolving products, an analysis was carried out in order to determine the expected life period.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Presentation of allowance for loan losses in the consolidated statement of financial position -</w:t>
      </w:r>
    </w:p>
    <w:p>
      <w:pPr>
        <w:spacing w:after="0" w:line="195" w:lineRule="exact"/>
        <w:rPr>
          <w:sz w:val="20"/>
          <w:szCs w:val="20"/>
          <w:color w:val="auto"/>
        </w:rPr>
      </w:pPr>
    </w:p>
    <w:p>
      <w:pPr>
        <w:ind w:left="280" w:hanging="276"/>
        <w:spacing w:after="0"/>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Financial assets measured at amortized cost: as a deduction from the gross carrying amount of the financial assets;</w:t>
      </w:r>
    </w:p>
    <w:p>
      <w:pPr>
        <w:spacing w:after="0" w:line="16" w:lineRule="exact"/>
        <w:rPr>
          <w:rFonts w:ascii="Arial" w:cs="Arial" w:eastAsia="Arial" w:hAnsi="Arial"/>
          <w:sz w:val="16"/>
          <w:szCs w:val="16"/>
          <w:color w:val="auto"/>
        </w:rPr>
      </w:pPr>
    </w:p>
    <w:p>
      <w:pPr>
        <w:ind w:left="280" w:right="240" w:hanging="276"/>
        <w:spacing w:after="0" w:line="263" w:lineRule="auto"/>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Debt instruments measured at fair value through other comprehensive income: it does not recognize any provision in the statement of financial position because the carrying amount of these assets is their fair value; however, the expected credit loss is presented in other comprehensive income;</w:t>
      </w:r>
    </w:p>
    <w:p>
      <w:pPr>
        <w:spacing w:after="0" w:line="1" w:lineRule="exact"/>
        <w:rPr>
          <w:rFonts w:ascii="Arial" w:cs="Arial" w:eastAsia="Arial" w:hAnsi="Arial"/>
          <w:sz w:val="15"/>
          <w:szCs w:val="15"/>
          <w:color w:val="auto"/>
        </w:rPr>
      </w:pPr>
    </w:p>
    <w:p>
      <w:pPr>
        <w:ind w:left="280" w:hanging="276"/>
        <w:spacing w:after="0"/>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Indirect loans: the credit loss provision is presented in the item “Other liabilities” of the statement of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Policy applicable up to December 31, 2017 -</w:t>
      </w:r>
    </w:p>
    <w:p>
      <w:pPr>
        <w:spacing w:after="0" w:line="19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Group assessed at the end of each period whether there was any objective evidence that a financial asset or a group of financial assets was impaired. An impairment existed if one or more events that has occurred since the initial recognition of the asset (an incurred “loss event”), had had an impact on the estimated future cash flows of the financial asset or group of financial assets that could be reliably estimated. Evidence of impairment could have included indications that the borrower or a group of borrowers was experiencing significant financial difficulty, default or delinquency in interest or principal payments, the probability of bankruptcy or other legal financial reorganization process and where observable data indicate that there was a measurable decrease in the estimated future cash flows, such as changes in arrears or economic conditions that correlate with defaults.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criterion used for each category of financial assets was follows:</w:t>
      </w:r>
    </w:p>
    <w:p>
      <w:pPr>
        <w:spacing w:after="0" w:line="195" w:lineRule="exact"/>
        <w:rPr>
          <w:sz w:val="20"/>
          <w:szCs w:val="20"/>
          <w:color w:val="auto"/>
        </w:rPr>
      </w:pPr>
    </w:p>
    <w:p>
      <w:pPr>
        <w:ind w:left="280" w:hanging="276"/>
        <w:spacing w:after="0"/>
        <w:tabs>
          <w:tab w:leader="none" w:pos="2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Financial assets carried at amortized cost -</w:t>
      </w:r>
    </w:p>
    <w:p>
      <w:pPr>
        <w:spacing w:after="0" w:line="195" w:lineRule="exact"/>
        <w:rPr>
          <w:rFonts w:ascii="Arial" w:cs="Arial" w:eastAsia="Arial" w:hAnsi="Arial"/>
          <w:sz w:val="16"/>
          <w:szCs w:val="16"/>
          <w:color w:val="auto"/>
        </w:rPr>
      </w:pPr>
    </w:p>
    <w:p>
      <w:pPr>
        <w:ind w:left="280" w:right="60"/>
        <w:spacing w:after="0" w:line="273" w:lineRule="auto"/>
        <w:rPr>
          <w:rFonts w:ascii="Arial" w:cs="Arial" w:eastAsia="Arial" w:hAnsi="Arial"/>
          <w:sz w:val="16"/>
          <w:szCs w:val="16"/>
          <w:color w:val="auto"/>
        </w:rPr>
      </w:pPr>
      <w:r>
        <w:rPr>
          <w:rFonts w:ascii="Arial" w:cs="Arial" w:eastAsia="Arial" w:hAnsi="Arial"/>
          <w:sz w:val="15"/>
          <w:szCs w:val="15"/>
          <w:color w:val="auto"/>
        </w:rPr>
        <w:t>For loans, receivables and held-to-maturity investments that were carried at amortized cost, the Group first assessed whether impairment existed individually for financial assets that were individually significant, or collectively for financial assets that were not individually significant. If the Group determined that no objective evidence of impairment existed for an individually assessed financial asset, whether significant or not, it included that asset in a group of financial assets with similar credit risk characteristics and collectively assessed them for impairment. Assets that were individually assessed for impairment and for which an impairment loss was, or continues to be, recognized were not included in a collective assessment of impairment.</w:t>
      </w:r>
    </w:p>
    <w:p>
      <w:pPr>
        <w:spacing w:after="0" w:line="346" w:lineRule="exact"/>
        <w:rPr>
          <w:rFonts w:ascii="Arial" w:cs="Arial" w:eastAsia="Arial" w:hAnsi="Arial"/>
          <w:sz w:val="16"/>
          <w:szCs w:val="16"/>
          <w:color w:val="auto"/>
        </w:rPr>
      </w:pPr>
    </w:p>
    <w:p>
      <w:pPr>
        <w:ind w:left="5080" w:hanging="91"/>
        <w:spacing w:after="0"/>
        <w:tabs>
          <w:tab w:leader="none" w:pos="50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4" w:right="239" w:bottom="1440" w:gutter="0" w:footer="0" w:header="0"/>
        </w:sectPr>
      </w:pPr>
    </w:p>
    <w:bookmarkStart w:id="51" w:name="page52"/>
    <w:bookmarkEnd w:id="51"/>
    <w:p>
      <w:pPr>
        <w:ind w:left="276" w:right="20"/>
        <w:spacing w:after="0" w:line="269" w:lineRule="auto"/>
        <w:rPr>
          <w:sz w:val="20"/>
          <w:szCs w:val="20"/>
          <w:color w:val="auto"/>
        </w:rPr>
      </w:pPr>
      <w:r>
        <w:rPr>
          <w:rFonts w:ascii="Arial" w:cs="Arial" w:eastAsia="Arial" w:hAnsi="Arial"/>
          <w:sz w:val="16"/>
          <w:szCs w:val="16"/>
          <w:color w:val="auto"/>
        </w:rPr>
        <w:t>The amount of any impairment loss identified was measured as the difference between the asset’s carrying amount and the present value of estimated future cash flows (excluding future expected credit losses that had not yet been incurred).</w:t>
      </w:r>
    </w:p>
    <w:p>
      <w:pPr>
        <w:spacing w:after="0" w:line="157" w:lineRule="exact"/>
        <w:rPr>
          <w:sz w:val="20"/>
          <w:szCs w:val="20"/>
          <w:color w:val="auto"/>
        </w:rPr>
      </w:pPr>
    </w:p>
    <w:p>
      <w:pPr>
        <w:ind w:left="276" w:right="60"/>
        <w:spacing w:after="0" w:line="254" w:lineRule="auto"/>
        <w:rPr>
          <w:sz w:val="20"/>
          <w:szCs w:val="20"/>
          <w:color w:val="auto"/>
        </w:rPr>
      </w:pPr>
      <w:r>
        <w:rPr>
          <w:rFonts w:ascii="Arial" w:cs="Arial" w:eastAsia="Arial" w:hAnsi="Arial"/>
          <w:sz w:val="16"/>
          <w:szCs w:val="16"/>
          <w:color w:val="auto"/>
        </w:rPr>
        <w:t>The carrying amount of the asset was reduced through the use of a provision account and the amount of the loss was recognized in the consolidated statement of income. A loan, together with the respective associated provision, was written off when classified as a loss and was fully provisioned and there was real and verifiable evidence that the loan was irrecoverable and collection efforts had been concluded without success, the impossibility of foreclosures or all collateral had been realized or had been transferred to the Group.</w:t>
      </w:r>
    </w:p>
    <w:p>
      <w:pPr>
        <w:spacing w:after="0" w:line="169" w:lineRule="exact"/>
        <w:rPr>
          <w:sz w:val="20"/>
          <w:szCs w:val="20"/>
          <w:color w:val="auto"/>
        </w:rPr>
      </w:pPr>
    </w:p>
    <w:p>
      <w:pPr>
        <w:ind w:left="276"/>
        <w:spacing w:after="0" w:line="258" w:lineRule="auto"/>
        <w:rPr>
          <w:sz w:val="20"/>
          <w:szCs w:val="20"/>
          <w:color w:val="auto"/>
        </w:rPr>
      </w:pPr>
      <w:r>
        <w:rPr>
          <w:rFonts w:ascii="Arial" w:cs="Arial" w:eastAsia="Arial" w:hAnsi="Arial"/>
          <w:sz w:val="16"/>
          <w:szCs w:val="16"/>
          <w:color w:val="auto"/>
        </w:rPr>
        <w:t>If in any subsequent year, the amount of the estimated impairment loss increased or decreased because of an event occurring after the impairment was recognized, the previously recognized impairment loss was increased or reduced by adjusting the provision account. If in the future a written-off loan was later recovered, the recovery was recognized in the consolidated statement of income, as a credit to “Recovery of written off loans”.</w:t>
      </w:r>
    </w:p>
    <w:p>
      <w:pPr>
        <w:spacing w:after="0" w:line="165" w:lineRule="exact"/>
        <w:rPr>
          <w:sz w:val="20"/>
          <w:szCs w:val="20"/>
          <w:color w:val="auto"/>
        </w:rPr>
      </w:pPr>
    </w:p>
    <w:p>
      <w:pPr>
        <w:ind w:left="276" w:right="340"/>
        <w:spacing w:after="0" w:line="269" w:lineRule="auto"/>
        <w:rPr>
          <w:sz w:val="20"/>
          <w:szCs w:val="20"/>
          <w:color w:val="auto"/>
        </w:rPr>
      </w:pPr>
      <w:r>
        <w:rPr>
          <w:rFonts w:ascii="Arial" w:cs="Arial" w:eastAsia="Arial" w:hAnsi="Arial"/>
          <w:sz w:val="16"/>
          <w:szCs w:val="16"/>
          <w:color w:val="auto"/>
        </w:rPr>
        <w:t>The present value of the estimated future cash flows was discounted at the financial asset’s original effective interest rate. If a loan had a variable interest rate, the discount rate for measuring any impairment loss was the current effective interest rate.</w:t>
      </w:r>
    </w:p>
    <w:p>
      <w:pPr>
        <w:spacing w:after="0" w:line="157" w:lineRule="exact"/>
        <w:rPr>
          <w:sz w:val="20"/>
          <w:szCs w:val="20"/>
          <w:color w:val="auto"/>
        </w:rPr>
      </w:pPr>
    </w:p>
    <w:p>
      <w:pPr>
        <w:ind w:left="276" w:right="600"/>
        <w:spacing w:after="0" w:line="269" w:lineRule="auto"/>
        <w:rPr>
          <w:sz w:val="20"/>
          <w:szCs w:val="20"/>
          <w:color w:val="auto"/>
        </w:rPr>
      </w:pPr>
      <w:r>
        <w:rPr>
          <w:rFonts w:ascii="Arial" w:cs="Arial" w:eastAsia="Arial" w:hAnsi="Arial"/>
          <w:sz w:val="16"/>
          <w:szCs w:val="16"/>
          <w:color w:val="auto"/>
        </w:rPr>
        <w:t>The calculation of the present value of the estimated future cash flows of a collateralized financial asset reflected the cash flows that could have resulted from foreclosure less costs for obtaining and selling the collateral, whether or not foreclosure was probable.</w:t>
      </w:r>
    </w:p>
    <w:p>
      <w:pPr>
        <w:spacing w:after="0" w:line="157" w:lineRule="exact"/>
        <w:rPr>
          <w:sz w:val="20"/>
          <w:szCs w:val="20"/>
          <w:color w:val="auto"/>
        </w:rPr>
      </w:pPr>
    </w:p>
    <w:p>
      <w:pPr>
        <w:ind w:left="276" w:right="840"/>
        <w:spacing w:after="0" w:line="303" w:lineRule="auto"/>
        <w:rPr>
          <w:sz w:val="20"/>
          <w:szCs w:val="20"/>
          <w:color w:val="auto"/>
        </w:rPr>
      </w:pPr>
      <w:r>
        <w:rPr>
          <w:rFonts w:ascii="Arial" w:cs="Arial" w:eastAsia="Arial" w:hAnsi="Arial"/>
          <w:sz w:val="15"/>
          <w:szCs w:val="15"/>
          <w:color w:val="auto"/>
        </w:rPr>
        <w:t>For collective assessment of impairment, financial assets were grouped considering the Group’s internal credit rating system, which considered credit risk characteristics; for example: asset type, industry, geographical location, collateral type and past-due status and other relevant factors.</w:t>
      </w:r>
    </w:p>
    <w:p>
      <w:pPr>
        <w:spacing w:after="0" w:line="133" w:lineRule="exact"/>
        <w:rPr>
          <w:sz w:val="20"/>
          <w:szCs w:val="20"/>
          <w:color w:val="auto"/>
        </w:rPr>
      </w:pPr>
    </w:p>
    <w:p>
      <w:pPr>
        <w:ind w:left="276"/>
        <w:spacing w:after="0" w:line="302" w:lineRule="auto"/>
        <w:rPr>
          <w:sz w:val="20"/>
          <w:szCs w:val="20"/>
          <w:color w:val="auto"/>
        </w:rPr>
      </w:pPr>
      <w:r>
        <w:rPr>
          <w:rFonts w:ascii="Arial" w:cs="Arial" w:eastAsia="Arial" w:hAnsi="Arial"/>
          <w:sz w:val="14"/>
          <w:szCs w:val="14"/>
          <w:color w:val="auto"/>
        </w:rPr>
        <w:t>Future cash flows from a group of financial assets that were collectively evaluated for impairment were estimated on the basis of historical loss experience for assets with similar credit risk characteristics to those in the group. Historical loss experience was adjusted on the basis of current observable data to reflect the effects of current conditions that did not affect the years on which the historical loss experience was based and to remove the effects of conditions in the historical period that did not exist. The methodology and assumptions used were reviewed regularly to reduce any differences between loss estimates and actual loss experience.</w:t>
      </w:r>
    </w:p>
    <w:p>
      <w:pPr>
        <w:spacing w:after="0" w:line="138" w:lineRule="exact"/>
        <w:rPr>
          <w:sz w:val="20"/>
          <w:szCs w:val="20"/>
          <w:color w:val="auto"/>
        </w:rPr>
      </w:pPr>
    </w:p>
    <w:p>
      <w:pPr>
        <w:ind w:left="276" w:hanging="276"/>
        <w:spacing w:after="0"/>
        <w:tabs>
          <w:tab w:leader="none" w:pos="2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Available-for-sale investments -</w:t>
      </w:r>
    </w:p>
    <w:p>
      <w:pPr>
        <w:spacing w:after="0" w:line="195" w:lineRule="exact"/>
        <w:rPr>
          <w:rFonts w:ascii="Arial" w:cs="Arial" w:eastAsia="Arial" w:hAnsi="Arial"/>
          <w:sz w:val="16"/>
          <w:szCs w:val="16"/>
          <w:color w:val="auto"/>
        </w:rPr>
      </w:pPr>
    </w:p>
    <w:p>
      <w:pPr>
        <w:ind w:left="276" w:right="140"/>
        <w:spacing w:after="0" w:line="269" w:lineRule="auto"/>
        <w:rPr>
          <w:rFonts w:ascii="Arial" w:cs="Arial" w:eastAsia="Arial" w:hAnsi="Arial"/>
          <w:sz w:val="16"/>
          <w:szCs w:val="16"/>
          <w:color w:val="auto"/>
        </w:rPr>
      </w:pPr>
      <w:r>
        <w:rPr>
          <w:rFonts w:ascii="Arial" w:cs="Arial" w:eastAsia="Arial" w:hAnsi="Arial"/>
          <w:sz w:val="16"/>
          <w:szCs w:val="16"/>
          <w:color w:val="auto"/>
        </w:rPr>
        <w:t>For available-for-sale financial investments, the Group assessed at each date of the consolidated statement of financial position whether there was objective evidence that an investment or a group of investments was impaired.</w:t>
      </w:r>
    </w:p>
    <w:p>
      <w:pPr>
        <w:spacing w:after="0" w:line="156" w:lineRule="exact"/>
        <w:rPr>
          <w:rFonts w:ascii="Arial" w:cs="Arial" w:eastAsia="Arial" w:hAnsi="Arial"/>
          <w:sz w:val="16"/>
          <w:szCs w:val="16"/>
          <w:color w:val="auto"/>
        </w:rPr>
      </w:pPr>
    </w:p>
    <w:p>
      <w:pPr>
        <w:ind w:left="276" w:right="100"/>
        <w:spacing w:after="0" w:line="254" w:lineRule="auto"/>
        <w:rPr>
          <w:rFonts w:ascii="Arial" w:cs="Arial" w:eastAsia="Arial" w:hAnsi="Arial"/>
          <w:sz w:val="16"/>
          <w:szCs w:val="16"/>
          <w:color w:val="auto"/>
        </w:rPr>
      </w:pPr>
      <w:r>
        <w:rPr>
          <w:rFonts w:ascii="Arial" w:cs="Arial" w:eastAsia="Arial" w:hAnsi="Arial"/>
          <w:sz w:val="16"/>
          <w:szCs w:val="16"/>
          <w:color w:val="auto"/>
        </w:rPr>
        <w:t>In the case of equity investments, objective evidence could have included a significant or prolonged decline in their fair value below cost. “Significant” was to be evaluated against the original cost of the investment and “prolonged” against the period in which the fair value had been below its original cost. The determination of what was “significant” or “prolonged” required judgment. In making this judgment, the Group evaluated, among other factors, the duration or extent to which the fair value of an investment was less than its cost.</w:t>
      </w:r>
    </w:p>
    <w:p>
      <w:pPr>
        <w:spacing w:after="0" w:line="359" w:lineRule="exact"/>
        <w:rPr>
          <w:rFonts w:ascii="Arial" w:cs="Arial" w:eastAsia="Arial" w:hAnsi="Arial"/>
          <w:sz w:val="16"/>
          <w:szCs w:val="16"/>
          <w:color w:val="auto"/>
        </w:rPr>
      </w:pPr>
    </w:p>
    <w:p>
      <w:pPr>
        <w:ind w:left="5076" w:hanging="91"/>
        <w:spacing w:after="0"/>
        <w:tabs>
          <w:tab w:leader="none" w:pos="5076" w:val="left"/>
        </w:tabs>
        <w:numPr>
          <w:ilvl w:val="1"/>
          <w:numId w:val="50"/>
        </w:numPr>
        <w:rPr>
          <w:rFonts w:ascii="Arial" w:cs="Arial" w:eastAsia="Arial" w:hAnsi="Arial"/>
          <w:sz w:val="16"/>
          <w:szCs w:val="16"/>
          <w:color w:val="auto"/>
        </w:rPr>
      </w:pPr>
      <w:r>
        <w:rPr>
          <w:rFonts w:ascii="Arial" w:cs="Arial" w:eastAsia="Arial" w:hAnsi="Arial"/>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56"/>
          </w:cols>
          <w:pgMar w:left="804" w:top="815" w:right="239" w:bottom="1440" w:gutter="0" w:footer="0" w:header="0"/>
        </w:sectPr>
      </w:pPr>
    </w:p>
    <w:bookmarkStart w:id="52" w:name="page53"/>
    <w:bookmarkEnd w:id="52"/>
    <w:p>
      <w:pPr>
        <w:ind w:left="561" w:right="200"/>
        <w:spacing w:after="0" w:line="277" w:lineRule="auto"/>
        <w:rPr>
          <w:sz w:val="20"/>
          <w:szCs w:val="20"/>
          <w:color w:val="auto"/>
        </w:rPr>
      </w:pPr>
      <w:r>
        <w:rPr>
          <w:rFonts w:ascii="Arial" w:cs="Arial" w:eastAsia="Arial" w:hAnsi="Arial"/>
          <w:sz w:val="15"/>
          <w:szCs w:val="15"/>
          <w:color w:val="auto"/>
        </w:rPr>
        <w:t>When there was evidence of impairment, the cumulative loss (measured as the difference between the acquisition cost and the current fair value, less any previously recognized impairment loss) was removed from the available-for-sale investments reserve of the consolidated statement of changes in equity and recognized in the consolidated statement of income. Impairment losses on equity investments were not reversed through the consolidated statement of income; increases in their fair value after impairment were recognized directly in the consolidated statement of comprehensive income.</w:t>
      </w:r>
    </w:p>
    <w:p>
      <w:pPr>
        <w:spacing w:after="0" w:line="152" w:lineRule="exact"/>
        <w:rPr>
          <w:sz w:val="20"/>
          <w:szCs w:val="20"/>
          <w:color w:val="auto"/>
        </w:rPr>
      </w:pPr>
    </w:p>
    <w:p>
      <w:pPr>
        <w:ind w:left="561" w:right="120"/>
        <w:spacing w:after="0" w:line="251" w:lineRule="auto"/>
        <w:rPr>
          <w:sz w:val="20"/>
          <w:szCs w:val="20"/>
          <w:color w:val="auto"/>
        </w:rPr>
      </w:pPr>
      <w:r>
        <w:rPr>
          <w:rFonts w:ascii="Arial" w:cs="Arial" w:eastAsia="Arial" w:hAnsi="Arial"/>
          <w:sz w:val="16"/>
          <w:szCs w:val="16"/>
          <w:color w:val="auto"/>
        </w:rPr>
        <w:t>In the case of debt instruments, impairment was assessed based on the same criteria as financial assets carried at amortized cost. However, the amount recorded for impairment was the cumulative loss measured as the difference between the amortized cost and the current fair value, less any impairment loss on that investment previously recognized in the consolidated statement of income. Future interest income was based on the reduced carrying amount and was accrued using the interest rate used to discount the future cash flows for the purpose of measuring the impairment loss. Interest income was recorded as part of “Interest and similar income” of the consolidated statement of income. If in a subsequent year, the fair value of a debt instrument increases and the increase could be objectively related to an event occurring after the impairment loss was recognized in the consolidated statements of income, the impairment loss was reversed through the consolidated statement of income.</w:t>
      </w:r>
    </w:p>
    <w:p>
      <w:pPr>
        <w:spacing w:after="0" w:line="170" w:lineRule="exact"/>
        <w:rPr>
          <w:sz w:val="20"/>
          <w:szCs w:val="20"/>
          <w:color w:val="auto"/>
        </w:rPr>
      </w:pPr>
    </w:p>
    <w:p>
      <w:pPr>
        <w:ind w:left="281"/>
        <w:spacing w:after="0"/>
        <w:rPr>
          <w:sz w:val="20"/>
          <w:szCs w:val="20"/>
          <w:color w:val="auto"/>
        </w:rPr>
      </w:pPr>
      <w:r>
        <w:rPr>
          <w:rFonts w:ascii="Arial" w:cs="Arial" w:eastAsia="Arial" w:hAnsi="Arial"/>
          <w:sz w:val="16"/>
          <w:szCs w:val="16"/>
          <w:color w:val="auto"/>
        </w:rPr>
        <w:t>Renegotiated loans -</w:t>
      </w:r>
    </w:p>
    <w:p>
      <w:pPr>
        <w:spacing w:after="0" w:line="195" w:lineRule="exact"/>
        <w:rPr>
          <w:sz w:val="20"/>
          <w:szCs w:val="20"/>
          <w:color w:val="auto"/>
        </w:rPr>
      </w:pPr>
    </w:p>
    <w:p>
      <w:pPr>
        <w:ind w:left="281" w:right="240"/>
        <w:spacing w:after="0" w:line="283" w:lineRule="auto"/>
        <w:rPr>
          <w:sz w:val="20"/>
          <w:szCs w:val="20"/>
          <w:color w:val="auto"/>
        </w:rPr>
      </w:pPr>
      <w:r>
        <w:rPr>
          <w:rFonts w:ascii="Arial" w:cs="Arial" w:eastAsia="Arial" w:hAnsi="Arial"/>
          <w:sz w:val="15"/>
          <w:szCs w:val="15"/>
          <w:color w:val="auto"/>
        </w:rPr>
        <w:t>When a loan is modified, it is not considered as past due but maintained its previous classification as impaired or not impaired. If the debtor complied with the new agreement over the following six months, and an analysis of its payment capacity supported a new improved risk classification, the loan is classified as not impaired. If, subsequent to the loan modification, the debtor failed to comply with the new agreement, it is considered as impaired and past due.</w:t>
      </w:r>
    </w:p>
    <w:p>
      <w:pPr>
        <w:spacing w:after="0" w:line="148" w:lineRule="exact"/>
        <w:rPr>
          <w:sz w:val="20"/>
          <w:szCs w:val="20"/>
          <w:color w:val="auto"/>
        </w:rPr>
      </w:pPr>
    </w:p>
    <w:p>
      <w:pPr>
        <w:ind w:left="281" w:hanging="281"/>
        <w:spacing w:after="0"/>
        <w:tabs>
          <w:tab w:leader="none" w:pos="2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Leases -</w:t>
      </w:r>
    </w:p>
    <w:p>
      <w:pPr>
        <w:spacing w:after="0" w:line="195" w:lineRule="exact"/>
        <w:rPr>
          <w:rFonts w:ascii="Arial" w:cs="Arial" w:eastAsia="Arial" w:hAnsi="Arial"/>
          <w:sz w:val="16"/>
          <w:szCs w:val="16"/>
          <w:color w:val="auto"/>
        </w:rPr>
      </w:pPr>
    </w:p>
    <w:p>
      <w:pPr>
        <w:ind w:left="281" w:right="20"/>
        <w:spacing w:after="0" w:line="258" w:lineRule="auto"/>
        <w:rPr>
          <w:rFonts w:ascii="Arial" w:cs="Arial" w:eastAsia="Arial" w:hAnsi="Arial"/>
          <w:sz w:val="16"/>
          <w:szCs w:val="16"/>
          <w:color w:val="auto"/>
        </w:rPr>
      </w:pPr>
      <w:r>
        <w:rPr>
          <w:rFonts w:ascii="Arial" w:cs="Arial" w:eastAsia="Arial" w:hAnsi="Arial"/>
          <w:sz w:val="16"/>
          <w:szCs w:val="16"/>
          <w:color w:val="auto"/>
        </w:rPr>
        <w:t>The determination of whether an arrangement is, or contains, a lease is based on the substance of the arrangement at the inception date: whether fulfillment of the arrangement is dependent on the use of a specific asset or assets and on whether the arrangement conveys a right to use the asset even if that right is not explicitly specified in an arrangement.</w:t>
      </w:r>
    </w:p>
    <w:p>
      <w:pPr>
        <w:spacing w:after="0" w:line="16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Operating leases:</w:t>
      </w:r>
    </w:p>
    <w:p>
      <w:pPr>
        <w:spacing w:after="0" w:line="195" w:lineRule="exact"/>
        <w:rPr>
          <w:rFonts w:ascii="Arial" w:cs="Arial" w:eastAsia="Arial" w:hAnsi="Arial"/>
          <w:sz w:val="16"/>
          <w:szCs w:val="16"/>
          <w:color w:val="auto"/>
        </w:rPr>
      </w:pPr>
    </w:p>
    <w:p>
      <w:pPr>
        <w:ind w:left="281" w:right="80"/>
        <w:spacing w:after="0" w:line="269" w:lineRule="auto"/>
        <w:rPr>
          <w:rFonts w:ascii="Arial" w:cs="Arial" w:eastAsia="Arial" w:hAnsi="Arial"/>
          <w:sz w:val="16"/>
          <w:szCs w:val="16"/>
          <w:color w:val="auto"/>
        </w:rPr>
      </w:pPr>
      <w:r>
        <w:rPr>
          <w:rFonts w:ascii="Arial" w:cs="Arial" w:eastAsia="Arial" w:hAnsi="Arial"/>
          <w:sz w:val="16"/>
          <w:szCs w:val="16"/>
          <w:color w:val="auto"/>
        </w:rPr>
        <w:t>Leases in which a significant portion of the risks and benefits of the asset are held by the lessor are classified as operating leases. Under this concept the Group has mainly leased premises used as offices and agencies of the Group’s subsidiaries.</w:t>
      </w:r>
    </w:p>
    <w:p>
      <w:pPr>
        <w:spacing w:after="0" w:line="156" w:lineRule="exact"/>
        <w:rPr>
          <w:rFonts w:ascii="Arial" w:cs="Arial" w:eastAsia="Arial" w:hAnsi="Arial"/>
          <w:sz w:val="16"/>
          <w:szCs w:val="16"/>
          <w:color w:val="auto"/>
        </w:rPr>
      </w:pPr>
    </w:p>
    <w:p>
      <w:pPr>
        <w:ind w:left="281" w:right="20"/>
        <w:spacing w:after="0" w:line="269" w:lineRule="auto"/>
        <w:rPr>
          <w:rFonts w:ascii="Arial" w:cs="Arial" w:eastAsia="Arial" w:hAnsi="Arial"/>
          <w:sz w:val="16"/>
          <w:szCs w:val="16"/>
          <w:color w:val="auto"/>
        </w:rPr>
      </w:pPr>
      <w:r>
        <w:rPr>
          <w:rFonts w:ascii="Arial" w:cs="Arial" w:eastAsia="Arial" w:hAnsi="Arial"/>
          <w:sz w:val="16"/>
          <w:szCs w:val="16"/>
          <w:color w:val="auto"/>
        </w:rPr>
        <w:t>When an operating lease is terminated before the lease period has expired, any penalty payment to the lessor is recognized as an expense in the period in which termination takes place.</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Finance leases:</w:t>
      </w:r>
    </w:p>
    <w:p>
      <w:pPr>
        <w:spacing w:after="0" w:line="195" w:lineRule="exact"/>
        <w:rPr>
          <w:rFonts w:ascii="Arial" w:cs="Arial" w:eastAsia="Arial" w:hAnsi="Arial"/>
          <w:sz w:val="16"/>
          <w:szCs w:val="16"/>
          <w:color w:val="auto"/>
        </w:rPr>
      </w:pPr>
    </w:p>
    <w:p>
      <w:pPr>
        <w:ind w:left="281"/>
        <w:spacing w:after="0" w:line="258" w:lineRule="auto"/>
        <w:rPr>
          <w:rFonts w:ascii="Arial" w:cs="Arial" w:eastAsia="Arial" w:hAnsi="Arial"/>
          <w:sz w:val="16"/>
          <w:szCs w:val="16"/>
          <w:color w:val="auto"/>
        </w:rPr>
      </w:pPr>
      <w:r>
        <w:rPr>
          <w:rFonts w:ascii="Arial" w:cs="Arial" w:eastAsia="Arial" w:hAnsi="Arial"/>
          <w:sz w:val="16"/>
          <w:szCs w:val="16"/>
          <w:color w:val="auto"/>
        </w:rPr>
        <w:t>Finance leases are recognized as granted loans at the present value of the future lease collections. The difference between the gross receivable amount and the present value of the loan is recognized as unearned interest. Lease income is recognized over the term of the lease agreement using the effective interest rate method, which reflects a constant periodic rate of return.</w:t>
      </w:r>
    </w:p>
    <w:p>
      <w:pPr>
        <w:spacing w:after="0" w:line="354" w:lineRule="exact"/>
        <w:rPr>
          <w:rFonts w:ascii="Arial" w:cs="Arial" w:eastAsia="Arial" w:hAnsi="Arial"/>
          <w:sz w:val="16"/>
          <w:szCs w:val="16"/>
          <w:color w:val="auto"/>
        </w:rPr>
      </w:pPr>
    </w:p>
    <w:p>
      <w:pPr>
        <w:ind w:left="5361" w:hanging="91"/>
        <w:spacing w:after="0"/>
        <w:tabs>
          <w:tab w:leader="none" w:pos="5361" w:val="left"/>
        </w:tabs>
        <w:numPr>
          <w:ilvl w:val="1"/>
          <w:numId w:val="51"/>
        </w:numPr>
        <w:rPr>
          <w:rFonts w:ascii="Arial" w:cs="Arial" w:eastAsia="Arial" w:hAnsi="Arial"/>
          <w:sz w:val="16"/>
          <w:szCs w:val="16"/>
          <w:color w:val="auto"/>
        </w:rPr>
      </w:pPr>
      <w:r>
        <w:rPr>
          <w:rFonts w:ascii="Arial" w:cs="Arial" w:eastAsia="Arial" w:hAnsi="Arial"/>
          <w:sz w:val="16"/>
          <w:szCs w:val="16"/>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4" w:right="239" w:bottom="1440" w:gutter="0" w:footer="0" w:header="0"/>
        </w:sectPr>
      </w:pPr>
    </w:p>
    <w:bookmarkStart w:id="53" w:name="page54"/>
    <w:bookmarkEnd w:id="53"/>
    <w:p>
      <w:pPr>
        <w:ind w:left="281" w:hanging="281"/>
        <w:spacing w:after="0"/>
        <w:tabs>
          <w:tab w:leader="none" w:pos="2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Property, furniture and equipment -</w:t>
      </w:r>
    </w:p>
    <w:p>
      <w:pPr>
        <w:spacing w:after="0" w:line="195" w:lineRule="exact"/>
        <w:rPr>
          <w:rFonts w:ascii="Arial" w:cs="Arial" w:eastAsia="Arial" w:hAnsi="Arial"/>
          <w:sz w:val="16"/>
          <w:szCs w:val="16"/>
          <w:color w:val="auto"/>
        </w:rPr>
      </w:pPr>
    </w:p>
    <w:p>
      <w:pPr>
        <w:ind w:left="281" w:right="60"/>
        <w:spacing w:after="0" w:line="254" w:lineRule="auto"/>
        <w:rPr>
          <w:rFonts w:ascii="Arial" w:cs="Arial" w:eastAsia="Arial" w:hAnsi="Arial"/>
          <w:sz w:val="16"/>
          <w:szCs w:val="16"/>
          <w:color w:val="auto"/>
        </w:rPr>
      </w:pPr>
      <w:r>
        <w:rPr>
          <w:rFonts w:ascii="Arial" w:cs="Arial" w:eastAsia="Arial" w:hAnsi="Arial"/>
          <w:sz w:val="16"/>
          <w:szCs w:val="16"/>
          <w:color w:val="auto"/>
        </w:rPr>
        <w:t>Property, furniture and equipment are recorded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 of income; significant renewals and improvements are capitalized when it is probable that future economic benefits, in excess of the originally assessed standard of performance, will flow from the use of the acquired property, furniture or equipment.</w:t>
      </w:r>
    </w:p>
    <w:p>
      <w:pPr>
        <w:spacing w:after="0" w:line="169"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Land is not depreciated. Depreciation is calculated using the straight-line method over the estimated useful lives, which are as follows:</w:t>
      </w:r>
    </w:p>
    <w:p>
      <w:pPr>
        <w:spacing w:after="0" w:line="191" w:lineRule="exact"/>
        <w:rPr>
          <w:sz w:val="20"/>
          <w:szCs w:val="20"/>
          <w:color w:val="auto"/>
        </w:rPr>
      </w:pPr>
    </w:p>
    <w:tbl>
      <w:tblPr>
        <w:tblLayout w:type="fixed"/>
        <w:tblInd w:w="281" w:type="dxa"/>
        <w:tblCellMar>
          <w:top w:w="0" w:type="dxa"/>
          <w:left w:w="0" w:type="dxa"/>
          <w:bottom w:w="0" w:type="dxa"/>
          <w:right w:w="0" w:type="dxa"/>
        </w:tblCellMar>
      </w:tblPr>
      <w:tr>
        <w:trPr>
          <w:trHeight w:val="205"/>
        </w:trPr>
        <w:tc>
          <w:tcPr>
            <w:tcW w:w="8060" w:type="dxa"/>
            <w:vAlign w:val="bottom"/>
          </w:tcPr>
          <w:p>
            <w:pPr>
              <w:spacing w:after="0"/>
              <w:rPr>
                <w:sz w:val="17"/>
                <w:szCs w:val="17"/>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Years</w:t>
            </w:r>
          </w:p>
        </w:tc>
      </w:tr>
      <w:tr>
        <w:trPr>
          <w:trHeight w:val="359"/>
        </w:trPr>
        <w:tc>
          <w:tcPr>
            <w:tcW w:w="8060" w:type="dxa"/>
            <w:vAlign w:val="bottom"/>
          </w:tcPr>
          <w:p>
            <w:pPr>
              <w:spacing w:after="0"/>
              <w:rPr>
                <w:sz w:val="20"/>
                <w:szCs w:val="20"/>
                <w:color w:val="auto"/>
              </w:rPr>
            </w:pPr>
            <w:r>
              <w:rPr>
                <w:rFonts w:ascii="Arial" w:cs="Arial" w:eastAsia="Arial" w:hAnsi="Arial"/>
                <w:sz w:val="16"/>
                <w:szCs w:val="16"/>
                <w:color w:val="auto"/>
              </w:rPr>
              <w:t>Buildings and other construction</w:t>
            </w: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0"/>
        </w:trPr>
        <w:tc>
          <w:tcPr>
            <w:tcW w:w="8060" w:type="dxa"/>
            <w:vAlign w:val="bottom"/>
          </w:tcPr>
          <w:p>
            <w:pPr>
              <w:spacing w:after="0"/>
              <w:rPr>
                <w:sz w:val="20"/>
                <w:szCs w:val="20"/>
                <w:color w:val="auto"/>
              </w:rPr>
            </w:pPr>
            <w:r>
              <w:rPr>
                <w:rFonts w:ascii="Arial" w:cs="Arial" w:eastAsia="Arial" w:hAnsi="Arial"/>
                <w:sz w:val="16"/>
                <w:szCs w:val="16"/>
                <w:color w:val="auto"/>
              </w:rPr>
              <w:t>Installations</w:t>
            </w: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0"/>
        </w:trPr>
        <w:tc>
          <w:tcPr>
            <w:tcW w:w="80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0"/>
        </w:trPr>
        <w:tc>
          <w:tcPr>
            <w:tcW w:w="8060" w:type="dxa"/>
            <w:vAlign w:val="bottom"/>
          </w:tcPr>
          <w:p>
            <w:pPr>
              <w:spacing w:after="0"/>
              <w:rPr>
                <w:sz w:val="20"/>
                <w:szCs w:val="20"/>
                <w:color w:val="auto"/>
              </w:rPr>
            </w:pPr>
            <w:r>
              <w:rPr>
                <w:rFonts w:ascii="Arial" w:cs="Arial" w:eastAsia="Arial" w:hAnsi="Arial"/>
                <w:sz w:val="16"/>
                <w:szCs w:val="16"/>
                <w:color w:val="auto"/>
              </w:rPr>
              <w:t>Vehicles and equipment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1"/>
        </w:trPr>
        <w:tc>
          <w:tcPr>
            <w:tcW w:w="8060" w:type="dxa"/>
            <w:vAlign w:val="bottom"/>
          </w:tcPr>
          <w:p>
            <w:pPr>
              <w:spacing w:after="0"/>
              <w:rPr>
                <w:sz w:val="20"/>
                <w:szCs w:val="20"/>
                <w:color w:val="auto"/>
              </w:rPr>
            </w:pPr>
            <w:r>
              <w:rPr>
                <w:rFonts w:ascii="Arial" w:cs="Arial" w:eastAsia="Arial" w:hAnsi="Arial"/>
                <w:sz w:val="16"/>
                <w:szCs w:val="16"/>
                <w:color w:val="auto"/>
              </w:rPr>
              <w:t>Computer hardware</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179" w:lineRule="exact"/>
        <w:rPr>
          <w:sz w:val="20"/>
          <w:szCs w:val="20"/>
          <w:color w:val="auto"/>
        </w:rPr>
      </w:pPr>
    </w:p>
    <w:p>
      <w:pPr>
        <w:jc w:val="both"/>
        <w:ind w:left="281" w:right="100"/>
        <w:spacing w:after="0" w:line="258"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income.</w:t>
      </w:r>
    </w:p>
    <w:p>
      <w:pPr>
        <w:spacing w:after="0" w:line="165" w:lineRule="exact"/>
        <w:rPr>
          <w:sz w:val="20"/>
          <w:szCs w:val="20"/>
          <w:color w:val="auto"/>
        </w:rPr>
      </w:pPr>
    </w:p>
    <w:p>
      <w:pPr>
        <w:ind w:left="281"/>
        <w:spacing w:after="0"/>
        <w:rPr>
          <w:sz w:val="20"/>
          <w:szCs w:val="20"/>
          <w:color w:val="auto"/>
        </w:rPr>
      </w:pPr>
      <w:r>
        <w:rPr>
          <w:rFonts w:ascii="Arial" w:cs="Arial" w:eastAsia="Arial" w:hAnsi="Arial"/>
          <w:sz w:val="15"/>
          <w:szCs w:val="15"/>
          <w:color w:val="auto"/>
        </w:rPr>
        <w:t>Assets’ residual value and the selected useful life are periodically reviewed to ensure that they are consistent with current economic benefits and life expectancy.</w:t>
      </w:r>
    </w:p>
    <w:p>
      <w:pPr>
        <w:spacing w:after="0" w:line="207" w:lineRule="exact"/>
        <w:rPr>
          <w:sz w:val="20"/>
          <w:szCs w:val="20"/>
          <w:color w:val="auto"/>
        </w:rPr>
      </w:pPr>
    </w:p>
    <w:p>
      <w:pPr>
        <w:ind w:left="281" w:hanging="281"/>
        <w:spacing w:after="0"/>
        <w:tabs>
          <w:tab w:leader="none" w:pos="28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195" w:lineRule="exact"/>
        <w:rPr>
          <w:rFonts w:ascii="Arial" w:cs="Arial" w:eastAsia="Arial" w:hAnsi="Arial"/>
          <w:sz w:val="16"/>
          <w:szCs w:val="16"/>
          <w:color w:val="auto"/>
        </w:rPr>
      </w:pPr>
    </w:p>
    <w:p>
      <w:pPr>
        <w:ind w:left="281"/>
        <w:spacing w:after="0" w:line="258" w:lineRule="auto"/>
        <w:rPr>
          <w:rFonts w:ascii="Arial" w:cs="Arial" w:eastAsia="Arial" w:hAnsi="Arial"/>
          <w:sz w:val="16"/>
          <w:szCs w:val="16"/>
          <w:color w:val="auto"/>
        </w:rPr>
      </w:pPr>
      <w:r>
        <w:rPr>
          <w:rFonts w:ascii="Arial" w:cs="Arial" w:eastAsia="Arial" w:hAnsi="Arial"/>
          <w:sz w:val="16"/>
          <w:szCs w:val="16"/>
          <w:color w:val="auto"/>
        </w:rPr>
        <w:t>Investment properties are held to earn rentals or for capital appreciation or both rather than for: (a) use in the production or supply or goods or services or for administrative purposes; or (b) sale in the ordinary course of business. Property that is being constructed or developed for future use as investment property is recognized at cost before completion.</w:t>
      </w:r>
    </w:p>
    <w:p>
      <w:pPr>
        <w:spacing w:after="0" w:line="165" w:lineRule="exact"/>
        <w:rPr>
          <w:rFonts w:ascii="Arial" w:cs="Arial" w:eastAsia="Arial" w:hAnsi="Arial"/>
          <w:sz w:val="16"/>
          <w:szCs w:val="16"/>
          <w:color w:val="auto"/>
        </w:rPr>
      </w:pPr>
    </w:p>
    <w:p>
      <w:pPr>
        <w:ind w:left="281" w:right="240"/>
        <w:spacing w:after="0" w:line="269" w:lineRule="auto"/>
        <w:rPr>
          <w:rFonts w:ascii="Arial" w:cs="Arial" w:eastAsia="Arial" w:hAnsi="Arial"/>
          <w:sz w:val="16"/>
          <w:szCs w:val="16"/>
          <w:color w:val="auto"/>
        </w:rPr>
      </w:pPr>
      <w:r>
        <w:rPr>
          <w:rFonts w:ascii="Arial" w:cs="Arial" w:eastAsia="Arial" w:hAnsi="Arial"/>
          <w:sz w:val="16"/>
          <w:szCs w:val="16"/>
          <w:color w:val="auto"/>
        </w:rPr>
        <w:t>Investment properties are initially measured at fair value, which is the purchase transaction price, unless otherwise indicated. Transaction costs are included in the initial measurement, which includes the purchase price and any other cost directly attributable to the transaction.</w:t>
      </w:r>
    </w:p>
    <w:p>
      <w:pPr>
        <w:spacing w:after="0" w:line="156" w:lineRule="exact"/>
        <w:rPr>
          <w:rFonts w:ascii="Arial" w:cs="Arial" w:eastAsia="Arial" w:hAnsi="Arial"/>
          <w:sz w:val="16"/>
          <w:szCs w:val="16"/>
          <w:color w:val="auto"/>
        </w:rPr>
      </w:pPr>
    </w:p>
    <w:p>
      <w:pPr>
        <w:ind w:left="281" w:right="40"/>
        <w:spacing w:after="0" w:line="258" w:lineRule="auto"/>
        <w:rPr>
          <w:rFonts w:ascii="Arial" w:cs="Arial" w:eastAsia="Arial" w:hAnsi="Arial"/>
          <w:sz w:val="16"/>
          <w:szCs w:val="16"/>
          <w:color w:val="auto"/>
        </w:rPr>
      </w:pPr>
      <w:r>
        <w:rPr>
          <w:rFonts w:ascii="Arial" w:cs="Arial" w:eastAsia="Arial" w:hAnsi="Arial"/>
          <w:sz w:val="16"/>
          <w:szCs w:val="16"/>
          <w:color w:val="auto"/>
        </w:rPr>
        <w:t>For subsequent recognition, an entity shall choose as its accounting policy either the fair value model or the cost model and shall apply that policy to all its investment property. At the date of the consolidated financial statements, the Group has opted for keeping the cost model. Accordingly, investment properties are accounted for at their acquisition cost less accumulated depreciation and the accumulated impairment losses, if any.</w:t>
      </w:r>
    </w:p>
    <w:p>
      <w:pPr>
        <w:spacing w:after="0" w:line="165" w:lineRule="exact"/>
        <w:rPr>
          <w:rFonts w:ascii="Arial" w:cs="Arial" w:eastAsia="Arial" w:hAnsi="Arial"/>
          <w:sz w:val="16"/>
          <w:szCs w:val="16"/>
          <w:color w:val="auto"/>
        </w:rPr>
      </w:pPr>
    </w:p>
    <w:p>
      <w:pPr>
        <w:ind w:left="281" w:right="180"/>
        <w:spacing w:after="0" w:line="258" w:lineRule="auto"/>
        <w:rPr>
          <w:rFonts w:ascii="Arial" w:cs="Arial" w:eastAsia="Arial" w:hAnsi="Arial"/>
          <w:sz w:val="16"/>
          <w:szCs w:val="16"/>
          <w:color w:val="auto"/>
        </w:rPr>
      </w:pPr>
      <w:r>
        <w:rPr>
          <w:rFonts w:ascii="Arial" w:cs="Arial" w:eastAsia="Arial" w:hAnsi="Arial"/>
          <w:sz w:val="16"/>
          <w:szCs w:val="16"/>
          <w:color w:val="auto"/>
        </w:rPr>
        <w:t>An entity can opt for recognizing and depreciating separately the components of an investment property or as a single unit for recording and depreciation purposes. The Group recognizes as a single unit each of its investment properties and has estimated a useful life of 33 years for purposes of determining depreciation under the straight-line method.</w:t>
      </w:r>
    </w:p>
    <w:p>
      <w:pPr>
        <w:spacing w:after="0" w:line="165" w:lineRule="exact"/>
        <w:rPr>
          <w:rFonts w:ascii="Arial" w:cs="Arial" w:eastAsia="Arial" w:hAnsi="Arial"/>
          <w:sz w:val="16"/>
          <w:szCs w:val="16"/>
          <w:color w:val="auto"/>
        </w:rPr>
      </w:pPr>
    </w:p>
    <w:p>
      <w:pPr>
        <w:ind w:left="281" w:right="40"/>
        <w:spacing w:after="0" w:line="269" w:lineRule="auto"/>
        <w:rPr>
          <w:rFonts w:ascii="Arial" w:cs="Arial" w:eastAsia="Arial" w:hAnsi="Arial"/>
          <w:sz w:val="16"/>
          <w:szCs w:val="16"/>
          <w:color w:val="auto"/>
        </w:rPr>
      </w:pPr>
      <w:r>
        <w:rPr>
          <w:rFonts w:ascii="Arial" w:cs="Arial" w:eastAsia="Arial" w:hAnsi="Arial"/>
          <w:sz w:val="16"/>
          <w:szCs w:val="16"/>
          <w:color w:val="auto"/>
        </w:rPr>
        <w:t>Rental income is recognized as rents that are accrued under the related rental agreement; depreciation expenses as well as maintenance expenses and other related expenses are accounted for as maintenance of the rented assets, net within “Other income” in the consolidated statement of income.</w:t>
      </w:r>
    </w:p>
    <w:p>
      <w:pPr>
        <w:spacing w:after="0" w:line="156" w:lineRule="exact"/>
        <w:rPr>
          <w:rFonts w:ascii="Arial" w:cs="Arial" w:eastAsia="Arial" w:hAnsi="Arial"/>
          <w:sz w:val="16"/>
          <w:szCs w:val="16"/>
          <w:color w:val="auto"/>
        </w:rPr>
      </w:pPr>
    </w:p>
    <w:p>
      <w:pPr>
        <w:ind w:left="281" w:hanging="281"/>
        <w:spacing w:after="0"/>
        <w:tabs>
          <w:tab w:leader="none" w:pos="281"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Seized assets -</w:t>
      </w:r>
    </w:p>
    <w:p>
      <w:pPr>
        <w:spacing w:after="0" w:line="195" w:lineRule="exact"/>
        <w:rPr>
          <w:rFonts w:ascii="Arial" w:cs="Arial" w:eastAsia="Arial" w:hAnsi="Arial"/>
          <w:sz w:val="16"/>
          <w:szCs w:val="16"/>
          <w:color w:val="auto"/>
        </w:rPr>
      </w:pPr>
    </w:p>
    <w:p>
      <w:pPr>
        <w:ind w:left="281" w:right="20"/>
        <w:spacing w:after="0" w:line="269" w:lineRule="auto"/>
        <w:rPr>
          <w:rFonts w:ascii="Arial" w:cs="Arial" w:eastAsia="Arial" w:hAnsi="Arial"/>
          <w:sz w:val="16"/>
          <w:szCs w:val="16"/>
          <w:color w:val="auto"/>
        </w:rPr>
      </w:pPr>
      <w:r>
        <w:rPr>
          <w:rFonts w:ascii="Arial" w:cs="Arial" w:eastAsia="Arial" w:hAnsi="Arial"/>
          <w:sz w:val="16"/>
          <w:szCs w:val="16"/>
          <w:color w:val="auto"/>
        </w:rPr>
        <w:t>Seized assets are recorded at the lower of cost or estimated market value, which is obtained from valuations made by independent appraisers. Reductions in book values are recorded in the consolidated statement of income.</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53"/>
        </w:numPr>
        <w:rPr>
          <w:rFonts w:ascii="Arial" w:cs="Arial" w:eastAsia="Arial" w:hAnsi="Arial"/>
          <w:sz w:val="16"/>
          <w:szCs w:val="16"/>
          <w:color w:val="auto"/>
        </w:rPr>
      </w:pPr>
      <w:r>
        <w:rPr>
          <w:rFonts w:ascii="Arial" w:cs="Arial" w:eastAsia="Arial" w:hAnsi="Arial"/>
          <w:sz w:val="16"/>
          <w:szCs w:val="16"/>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4" w:right="219" w:bottom="1440" w:gutter="0" w:footer="0" w:header="0"/>
        </w:sectPr>
      </w:pPr>
    </w:p>
    <w:bookmarkStart w:id="54" w:name="page55"/>
    <w:bookmarkEnd w:id="54"/>
    <w:p>
      <w:pPr>
        <w:ind w:left="281" w:hanging="281"/>
        <w:spacing w:after="0"/>
        <w:tabs>
          <w:tab w:leader="none" w:pos="281" w:val="left"/>
        </w:tabs>
        <w:numPr>
          <w:ilvl w:val="0"/>
          <w:numId w:val="54"/>
        </w:numPr>
        <w:rPr>
          <w:rFonts w:ascii="Arial" w:cs="Arial" w:eastAsia="Arial" w:hAnsi="Arial"/>
          <w:sz w:val="16"/>
          <w:szCs w:val="16"/>
          <w:color w:val="auto"/>
        </w:rPr>
      </w:pPr>
      <w:r>
        <w:rPr>
          <w:rFonts w:ascii="Arial" w:cs="Arial" w:eastAsia="Arial" w:hAnsi="Arial"/>
          <w:sz w:val="16"/>
          <w:szCs w:val="16"/>
          <w:color w:val="auto"/>
        </w:rPr>
        <w:t>Business combination -</w:t>
      </w:r>
    </w:p>
    <w:p>
      <w:pPr>
        <w:spacing w:after="0" w:line="195" w:lineRule="exact"/>
        <w:rPr>
          <w:rFonts w:ascii="Arial" w:cs="Arial" w:eastAsia="Arial" w:hAnsi="Arial"/>
          <w:sz w:val="16"/>
          <w:szCs w:val="16"/>
          <w:color w:val="auto"/>
        </w:rPr>
      </w:pPr>
    </w:p>
    <w:p>
      <w:pPr>
        <w:ind w:left="281" w:right="260"/>
        <w:spacing w:after="0" w:line="269" w:lineRule="auto"/>
        <w:rPr>
          <w:rFonts w:ascii="Arial" w:cs="Arial" w:eastAsia="Arial" w:hAnsi="Arial"/>
          <w:sz w:val="16"/>
          <w:szCs w:val="16"/>
          <w:color w:val="auto"/>
        </w:rPr>
      </w:pPr>
      <w:r>
        <w:rPr>
          <w:rFonts w:ascii="Arial" w:cs="Arial" w:eastAsia="Arial" w:hAnsi="Arial"/>
          <w:sz w:val="16"/>
          <w:szCs w:val="16"/>
          <w:color w:val="auto"/>
        </w:rPr>
        <w:t>Business combinations made are accounted for using the acquisition method in accordance with IFRS 3 “Business Combination”, regardless of whether they are equity instruments or other acquired assets.</w:t>
      </w:r>
    </w:p>
    <w:p>
      <w:pPr>
        <w:spacing w:after="0" w:line="156" w:lineRule="exact"/>
        <w:rPr>
          <w:rFonts w:ascii="Arial" w:cs="Arial" w:eastAsia="Arial" w:hAnsi="Arial"/>
          <w:sz w:val="16"/>
          <w:szCs w:val="16"/>
          <w:color w:val="auto"/>
        </w:rPr>
      </w:pPr>
    </w:p>
    <w:p>
      <w:pPr>
        <w:ind w:left="281" w:right="20"/>
        <w:spacing w:after="0" w:line="254" w:lineRule="auto"/>
        <w:rPr>
          <w:rFonts w:ascii="Arial" w:cs="Arial" w:eastAsia="Arial" w:hAnsi="Arial"/>
          <w:sz w:val="16"/>
          <w:szCs w:val="16"/>
          <w:color w:val="auto"/>
        </w:rPr>
      </w:pPr>
      <w:r>
        <w:rPr>
          <w:rFonts w:ascii="Arial" w:cs="Arial" w:eastAsia="Arial" w:hAnsi="Arial"/>
          <w:sz w:val="16"/>
          <w:szCs w:val="16"/>
          <w:color w:val="auto"/>
        </w:rPr>
        <w:t>The acquisition cost is the sum of the consideration paid for the acquisition measured at fair value at the acquisition date and the amount of the share in the non-controlling interest acquired. For each business combination the Group decides whether to measure the non-controlling interest in the acquiree at fair value or at the proportional share in the identifiable net assets of the acquired. Acquisition-related costs are recognized as expense and are included within “Administrative expenses” in the consolidated statement of income.</w:t>
      </w:r>
    </w:p>
    <w:p>
      <w:pPr>
        <w:spacing w:after="0" w:line="169" w:lineRule="exact"/>
        <w:rPr>
          <w:rFonts w:ascii="Arial" w:cs="Arial" w:eastAsia="Arial" w:hAnsi="Arial"/>
          <w:sz w:val="16"/>
          <w:szCs w:val="16"/>
          <w:color w:val="auto"/>
        </w:rPr>
      </w:pPr>
    </w:p>
    <w:p>
      <w:pPr>
        <w:ind w:left="281" w:right="100"/>
        <w:spacing w:after="0" w:line="342" w:lineRule="auto"/>
        <w:rPr>
          <w:rFonts w:ascii="Arial" w:cs="Arial" w:eastAsia="Arial" w:hAnsi="Arial"/>
          <w:sz w:val="16"/>
          <w:szCs w:val="16"/>
          <w:color w:val="auto"/>
        </w:rPr>
      </w:pPr>
      <w:r>
        <w:rPr>
          <w:rFonts w:ascii="Arial" w:cs="Arial" w:eastAsia="Arial" w:hAnsi="Arial"/>
          <w:sz w:val="14"/>
          <w:szCs w:val="14"/>
          <w:color w:val="auto"/>
        </w:rPr>
        <w:t>When the Group acquires a business, it assesses the financial assets and liabilities assumed for its own classification and denomination according to the contractual terms, economic circumstances and prevailing conditions at the date of acquisition. This includes the separation of embedded derivative contracts signed by the acquiree.</w:t>
      </w:r>
    </w:p>
    <w:p>
      <w:pPr>
        <w:spacing w:after="0" w:line="110" w:lineRule="exact"/>
        <w:rPr>
          <w:rFonts w:ascii="Arial" w:cs="Arial" w:eastAsia="Arial" w:hAnsi="Arial"/>
          <w:sz w:val="16"/>
          <w:szCs w:val="16"/>
          <w:color w:val="auto"/>
        </w:rPr>
      </w:pPr>
    </w:p>
    <w:p>
      <w:pPr>
        <w:ind w:left="281" w:right="60"/>
        <w:spacing w:after="0" w:line="252" w:lineRule="auto"/>
        <w:rPr>
          <w:rFonts w:ascii="Arial" w:cs="Arial" w:eastAsia="Arial" w:hAnsi="Arial"/>
          <w:sz w:val="16"/>
          <w:szCs w:val="16"/>
          <w:color w:val="auto"/>
        </w:rPr>
      </w:pPr>
      <w:r>
        <w:rPr>
          <w:rFonts w:ascii="Arial" w:cs="Arial" w:eastAsia="Arial" w:hAnsi="Arial"/>
          <w:sz w:val="16"/>
          <w:szCs w:val="16"/>
          <w:color w:val="auto"/>
        </w:rPr>
        <w:t>Any contingency transferred by the acquirer is recognized at fair value at the acquisition date. The contingency classified as an asset or liability that is a financial instrument and is within the scope of IFRS 9 “Financial instruments”, as of December 31, 2018 (IAS 39 “Financial instruments: Recognition and measurement”, as of December 31, 2017) is measured at fair value with changes recognized in the consolidated statement of income or consolidated statement of comprehensive income. If the contingency is not within the scope of IFRS 9, it is measured in accordance with the applicable IFRS. A contingency that is classified as equity should not be measured again and its subsequent settlement is accounted for within equity.</w:t>
      </w:r>
    </w:p>
    <w:p>
      <w:pPr>
        <w:spacing w:after="0" w:line="171" w:lineRule="exact"/>
        <w:rPr>
          <w:rFonts w:ascii="Arial" w:cs="Arial" w:eastAsia="Arial" w:hAnsi="Arial"/>
          <w:sz w:val="16"/>
          <w:szCs w:val="16"/>
          <w:color w:val="auto"/>
        </w:rPr>
      </w:pPr>
    </w:p>
    <w:p>
      <w:pPr>
        <w:jc w:val="both"/>
        <w:ind w:left="281" w:right="80"/>
        <w:spacing w:after="0" w:line="258" w:lineRule="auto"/>
        <w:rPr>
          <w:rFonts w:ascii="Arial" w:cs="Arial" w:eastAsia="Arial" w:hAnsi="Arial"/>
          <w:sz w:val="16"/>
          <w:szCs w:val="16"/>
          <w:color w:val="auto"/>
        </w:rPr>
      </w:pPr>
      <w:r>
        <w:rPr>
          <w:rFonts w:ascii="Arial" w:cs="Arial" w:eastAsia="Arial" w:hAnsi="Arial"/>
          <w:sz w:val="16"/>
          <w:szCs w:val="16"/>
          <w:color w:val="auto"/>
        </w:rPr>
        <w:t>The acquisition of a non-controlling interest is recorded directly in net equity, any difference between the amount paid and the acquired net assets is recorded as an equity transaction. Accordingly, the Group recognizes no additional goodwill after the acquisition of the non-controlling interest, nor does it recognize any profit or loss from the disposal of the non-controlling interest.</w:t>
      </w:r>
    </w:p>
    <w:p>
      <w:pPr>
        <w:spacing w:after="0" w:line="165"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Equity attributable to the non-controlling interest is shown separately in the consolidated statement of financial position. Profit attributable to the non-controlling interest is shown separately in the consolidated statement of income and consolidated statement of comprehensive income.</w:t>
      </w:r>
    </w:p>
    <w:p>
      <w:pPr>
        <w:spacing w:after="0" w:line="156" w:lineRule="exact"/>
        <w:rPr>
          <w:rFonts w:ascii="Arial" w:cs="Arial" w:eastAsia="Arial" w:hAnsi="Arial"/>
          <w:sz w:val="16"/>
          <w:szCs w:val="16"/>
          <w:color w:val="auto"/>
        </w:rPr>
      </w:pPr>
    </w:p>
    <w:p>
      <w:pPr>
        <w:ind w:left="281" w:right="380"/>
        <w:spacing w:after="0" w:line="269" w:lineRule="auto"/>
        <w:rPr>
          <w:rFonts w:ascii="Arial" w:cs="Arial" w:eastAsia="Arial" w:hAnsi="Arial"/>
          <w:sz w:val="16"/>
          <w:szCs w:val="16"/>
          <w:color w:val="auto"/>
        </w:rPr>
      </w:pPr>
      <w:r>
        <w:rPr>
          <w:rFonts w:ascii="Arial" w:cs="Arial" w:eastAsia="Arial" w:hAnsi="Arial"/>
          <w:sz w:val="16"/>
          <w:szCs w:val="16"/>
          <w:color w:val="auto"/>
        </w:rPr>
        <w:t>In a business combination achieved in stages, the acquirer shall re-measure its ´previously held equity interest in the acquiree at fair value at the acquisition-date. The resulting gain or loss is recognized in profit or loss.</w:t>
      </w:r>
    </w:p>
    <w:p>
      <w:pPr>
        <w:spacing w:after="0" w:line="156" w:lineRule="exact"/>
        <w:rPr>
          <w:rFonts w:ascii="Arial" w:cs="Arial" w:eastAsia="Arial" w:hAnsi="Arial"/>
          <w:sz w:val="16"/>
          <w:szCs w:val="16"/>
          <w:color w:val="auto"/>
        </w:rPr>
      </w:pPr>
    </w:p>
    <w:p>
      <w:pPr>
        <w:ind w:left="281" w:hanging="281"/>
        <w:spacing w:after="0"/>
        <w:tabs>
          <w:tab w:leader="none" w:pos="28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195" w:lineRule="exact"/>
        <w:rPr>
          <w:rFonts w:ascii="Arial" w:cs="Arial" w:eastAsia="Arial" w:hAnsi="Arial"/>
          <w:sz w:val="16"/>
          <w:szCs w:val="16"/>
          <w:color w:val="auto"/>
        </w:rPr>
      </w:pPr>
    </w:p>
    <w:p>
      <w:pPr>
        <w:ind w:left="281" w:right="580"/>
        <w:spacing w:after="0" w:line="269" w:lineRule="auto"/>
        <w:rPr>
          <w:rFonts w:ascii="Arial" w:cs="Arial" w:eastAsia="Arial" w:hAnsi="Arial"/>
          <w:sz w:val="16"/>
          <w:szCs w:val="16"/>
          <w:color w:val="auto"/>
        </w:rPr>
      </w:pPr>
      <w:r>
        <w:rPr>
          <w:rFonts w:ascii="Arial" w:cs="Arial" w:eastAsia="Arial" w:hAnsi="Arial"/>
          <w:sz w:val="16"/>
          <w:szCs w:val="16"/>
          <w:color w:val="auto"/>
        </w:rPr>
        <w:t>Comprise internally developed and acquired software licenses used by the Group. Acquired software licenses are measured upon initial recognition at cost and are amortized using the straight-line method over their estimated useful life (between 3 and 5 years).</w:t>
      </w:r>
    </w:p>
    <w:p>
      <w:pPr>
        <w:spacing w:after="0" w:line="156" w:lineRule="exact"/>
        <w:rPr>
          <w:rFonts w:ascii="Arial" w:cs="Arial" w:eastAsia="Arial" w:hAnsi="Arial"/>
          <w:sz w:val="16"/>
          <w:szCs w:val="16"/>
          <w:color w:val="auto"/>
        </w:rPr>
      </w:pPr>
    </w:p>
    <w:p>
      <w:pPr>
        <w:ind w:left="281" w:right="580"/>
        <w:spacing w:after="0" w:line="269" w:lineRule="auto"/>
        <w:rPr>
          <w:rFonts w:ascii="Arial" w:cs="Arial" w:eastAsia="Arial" w:hAnsi="Arial"/>
          <w:sz w:val="16"/>
          <w:szCs w:val="16"/>
          <w:color w:val="auto"/>
        </w:rPr>
      </w:pPr>
      <w:r>
        <w:rPr>
          <w:rFonts w:ascii="Arial" w:cs="Arial" w:eastAsia="Arial" w:hAnsi="Arial"/>
          <w:sz w:val="16"/>
          <w:szCs w:val="16"/>
          <w:color w:val="auto"/>
        </w:rPr>
        <w:t>Intangible assets identified as a consequence of the acquisition of subsidiaries are recognized in the consolidated statement of financial position at their fair values determined on the acquisition date and are amortized using the straight line method over their estimated useful life as follows:</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54"/>
        </w:numPr>
        <w:rPr>
          <w:rFonts w:ascii="Arial" w:cs="Arial" w:eastAsia="Arial" w:hAnsi="Arial"/>
          <w:sz w:val="16"/>
          <w:szCs w:val="16"/>
          <w:color w:val="auto"/>
        </w:rPr>
      </w:pPr>
      <w:r>
        <w:rPr>
          <w:rFonts w:ascii="Arial" w:cs="Arial" w:eastAsia="Arial" w:hAnsi="Arial"/>
          <w:sz w:val="16"/>
          <w:szCs w:val="16"/>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5" w:right="259" w:bottom="1440" w:gutter="0" w:footer="0" w:header="0"/>
        </w:sectPr>
      </w:pPr>
    </w:p>
    <w:bookmarkStart w:id="55" w:name="page56"/>
    <w:bookmarkEnd w:id="55"/>
    <w:tbl>
      <w:tblPr>
        <w:tblLayout w:type="fixed"/>
        <w:tblInd w:w="281"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8"/>
              </w:rPr>
              <w:t>Estimated</w:t>
            </w:r>
          </w:p>
        </w:tc>
      </w:tr>
      <w:tr>
        <w:trPr>
          <w:trHeight w:val="190"/>
        </w:trPr>
        <w:tc>
          <w:tcPr>
            <w:tcW w:w="85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9"/>
              </w:rPr>
              <w:t>useful life in</w:t>
            </w:r>
          </w:p>
        </w:tc>
      </w:tr>
      <w:tr>
        <w:trPr>
          <w:trHeight w:val="205"/>
        </w:trPr>
        <w:tc>
          <w:tcPr>
            <w:tcW w:w="8520" w:type="dxa"/>
            <w:vAlign w:val="bottom"/>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years</w:t>
            </w:r>
          </w:p>
        </w:tc>
      </w:tr>
      <w:tr>
        <w:trPr>
          <w:trHeight w:val="359"/>
        </w:trPr>
        <w:tc>
          <w:tcPr>
            <w:tcW w:w="8520" w:type="dxa"/>
            <w:vAlign w:val="bottom"/>
          </w:tcPr>
          <w:p>
            <w:pPr>
              <w:spacing w:after="0"/>
              <w:rPr>
                <w:sz w:val="20"/>
                <w:szCs w:val="20"/>
                <w:color w:val="auto"/>
              </w:rPr>
            </w:pPr>
            <w:r>
              <w:rPr>
                <w:rFonts w:ascii="Arial" w:cs="Arial" w:eastAsia="Arial" w:hAnsi="Arial"/>
                <w:sz w:val="16"/>
                <w:szCs w:val="16"/>
                <w:color w:val="auto"/>
              </w:rPr>
              <w:t>Client relationship - Prima AFP (AFP Unión Vida)</w:t>
            </w:r>
          </w:p>
        </w:tc>
        <w:tc>
          <w:tcPr>
            <w:tcW w:w="20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Client relationship – Credicorp Capital Holding Chile (Inversiones IMT)</w:t>
            </w:r>
          </w:p>
        </w:tc>
        <w:tc>
          <w:tcPr>
            <w:tcW w:w="20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Client relationship cash, fixed and variable income - Credicorp Capital Colombia</w:t>
            </w:r>
          </w:p>
        </w:tc>
        <w:tc>
          <w:tcPr>
            <w:tcW w:w="2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Client relationship APT - Credicorp Capital Colombia</w:t>
            </w:r>
          </w:p>
        </w:tc>
        <w:tc>
          <w:tcPr>
            <w:tcW w:w="2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Client relationship - Edyficar Peru</w:t>
            </w:r>
          </w:p>
        </w:tc>
        <w:tc>
          <w:tcPr>
            <w:tcW w:w="20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Client relationship – Mibanco</w:t>
            </w:r>
          </w:p>
        </w:tc>
        <w:tc>
          <w:tcPr>
            <w:tcW w:w="20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Brand - Mibanco</w:t>
            </w:r>
          </w:p>
        </w:tc>
        <w:tc>
          <w:tcPr>
            <w:tcW w:w="20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Brand - Credicorp Capital Colombia</w:t>
            </w:r>
          </w:p>
        </w:tc>
        <w:tc>
          <w:tcPr>
            <w:tcW w:w="2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Fund manager contract - Credicorp Capital Colombia</w:t>
            </w:r>
          </w:p>
        </w:tc>
        <w:tc>
          <w:tcPr>
            <w:tcW w:w="20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Fund manager contract - Credicorp Capital Holding Chile (Inversiones IMT)</w:t>
            </w:r>
          </w:p>
        </w:tc>
        <w:tc>
          <w:tcPr>
            <w:tcW w:w="2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0"/>
        </w:trPr>
        <w:tc>
          <w:tcPr>
            <w:tcW w:w="8520" w:type="dxa"/>
            <w:vAlign w:val="bottom"/>
          </w:tcPr>
          <w:p>
            <w:pPr>
              <w:spacing w:after="0"/>
              <w:rPr>
                <w:sz w:val="20"/>
                <w:szCs w:val="20"/>
                <w:color w:val="auto"/>
              </w:rPr>
            </w:pPr>
            <w:r>
              <w:rPr>
                <w:rFonts w:ascii="Arial" w:cs="Arial" w:eastAsia="Arial" w:hAnsi="Arial"/>
                <w:sz w:val="16"/>
                <w:szCs w:val="16"/>
                <w:color w:val="auto"/>
              </w:rPr>
              <w:t>Core deposits - Mibanco</w:t>
            </w:r>
          </w:p>
        </w:tc>
        <w:tc>
          <w:tcPr>
            <w:tcW w:w="20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1"/>
        </w:trPr>
        <w:tc>
          <w:tcPr>
            <w:tcW w:w="8520" w:type="dxa"/>
            <w:vAlign w:val="bottom"/>
          </w:tcPr>
          <w:p>
            <w:pPr>
              <w:spacing w:after="0"/>
              <w:rPr>
                <w:sz w:val="20"/>
                <w:szCs w:val="20"/>
                <w:color w:val="auto"/>
              </w:rPr>
            </w:pPr>
            <w:r>
              <w:rPr>
                <w:rFonts w:ascii="Arial" w:cs="Arial" w:eastAsia="Arial" w:hAnsi="Arial"/>
                <w:sz w:val="16"/>
                <w:szCs w:val="16"/>
                <w:color w:val="auto"/>
              </w:rPr>
              <w:t>Others</w:t>
            </w:r>
          </w:p>
        </w:tc>
        <w:tc>
          <w:tcPr>
            <w:tcW w:w="200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179" w:lineRule="exact"/>
        <w:rPr>
          <w:sz w:val="20"/>
          <w:szCs w:val="20"/>
          <w:color w:val="auto"/>
        </w:rPr>
      </w:pPr>
    </w:p>
    <w:p>
      <w:pPr>
        <w:ind w:left="281" w:right="200"/>
        <w:spacing w:after="0" w:line="258" w:lineRule="auto"/>
        <w:rPr>
          <w:sz w:val="20"/>
          <w:szCs w:val="20"/>
          <w:color w:val="auto"/>
        </w:rPr>
      </w:pPr>
      <w:r>
        <w:rPr>
          <w:rFonts w:ascii="Arial" w:cs="Arial" w:eastAsia="Arial" w:hAnsi="Arial"/>
          <w:sz w:val="16"/>
          <w:szCs w:val="16"/>
          <w:color w:val="auto"/>
        </w:rPr>
        <w:t>The period and the amortization method, for intangible assets are reviewed at the end of each period. If the expected useful life differs from previous estimates, the amortization period will be changed accordingly. If there has been a change in the expected pattern of conduct of the future economic benefits embodied in the asset, the amortization method shall be amended to reflect these changes.</w:t>
      </w:r>
    </w:p>
    <w:p>
      <w:pPr>
        <w:spacing w:after="0" w:line="165" w:lineRule="exact"/>
        <w:rPr>
          <w:sz w:val="20"/>
          <w:szCs w:val="20"/>
          <w:color w:val="auto"/>
        </w:rPr>
      </w:pPr>
    </w:p>
    <w:p>
      <w:pPr>
        <w:ind w:left="281"/>
        <w:spacing w:after="0" w:line="269" w:lineRule="auto"/>
        <w:rPr>
          <w:sz w:val="20"/>
          <w:szCs w:val="20"/>
          <w:color w:val="auto"/>
        </w:rPr>
      </w:pPr>
      <w:r>
        <w:rPr>
          <w:rFonts w:ascii="Arial" w:cs="Arial" w:eastAsia="Arial" w:hAnsi="Arial"/>
          <w:sz w:val="16"/>
          <w:szCs w:val="16"/>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57" w:lineRule="exact"/>
        <w:rPr>
          <w:sz w:val="20"/>
          <w:szCs w:val="20"/>
          <w:color w:val="auto"/>
        </w:rPr>
      </w:pPr>
    </w:p>
    <w:p>
      <w:pPr>
        <w:ind w:left="281" w:hanging="281"/>
        <w:spacing w:after="0"/>
        <w:tabs>
          <w:tab w:leader="none" w:pos="281" w:val="left"/>
        </w:tabs>
        <w:numPr>
          <w:ilvl w:val="0"/>
          <w:numId w:val="55"/>
        </w:numPr>
        <w:rPr>
          <w:rFonts w:ascii="Arial" w:cs="Arial" w:eastAsia="Arial" w:hAnsi="Arial"/>
          <w:sz w:val="16"/>
          <w:szCs w:val="16"/>
          <w:color w:val="auto"/>
        </w:rPr>
      </w:pPr>
      <w:r>
        <w:rPr>
          <w:rFonts w:ascii="Arial" w:cs="Arial" w:eastAsia="Arial" w:hAnsi="Arial"/>
          <w:sz w:val="16"/>
          <w:szCs w:val="16"/>
          <w:color w:val="auto"/>
        </w:rPr>
        <w:t>Goodwill -</w:t>
      </w:r>
    </w:p>
    <w:p>
      <w:pPr>
        <w:spacing w:after="0" w:line="195" w:lineRule="exact"/>
        <w:rPr>
          <w:rFonts w:ascii="Arial" w:cs="Arial" w:eastAsia="Arial" w:hAnsi="Arial"/>
          <w:sz w:val="16"/>
          <w:szCs w:val="16"/>
          <w:color w:val="auto"/>
        </w:rPr>
      </w:pPr>
    </w:p>
    <w:p>
      <w:pPr>
        <w:ind w:left="281" w:right="100"/>
        <w:spacing w:after="0" w:line="258" w:lineRule="auto"/>
        <w:rPr>
          <w:rFonts w:ascii="Arial" w:cs="Arial" w:eastAsia="Arial" w:hAnsi="Arial"/>
          <w:sz w:val="16"/>
          <w:szCs w:val="16"/>
          <w:color w:val="auto"/>
        </w:rPr>
      </w:pPr>
      <w:r>
        <w:rPr>
          <w:rFonts w:ascii="Arial" w:cs="Arial" w:eastAsia="Arial" w:hAnsi="Arial"/>
          <w:sz w:val="16"/>
          <w:szCs w:val="16"/>
          <w:color w:val="auto"/>
        </w:rPr>
        <w:t>Goodwill is the excess of the aggregate of the consideration transferred and the fair value recognized for the acquisition of the net value of the identifiable net assets acquired and liabilities assumed. If the fair value of the net assets acquired exceeds the aggregate consideration transferred, then the gain is recognized in the consolidated statement of income.</w:t>
      </w:r>
    </w:p>
    <w:p>
      <w:pPr>
        <w:spacing w:after="0" w:line="165" w:lineRule="exact"/>
        <w:rPr>
          <w:rFonts w:ascii="Arial" w:cs="Arial" w:eastAsia="Arial" w:hAnsi="Arial"/>
          <w:sz w:val="16"/>
          <w:szCs w:val="16"/>
          <w:color w:val="auto"/>
        </w:rPr>
      </w:pPr>
    </w:p>
    <w:p>
      <w:pPr>
        <w:ind w:left="281" w:right="160"/>
        <w:spacing w:after="0" w:line="258" w:lineRule="auto"/>
        <w:rPr>
          <w:rFonts w:ascii="Arial" w:cs="Arial" w:eastAsia="Arial" w:hAnsi="Arial"/>
          <w:sz w:val="16"/>
          <w:szCs w:val="16"/>
          <w:color w:val="auto"/>
        </w:rPr>
      </w:pPr>
      <w:r>
        <w:rPr>
          <w:rFonts w:ascii="Arial" w:cs="Arial" w:eastAsia="Arial" w:hAnsi="Arial"/>
          <w:sz w:val="16"/>
          <w:szCs w:val="16"/>
          <w:color w:val="auto"/>
        </w:rPr>
        <w:t>After initial recognition, goodwill is measured at cost less any accumulated impairment losses. For the purpose of impairment testing, goodwill acquired in a business combination is, from the acquisition date, allocated to each of the Group’s cash-generating units (CGU) that are expected to benefit from the combination, irrespective of whether other assets or liabilities of the acquiree are assigned to these units.</w:t>
      </w:r>
    </w:p>
    <w:p>
      <w:pPr>
        <w:spacing w:after="0" w:line="165" w:lineRule="exact"/>
        <w:rPr>
          <w:rFonts w:ascii="Arial" w:cs="Arial" w:eastAsia="Arial" w:hAnsi="Arial"/>
          <w:sz w:val="16"/>
          <w:szCs w:val="16"/>
          <w:color w:val="auto"/>
        </w:rPr>
      </w:pPr>
    </w:p>
    <w:p>
      <w:pPr>
        <w:ind w:left="281" w:right="160"/>
        <w:spacing w:after="0" w:line="258" w:lineRule="auto"/>
        <w:rPr>
          <w:rFonts w:ascii="Arial" w:cs="Arial" w:eastAsia="Arial" w:hAnsi="Arial"/>
          <w:sz w:val="16"/>
          <w:szCs w:val="16"/>
          <w:color w:val="auto"/>
        </w:rPr>
      </w:pPr>
      <w:r>
        <w:rPr>
          <w:rFonts w:ascii="Arial" w:cs="Arial" w:eastAsia="Arial" w:hAnsi="Arial"/>
          <w:sz w:val="16"/>
          <w:szCs w:val="16"/>
          <w:color w:val="auto"/>
        </w:rPr>
        <w:t>Where goodwill has been allocated to a CGU and part of the operation within that unit is disposed of, the goodwill and the assets disposed of are included in the carrying amount of the operation when determining the gain or loss on disposal. Goodwill disposed of in these circumstances is measured based on the relative values of the disposed operation and the portion of the cash-generating unit retained.</w:t>
      </w:r>
    </w:p>
    <w:p>
      <w:pPr>
        <w:spacing w:after="0" w:line="165" w:lineRule="exact"/>
        <w:rPr>
          <w:rFonts w:ascii="Arial" w:cs="Arial" w:eastAsia="Arial" w:hAnsi="Arial"/>
          <w:sz w:val="16"/>
          <w:szCs w:val="16"/>
          <w:color w:val="auto"/>
        </w:rPr>
      </w:pPr>
    </w:p>
    <w:p>
      <w:pPr>
        <w:ind w:left="281"/>
        <w:spacing w:after="0" w:line="303" w:lineRule="auto"/>
        <w:rPr>
          <w:rFonts w:ascii="Arial" w:cs="Arial" w:eastAsia="Arial" w:hAnsi="Arial"/>
          <w:sz w:val="16"/>
          <w:szCs w:val="16"/>
          <w:color w:val="auto"/>
        </w:rPr>
      </w:pPr>
      <w:r>
        <w:rPr>
          <w:rFonts w:ascii="Arial" w:cs="Arial" w:eastAsia="Arial" w:hAnsi="Arial"/>
          <w:sz w:val="15"/>
          <w:szCs w:val="15"/>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133" w:lineRule="exact"/>
        <w:rPr>
          <w:rFonts w:ascii="Arial" w:cs="Arial" w:eastAsia="Arial" w:hAnsi="Arial"/>
          <w:sz w:val="16"/>
          <w:szCs w:val="16"/>
          <w:color w:val="auto"/>
        </w:rPr>
      </w:pPr>
    </w:p>
    <w:p>
      <w:pPr>
        <w:ind w:left="281" w:hanging="281"/>
        <w:spacing w:after="0"/>
        <w:tabs>
          <w:tab w:leader="none" w:pos="281"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Impairment of non-financial assets -</w:t>
      </w:r>
    </w:p>
    <w:p>
      <w:pPr>
        <w:spacing w:after="0" w:line="195" w:lineRule="exact"/>
        <w:rPr>
          <w:rFonts w:ascii="Arial" w:cs="Arial" w:eastAsia="Arial" w:hAnsi="Arial"/>
          <w:sz w:val="16"/>
          <w:szCs w:val="16"/>
          <w:color w:val="auto"/>
        </w:rPr>
      </w:pPr>
    </w:p>
    <w:p>
      <w:pPr>
        <w:ind w:left="281" w:right="40"/>
        <w:spacing w:after="0" w:line="254" w:lineRule="auto"/>
        <w:rPr>
          <w:rFonts w:ascii="Arial" w:cs="Arial" w:eastAsia="Arial" w:hAnsi="Arial"/>
          <w:sz w:val="16"/>
          <w:szCs w:val="16"/>
          <w:color w:val="auto"/>
        </w:rPr>
      </w:pPr>
      <w:r>
        <w:rPr>
          <w:rFonts w:ascii="Arial" w:cs="Arial" w:eastAsia="Arial" w:hAnsi="Arial"/>
          <w:sz w:val="16"/>
          <w:szCs w:val="16"/>
          <w:color w:val="auto"/>
        </w:rPr>
        <w:t>The Group assesses, at each reporting date, whether there is an indicator that an asset may be impaired. If any indication exists, or when annual impairment testing for an asset is required, the Group estimates the asset’s recoverable amount. An asset’s recoverable amount is the higher of the value of the asset or the CGU less costs to sell and its value in use and is determined for each individual asset, unless the asset does not generate cash inflows that are largely independent of those from other assets or groups of assets.</w:t>
      </w:r>
    </w:p>
    <w:p>
      <w:pPr>
        <w:spacing w:after="0" w:line="359" w:lineRule="exact"/>
        <w:rPr>
          <w:rFonts w:ascii="Arial" w:cs="Arial" w:eastAsia="Arial" w:hAnsi="Arial"/>
          <w:sz w:val="16"/>
          <w:szCs w:val="16"/>
          <w:color w:val="auto"/>
        </w:rPr>
      </w:pPr>
    </w:p>
    <w:p>
      <w:pPr>
        <w:ind w:left="5361" w:hanging="91"/>
        <w:spacing w:after="0"/>
        <w:tabs>
          <w:tab w:leader="none" w:pos="5361" w:val="left"/>
        </w:tabs>
        <w:numPr>
          <w:ilvl w:val="1"/>
          <w:numId w:val="55"/>
        </w:numPr>
        <w:rPr>
          <w:rFonts w:ascii="Arial" w:cs="Arial" w:eastAsia="Arial" w:hAnsi="Arial"/>
          <w:sz w:val="16"/>
          <w:szCs w:val="16"/>
          <w:color w:val="auto"/>
        </w:rPr>
      </w:pPr>
      <w:r>
        <w:rPr>
          <w:rFonts w:ascii="Arial" w:cs="Arial" w:eastAsia="Arial" w:hAnsi="Arial"/>
          <w:sz w:val="16"/>
          <w:szCs w:val="16"/>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0" w:right="239" w:bottom="1440" w:gutter="0" w:footer="0" w:header="0"/>
        </w:sectPr>
      </w:pPr>
    </w:p>
    <w:bookmarkStart w:id="56" w:name="page57"/>
    <w:bookmarkEnd w:id="56"/>
    <w:p>
      <w:pPr>
        <w:ind w:left="281"/>
        <w:spacing w:after="0" w:line="252" w:lineRule="auto"/>
        <w:rPr>
          <w:sz w:val="20"/>
          <w:szCs w:val="20"/>
          <w:color w:val="auto"/>
        </w:rPr>
      </w:pPr>
      <w:r>
        <w:rPr>
          <w:rFonts w:ascii="Arial" w:cs="Arial" w:eastAsia="Arial" w:hAnsi="Arial"/>
          <w:sz w:val="16"/>
          <w:szCs w:val="16"/>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recent market transactions are considered, if any. If this kind of transactions cannot be identified, an appropriate valuation model is used. These calculations are verified against valuation multiples, quoted share prices for publicly traded subsidiaries or other available fair value indicators.</w:t>
      </w:r>
    </w:p>
    <w:p>
      <w:pPr>
        <w:spacing w:after="0" w:line="172" w:lineRule="exact"/>
        <w:rPr>
          <w:sz w:val="20"/>
          <w:szCs w:val="20"/>
          <w:color w:val="auto"/>
        </w:rPr>
      </w:pPr>
    </w:p>
    <w:p>
      <w:pPr>
        <w:ind w:left="281" w:right="120"/>
        <w:spacing w:after="0" w:line="312" w:lineRule="auto"/>
        <w:rPr>
          <w:sz w:val="20"/>
          <w:szCs w:val="20"/>
          <w:color w:val="auto"/>
        </w:rPr>
      </w:pPr>
      <w:r>
        <w:rPr>
          <w:rFonts w:ascii="Arial" w:cs="Arial" w:eastAsia="Arial" w:hAnsi="Arial"/>
          <w:sz w:val="14"/>
          <w:szCs w:val="14"/>
          <w:color w:val="auto"/>
        </w:rPr>
        <w:t>For non-financial assets, excluding goodwill, an assessment is made at each reporting date of whether there is an indication that previously recognized impairment losses may no longer exist or may have decreased. If such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131" w:lineRule="exact"/>
        <w:rPr>
          <w:sz w:val="20"/>
          <w:szCs w:val="20"/>
          <w:color w:val="auto"/>
        </w:rPr>
      </w:pPr>
    </w:p>
    <w:p>
      <w:pPr>
        <w:ind w:left="281" w:right="100"/>
        <w:spacing w:after="0" w:line="342" w:lineRule="auto"/>
        <w:rPr>
          <w:sz w:val="20"/>
          <w:szCs w:val="20"/>
          <w:color w:val="auto"/>
        </w:rPr>
      </w:pPr>
      <w:r>
        <w:rPr>
          <w:rFonts w:ascii="Arial" w:cs="Arial" w:eastAsia="Arial" w:hAnsi="Arial"/>
          <w:sz w:val="14"/>
          <w:szCs w:val="14"/>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income.</w:t>
      </w:r>
    </w:p>
    <w:p>
      <w:pPr>
        <w:spacing w:after="0" w:line="110" w:lineRule="exact"/>
        <w:rPr>
          <w:sz w:val="20"/>
          <w:szCs w:val="20"/>
          <w:color w:val="auto"/>
        </w:rPr>
      </w:pPr>
    </w:p>
    <w:p>
      <w:pPr>
        <w:ind w:left="281" w:hanging="281"/>
        <w:spacing w:after="0"/>
        <w:tabs>
          <w:tab w:leader="none" w:pos="281"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Due from customers on acceptances -</w:t>
      </w:r>
    </w:p>
    <w:p>
      <w:pPr>
        <w:spacing w:after="0" w:line="195" w:lineRule="exact"/>
        <w:rPr>
          <w:rFonts w:ascii="Arial" w:cs="Arial" w:eastAsia="Arial" w:hAnsi="Arial"/>
          <w:sz w:val="16"/>
          <w:szCs w:val="16"/>
          <w:color w:val="auto"/>
        </w:rPr>
      </w:pPr>
    </w:p>
    <w:p>
      <w:pPr>
        <w:ind w:left="281" w:right="300"/>
        <w:spacing w:after="0" w:line="269" w:lineRule="auto"/>
        <w:rPr>
          <w:rFonts w:ascii="Arial" w:cs="Arial" w:eastAsia="Arial" w:hAnsi="Arial"/>
          <w:sz w:val="16"/>
          <w:szCs w:val="16"/>
          <w:color w:val="auto"/>
        </w:rPr>
      </w:pPr>
      <w:r>
        <w:rPr>
          <w:rFonts w:ascii="Arial" w:cs="Arial" w:eastAsia="Arial" w:hAnsi="Arial"/>
          <w:sz w:val="16"/>
          <w:szCs w:val="16"/>
          <w:color w:val="auto"/>
        </w:rPr>
        <w:t>Due from customers on acceptances corresponds to accounts payable from customers for import and export transactions, whose obligations have been accepted by the Group. The obligations that must be assumed by the Group for such transactions are recorded as liabilities.</w:t>
      </w:r>
    </w:p>
    <w:p>
      <w:pPr>
        <w:spacing w:after="0" w:line="156" w:lineRule="exact"/>
        <w:rPr>
          <w:rFonts w:ascii="Arial" w:cs="Arial" w:eastAsia="Arial" w:hAnsi="Arial"/>
          <w:sz w:val="16"/>
          <w:szCs w:val="16"/>
          <w:color w:val="auto"/>
        </w:rPr>
      </w:pPr>
    </w:p>
    <w:p>
      <w:pPr>
        <w:ind w:left="281" w:hanging="281"/>
        <w:spacing w:after="0"/>
        <w:tabs>
          <w:tab w:leader="none" w:pos="281" w:val="left"/>
        </w:tabs>
        <w:numPr>
          <w:ilvl w:val="0"/>
          <w:numId w:val="56"/>
        </w:numPr>
        <w:rPr>
          <w:rFonts w:ascii="Arial" w:cs="Arial" w:eastAsia="Arial" w:hAnsi="Arial"/>
          <w:sz w:val="16"/>
          <w:szCs w:val="16"/>
          <w:color w:val="auto"/>
        </w:rPr>
      </w:pPr>
      <w:r>
        <w:rPr>
          <w:rFonts w:ascii="Arial" w:cs="Arial" w:eastAsia="Arial" w:hAnsi="Arial"/>
          <w:sz w:val="16"/>
          <w:szCs w:val="16"/>
          <w:color w:val="auto"/>
        </w:rPr>
        <w:t>Financial guarantees -</w:t>
      </w:r>
    </w:p>
    <w:p>
      <w:pPr>
        <w:spacing w:after="0" w:line="195" w:lineRule="exact"/>
        <w:rPr>
          <w:rFonts w:ascii="Arial" w:cs="Arial" w:eastAsia="Arial" w:hAnsi="Arial"/>
          <w:sz w:val="16"/>
          <w:szCs w:val="16"/>
          <w:color w:val="auto"/>
        </w:rPr>
      </w:pPr>
    </w:p>
    <w:p>
      <w:pPr>
        <w:ind w:left="281" w:right="160"/>
        <w:spacing w:after="0" w:line="297" w:lineRule="auto"/>
        <w:rPr>
          <w:rFonts w:ascii="Arial" w:cs="Arial" w:eastAsia="Arial" w:hAnsi="Arial"/>
          <w:sz w:val="16"/>
          <w:szCs w:val="16"/>
          <w:color w:val="auto"/>
        </w:rPr>
      </w:pPr>
      <w:r>
        <w:rPr>
          <w:rFonts w:ascii="Arial" w:cs="Arial" w:eastAsia="Arial" w:hAnsi="Arial"/>
          <w:sz w:val="14"/>
          <w:szCs w:val="14"/>
          <w:color w:val="auto"/>
        </w:rPr>
        <w:t>In the ordinary course of business, the Group issues financial guarantees, such as letters of credit, guarantees and banker’s acceptances. Financial guarantees are initially recognized at fair value, which is equivalent to the commission initially received, also, letters of credit and guarantees are recorded in caption “Other liabilities” of the consolidated statement of financial position and banker’s acceptances are presented in the consolidated statement of financial position. Subsequent to initial recognition, the Group’s liability under each guarantee is measured at the higher of the amount initially recognized less, when appropriate, cumulative amortization recognized in the consolidated statement of income, and the best estimate of expenditure required to settle any financial obligation arising as a result of the financial guarantee.</w:t>
      </w:r>
    </w:p>
    <w:p>
      <w:pPr>
        <w:spacing w:after="0" w:line="141" w:lineRule="exact"/>
        <w:rPr>
          <w:rFonts w:ascii="Arial" w:cs="Arial" w:eastAsia="Arial" w:hAnsi="Arial"/>
          <w:sz w:val="16"/>
          <w:szCs w:val="16"/>
          <w:color w:val="auto"/>
        </w:rPr>
      </w:pPr>
    </w:p>
    <w:p>
      <w:pPr>
        <w:ind w:left="281" w:right="20"/>
        <w:spacing w:after="0" w:line="269" w:lineRule="auto"/>
        <w:rPr>
          <w:rFonts w:ascii="Arial" w:cs="Arial" w:eastAsia="Arial" w:hAnsi="Arial"/>
          <w:sz w:val="16"/>
          <w:szCs w:val="16"/>
          <w:color w:val="auto"/>
        </w:rPr>
      </w:pPr>
      <w:r>
        <w:rPr>
          <w:rFonts w:ascii="Arial" w:cs="Arial" w:eastAsia="Arial" w:hAnsi="Arial"/>
          <w:sz w:val="16"/>
          <w:szCs w:val="16"/>
          <w:color w:val="auto"/>
        </w:rPr>
        <w:t>Any increase in the liability relating to a financial guarantee is included in the consolidated statement of income. The commission received is recognized in “Commissions and fees” of the consolidated statement of income on a straight line basis over the life of the granted financial guarantee.</w:t>
      </w:r>
    </w:p>
    <w:p>
      <w:pPr>
        <w:spacing w:after="0" w:line="156" w:lineRule="exact"/>
        <w:rPr>
          <w:rFonts w:ascii="Arial" w:cs="Arial" w:eastAsia="Arial" w:hAnsi="Arial"/>
          <w:sz w:val="16"/>
          <w:szCs w:val="16"/>
          <w:color w:val="auto"/>
        </w:rPr>
      </w:pPr>
    </w:p>
    <w:p>
      <w:pPr>
        <w:ind w:left="281" w:hanging="281"/>
        <w:spacing w:after="0"/>
        <w:tabs>
          <w:tab w:leader="none" w:pos="281"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Provisions -</w:t>
      </w:r>
    </w:p>
    <w:p>
      <w:pPr>
        <w:spacing w:after="0" w:line="195" w:lineRule="exact"/>
        <w:rPr>
          <w:rFonts w:ascii="Arial" w:cs="Arial" w:eastAsia="Arial" w:hAnsi="Arial"/>
          <w:sz w:val="16"/>
          <w:szCs w:val="16"/>
          <w:color w:val="auto"/>
        </w:rPr>
      </w:pPr>
    </w:p>
    <w:p>
      <w:pPr>
        <w:ind w:left="281" w:right="80"/>
        <w:spacing w:after="0" w:line="269" w:lineRule="auto"/>
        <w:rPr>
          <w:rFonts w:ascii="Arial" w:cs="Arial" w:eastAsia="Arial" w:hAnsi="Arial"/>
          <w:sz w:val="16"/>
          <w:szCs w:val="16"/>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said obligation and a reliable estimate of the amount can be made.</w:t>
      </w:r>
    </w:p>
    <w:p>
      <w:pPr>
        <w:spacing w:after="0" w:line="156" w:lineRule="exact"/>
        <w:rPr>
          <w:rFonts w:ascii="Arial" w:cs="Arial" w:eastAsia="Arial" w:hAnsi="Arial"/>
          <w:sz w:val="16"/>
          <w:szCs w:val="16"/>
          <w:color w:val="auto"/>
        </w:rPr>
      </w:pPr>
    </w:p>
    <w:p>
      <w:pPr>
        <w:ind w:left="281" w:right="140"/>
        <w:spacing w:after="0" w:line="258" w:lineRule="auto"/>
        <w:rPr>
          <w:rFonts w:ascii="Arial" w:cs="Arial" w:eastAsia="Arial" w:hAnsi="Arial"/>
          <w:sz w:val="16"/>
          <w:szCs w:val="16"/>
          <w:color w:val="auto"/>
        </w:rPr>
      </w:pPr>
      <w:r>
        <w:rPr>
          <w:rFonts w:ascii="Arial" w:cs="Arial" w:eastAsia="Arial" w:hAnsi="Arial"/>
          <w:sz w:val="16"/>
          <w:szCs w:val="16"/>
          <w:color w:val="auto"/>
        </w:rPr>
        <w:t>The expense relating to any provision is presented in the consolidated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354" w:lineRule="exact"/>
        <w:rPr>
          <w:rFonts w:ascii="Arial" w:cs="Arial" w:eastAsia="Arial" w:hAnsi="Arial"/>
          <w:sz w:val="16"/>
          <w:szCs w:val="16"/>
          <w:color w:val="auto"/>
        </w:rPr>
      </w:pPr>
    </w:p>
    <w:p>
      <w:pPr>
        <w:ind w:left="5361" w:hanging="91"/>
        <w:spacing w:after="0"/>
        <w:tabs>
          <w:tab w:leader="none" w:pos="5361" w:val="left"/>
        </w:tabs>
        <w:numPr>
          <w:ilvl w:val="1"/>
          <w:numId w:val="56"/>
        </w:numPr>
        <w:rPr>
          <w:rFonts w:ascii="Arial" w:cs="Arial" w:eastAsia="Arial" w:hAnsi="Arial"/>
          <w:sz w:val="16"/>
          <w:szCs w:val="16"/>
          <w:color w:val="auto"/>
        </w:rPr>
      </w:pPr>
      <w:r>
        <w:rPr>
          <w:rFonts w:ascii="Arial" w:cs="Arial" w:eastAsia="Arial" w:hAnsi="Arial"/>
          <w:sz w:val="16"/>
          <w:szCs w:val="16"/>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1"/>
          </w:cols>
          <w:pgMar w:left="519" w:top="815" w:right="279" w:bottom="1440" w:gutter="0" w:footer="0" w:header="0"/>
        </w:sectPr>
      </w:pPr>
    </w:p>
    <w:bookmarkStart w:id="57" w:name="page58"/>
    <w:bookmarkEnd w:id="57"/>
    <w:p>
      <w:pPr>
        <w:ind w:left="281" w:hanging="281"/>
        <w:spacing w:after="0"/>
        <w:tabs>
          <w:tab w:leader="none" w:pos="281"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Contingencies -</w:t>
      </w:r>
    </w:p>
    <w:p>
      <w:pPr>
        <w:spacing w:after="0" w:line="195" w:lineRule="exact"/>
        <w:rPr>
          <w:rFonts w:ascii="Arial" w:cs="Arial" w:eastAsia="Arial" w:hAnsi="Arial"/>
          <w:sz w:val="16"/>
          <w:szCs w:val="16"/>
          <w:color w:val="auto"/>
        </w:rPr>
      </w:pPr>
    </w:p>
    <w:p>
      <w:pPr>
        <w:ind w:left="281" w:right="400"/>
        <w:spacing w:after="0" w:line="342" w:lineRule="auto"/>
        <w:rPr>
          <w:rFonts w:ascii="Arial" w:cs="Arial" w:eastAsia="Arial" w:hAnsi="Arial"/>
          <w:sz w:val="16"/>
          <w:szCs w:val="16"/>
          <w:color w:val="auto"/>
        </w:rPr>
      </w:pPr>
      <w:r>
        <w:rPr>
          <w:rFonts w:ascii="Arial" w:cs="Arial" w:eastAsia="Arial" w:hAnsi="Arial"/>
          <w:sz w:val="14"/>
          <w:szCs w:val="14"/>
          <w:color w:val="auto"/>
        </w:rPr>
        <w:t>Contingent liabilities are not recognized in the consolidated financial statements. They are disclosed in the Notes, unless the probability of an outflow of resources is remote. Contingent assets are not recorded in the financial statements; they are disclosed if it is probable that an inflow of economic benefits will be realized.</w:t>
      </w:r>
    </w:p>
    <w:p>
      <w:pPr>
        <w:spacing w:after="0" w:line="110" w:lineRule="exact"/>
        <w:rPr>
          <w:rFonts w:ascii="Arial" w:cs="Arial" w:eastAsia="Arial" w:hAnsi="Arial"/>
          <w:sz w:val="16"/>
          <w:szCs w:val="16"/>
          <w:color w:val="auto"/>
        </w:rPr>
      </w:pPr>
    </w:p>
    <w:p>
      <w:pPr>
        <w:ind w:left="281" w:hanging="281"/>
        <w:spacing w:after="0"/>
        <w:tabs>
          <w:tab w:leader="none" w:pos="281"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Income tax -</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Income tax is computed based on the individual financial statements of each of the Group’s members.</w:t>
      </w:r>
    </w:p>
    <w:p>
      <w:pPr>
        <w:spacing w:after="0" w:line="195" w:lineRule="exact"/>
        <w:rPr>
          <w:rFonts w:ascii="Arial" w:cs="Arial" w:eastAsia="Arial" w:hAnsi="Arial"/>
          <w:sz w:val="16"/>
          <w:szCs w:val="16"/>
          <w:color w:val="auto"/>
        </w:rPr>
      </w:pPr>
    </w:p>
    <w:p>
      <w:pPr>
        <w:ind w:left="281"/>
        <w:spacing w:after="0" w:line="252" w:lineRule="auto"/>
        <w:rPr>
          <w:rFonts w:ascii="Arial" w:cs="Arial" w:eastAsia="Arial" w:hAnsi="Arial"/>
          <w:sz w:val="16"/>
          <w:szCs w:val="16"/>
          <w:color w:val="auto"/>
        </w:rPr>
      </w:pPr>
      <w:r>
        <w:rPr>
          <w:rFonts w:ascii="Arial" w:cs="Arial" w:eastAsia="Arial" w:hAnsi="Arial"/>
          <w:sz w:val="16"/>
          <w:szCs w:val="16"/>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 of financial position, to recover or settle the carrying amount of its assets and liabilities.</w:t>
      </w:r>
    </w:p>
    <w:p>
      <w:pPr>
        <w:spacing w:after="0" w:line="171" w:lineRule="exact"/>
        <w:rPr>
          <w:rFonts w:ascii="Arial" w:cs="Arial" w:eastAsia="Arial" w:hAnsi="Arial"/>
          <w:sz w:val="16"/>
          <w:szCs w:val="16"/>
          <w:color w:val="auto"/>
        </w:rPr>
      </w:pPr>
    </w:p>
    <w:p>
      <w:pPr>
        <w:jc w:val="both"/>
        <w:ind w:left="281" w:right="80"/>
        <w:spacing w:after="0" w:line="312" w:lineRule="auto"/>
        <w:rPr>
          <w:rFonts w:ascii="Arial" w:cs="Arial" w:eastAsia="Arial" w:hAnsi="Arial"/>
          <w:sz w:val="16"/>
          <w:szCs w:val="16"/>
          <w:color w:val="auto"/>
        </w:rPr>
      </w:pPr>
      <w:r>
        <w:rPr>
          <w:rFonts w:ascii="Arial" w:cs="Arial" w:eastAsia="Arial" w:hAnsi="Arial"/>
          <w:sz w:val="14"/>
          <w:szCs w:val="14"/>
          <w:color w:val="auto"/>
        </w:rPr>
        <w:t>The carrying amount of deferred tax assets and liabilities may change, even though there is no change in the amount of the related temporary differences, due to a change in the income tax rate. In this case, the resulting change in deferred tax, corresponding to the change in rate, will be recognized in profit or loss, except to the extent that it relates to items previously recognized outside of the consolidated income statement (either in other comprehensive income or directly in equity).</w:t>
      </w:r>
    </w:p>
    <w:p>
      <w:pPr>
        <w:spacing w:after="0" w:line="130" w:lineRule="exact"/>
        <w:rPr>
          <w:rFonts w:ascii="Arial" w:cs="Arial" w:eastAsia="Arial" w:hAnsi="Arial"/>
          <w:sz w:val="16"/>
          <w:szCs w:val="16"/>
          <w:color w:val="auto"/>
        </w:rPr>
      </w:pPr>
    </w:p>
    <w:p>
      <w:pPr>
        <w:jc w:val="both"/>
        <w:ind w:left="281" w:right="120"/>
        <w:spacing w:after="0" w:line="283" w:lineRule="auto"/>
        <w:rPr>
          <w:rFonts w:ascii="Arial" w:cs="Arial" w:eastAsia="Arial" w:hAnsi="Arial"/>
          <w:sz w:val="16"/>
          <w:szCs w:val="16"/>
          <w:color w:val="auto"/>
        </w:rPr>
      </w:pPr>
      <w:r>
        <w:rPr>
          <w:rFonts w:ascii="Arial" w:cs="Arial" w:eastAsia="Arial" w:hAnsi="Arial"/>
          <w:sz w:val="15"/>
          <w:szCs w:val="15"/>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 of financial position, Credicorp and its Subsidiaries assess unrecognized deferred assets and the carrying amount of recognized deferred assets.</w:t>
      </w:r>
    </w:p>
    <w:p>
      <w:pPr>
        <w:spacing w:after="0" w:line="148" w:lineRule="exact"/>
        <w:rPr>
          <w:rFonts w:ascii="Arial" w:cs="Arial" w:eastAsia="Arial" w:hAnsi="Arial"/>
          <w:sz w:val="16"/>
          <w:szCs w:val="16"/>
          <w:color w:val="auto"/>
        </w:rPr>
      </w:pPr>
    </w:p>
    <w:p>
      <w:pPr>
        <w:ind w:left="281" w:right="640"/>
        <w:spacing w:after="0" w:line="269" w:lineRule="auto"/>
        <w:rPr>
          <w:rFonts w:ascii="Arial" w:cs="Arial" w:eastAsia="Arial" w:hAnsi="Arial"/>
          <w:sz w:val="16"/>
          <w:szCs w:val="16"/>
          <w:color w:val="auto"/>
        </w:rPr>
      </w:pPr>
      <w:r>
        <w:rPr>
          <w:rFonts w:ascii="Arial" w:cs="Arial" w:eastAsia="Arial" w:hAnsi="Arial"/>
          <w:sz w:val="16"/>
          <w:szCs w:val="16"/>
          <w:color w:val="auto"/>
        </w:rPr>
        <w:t>Credicorp and its Subsidiaries determine their deferred income tax based on the tax rate applicable to their undistributed earnings; any additional tax on dividend distribution is recorded on the date a liability is recognized.</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4"/>
          <w:szCs w:val="14"/>
          <w:color w:val="auto"/>
        </w:rPr>
        <w:t>Deferred tax assets and liabilities are offset if there is a legal right of offset and the deferred taxes are related to the same taxpaying entity and the same tax authority.</w:t>
      </w:r>
    </w:p>
    <w:p>
      <w:pPr>
        <w:spacing w:after="0" w:line="218" w:lineRule="exact"/>
        <w:rPr>
          <w:rFonts w:ascii="Arial" w:cs="Arial" w:eastAsia="Arial" w:hAnsi="Arial"/>
          <w:sz w:val="16"/>
          <w:szCs w:val="16"/>
          <w:color w:val="auto"/>
        </w:rPr>
      </w:pPr>
    </w:p>
    <w:p>
      <w:pPr>
        <w:ind w:left="281" w:hanging="281"/>
        <w:spacing w:after="0"/>
        <w:tabs>
          <w:tab w:leader="none" w:pos="281"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Earnings per share -</w:t>
      </w:r>
    </w:p>
    <w:p>
      <w:pPr>
        <w:spacing w:after="0" w:line="195" w:lineRule="exact"/>
        <w:rPr>
          <w:rFonts w:ascii="Arial" w:cs="Arial" w:eastAsia="Arial" w:hAnsi="Arial"/>
          <w:sz w:val="16"/>
          <w:szCs w:val="16"/>
          <w:color w:val="auto"/>
        </w:rPr>
      </w:pPr>
    </w:p>
    <w:p>
      <w:pPr>
        <w:ind w:left="281" w:right="140"/>
        <w:spacing w:after="0" w:line="269" w:lineRule="auto"/>
        <w:rPr>
          <w:rFonts w:ascii="Arial" w:cs="Arial" w:eastAsia="Arial" w:hAnsi="Arial"/>
          <w:sz w:val="16"/>
          <w:szCs w:val="16"/>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56" w:lineRule="exact"/>
        <w:rPr>
          <w:rFonts w:ascii="Arial" w:cs="Arial" w:eastAsia="Arial" w:hAnsi="Arial"/>
          <w:sz w:val="16"/>
          <w:szCs w:val="16"/>
          <w:color w:val="auto"/>
        </w:rPr>
      </w:pPr>
    </w:p>
    <w:p>
      <w:pPr>
        <w:ind w:left="281" w:right="20"/>
        <w:spacing w:after="0" w:line="258" w:lineRule="auto"/>
        <w:rPr>
          <w:rFonts w:ascii="Arial" w:cs="Arial" w:eastAsia="Arial" w:hAnsi="Arial"/>
          <w:sz w:val="16"/>
          <w:szCs w:val="16"/>
          <w:color w:val="auto"/>
        </w:rPr>
      </w:pPr>
      <w:r>
        <w:rPr>
          <w:rFonts w:ascii="Arial" w:cs="Arial" w:eastAsia="Arial" w:hAnsi="Arial"/>
          <w:sz w:val="16"/>
          <w:szCs w:val="16"/>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have been issued on the conversion of all the dilutive potential ordinary shares into ordinary shares.</w:t>
      </w:r>
    </w:p>
    <w:p>
      <w:pPr>
        <w:spacing w:after="0" w:line="165" w:lineRule="exact"/>
        <w:rPr>
          <w:rFonts w:ascii="Arial" w:cs="Arial" w:eastAsia="Arial" w:hAnsi="Arial"/>
          <w:sz w:val="16"/>
          <w:szCs w:val="16"/>
          <w:color w:val="auto"/>
        </w:rPr>
      </w:pPr>
    </w:p>
    <w:p>
      <w:pPr>
        <w:ind w:left="281" w:hanging="281"/>
        <w:spacing w:after="0"/>
        <w:tabs>
          <w:tab w:leader="none" w:pos="281" w:val="left"/>
        </w:tabs>
        <w:numPr>
          <w:ilvl w:val="0"/>
          <w:numId w:val="57"/>
        </w:numPr>
        <w:rPr>
          <w:rFonts w:ascii="Arial" w:cs="Arial" w:eastAsia="Arial" w:hAnsi="Arial"/>
          <w:sz w:val="16"/>
          <w:szCs w:val="16"/>
          <w:color w:val="auto"/>
        </w:rPr>
      </w:pPr>
      <w:r>
        <w:rPr>
          <w:rFonts w:ascii="Arial" w:cs="Arial" w:eastAsia="Arial" w:hAnsi="Arial"/>
          <w:sz w:val="16"/>
          <w:szCs w:val="16"/>
          <w:color w:val="auto"/>
        </w:rPr>
        <w:t>Share-based payment transactions -</w:t>
      </w:r>
    </w:p>
    <w:p>
      <w:pPr>
        <w:spacing w:after="0" w:line="195" w:lineRule="exact"/>
        <w:rPr>
          <w:rFonts w:ascii="Arial" w:cs="Arial" w:eastAsia="Arial" w:hAnsi="Arial"/>
          <w:sz w:val="16"/>
          <w:szCs w:val="16"/>
          <w:color w:val="auto"/>
        </w:rPr>
      </w:pPr>
    </w:p>
    <w:p>
      <w:pPr>
        <w:ind w:left="281" w:right="280"/>
        <w:spacing w:after="0" w:line="269" w:lineRule="auto"/>
        <w:rPr>
          <w:rFonts w:ascii="Arial" w:cs="Arial" w:eastAsia="Arial" w:hAnsi="Arial"/>
          <w:sz w:val="16"/>
          <w:szCs w:val="16"/>
          <w:color w:val="auto"/>
        </w:rPr>
      </w:pPr>
      <w:r>
        <w:rPr>
          <w:rFonts w:ascii="Arial" w:cs="Arial" w:eastAsia="Arial" w:hAnsi="Arial"/>
          <w:sz w:val="16"/>
          <w:szCs w:val="16"/>
          <w:color w:val="auto"/>
        </w:rPr>
        <w:t>The cost of the Group’s remuneration plan is recognized, together with a corresponding increase in equity, over the period in which the service conditions are fulfilled, ending on the date on which the relevant employees become fully entitled to the award (‘the vesting date”).</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57"/>
        </w:numPr>
        <w:rPr>
          <w:rFonts w:ascii="Arial" w:cs="Arial" w:eastAsia="Arial" w:hAnsi="Arial"/>
          <w:sz w:val="16"/>
          <w:szCs w:val="16"/>
          <w:color w:val="auto"/>
        </w:rPr>
      </w:pPr>
      <w:r>
        <w:rPr>
          <w:rFonts w:ascii="Arial" w:cs="Arial" w:eastAsia="Arial" w:hAnsi="Arial"/>
          <w:sz w:val="16"/>
          <w:szCs w:val="16"/>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1"/>
          </w:cols>
          <w:pgMar w:left="519" w:top="814" w:right="279" w:bottom="1440" w:gutter="0" w:footer="0" w:header="0"/>
        </w:sectPr>
      </w:pPr>
    </w:p>
    <w:bookmarkStart w:id="58" w:name="page59"/>
    <w:bookmarkEnd w:id="58"/>
    <w:p>
      <w:pPr>
        <w:ind w:left="281"/>
        <w:spacing w:after="0" w:line="258" w:lineRule="auto"/>
        <w:rPr>
          <w:sz w:val="20"/>
          <w:szCs w:val="20"/>
          <w:color w:val="auto"/>
        </w:rPr>
      </w:pPr>
      <w:r>
        <w:rPr>
          <w:rFonts w:ascii="Arial" w:cs="Arial" w:eastAsia="Arial" w:hAnsi="Arial"/>
          <w:sz w:val="16"/>
          <w:szCs w:val="16"/>
          <w:color w:val="auto"/>
        </w:rPr>
        <w:t>The cumulative expense recognized for equity-settled liquidations at each reporting date until the vesting date reflects the extent to which the vesting period has expired and the Group’s best estimate of the number of equity instruments that will ultimately vest. The expense is recorded in “Salaries and employee benefits” of the consolidated statement of income.</w:t>
      </w:r>
    </w:p>
    <w:p>
      <w:pPr>
        <w:spacing w:after="0" w:line="165" w:lineRule="exact"/>
        <w:rPr>
          <w:sz w:val="20"/>
          <w:szCs w:val="20"/>
          <w:color w:val="auto"/>
        </w:rPr>
      </w:pPr>
    </w:p>
    <w:p>
      <w:pPr>
        <w:ind w:left="281" w:right="40"/>
        <w:spacing w:after="0" w:line="258" w:lineRule="auto"/>
        <w:rPr>
          <w:sz w:val="20"/>
          <w:szCs w:val="20"/>
          <w:color w:val="auto"/>
        </w:rPr>
      </w:pPr>
      <w:r>
        <w:rPr>
          <w:rFonts w:ascii="Arial" w:cs="Arial" w:eastAsia="Arial" w:hAnsi="Arial"/>
          <w:sz w:val="16"/>
          <w:szCs w:val="16"/>
          <w:color w:val="auto"/>
        </w:rPr>
        <w:t>When the terms of a share-based liquidation are modified, the minimum expense recognized is maintained as if the terms had not been modified. An additional expense is recognized for any modification which increases the total fair value of the share-based payment arrangement, or which is otherwise beneficial to the employee as measured at the date of modification.</w:t>
      </w:r>
    </w:p>
    <w:p>
      <w:pPr>
        <w:spacing w:after="0" w:line="165" w:lineRule="exact"/>
        <w:rPr>
          <w:sz w:val="20"/>
          <w:szCs w:val="20"/>
          <w:color w:val="auto"/>
        </w:rPr>
      </w:pPr>
    </w:p>
    <w:p>
      <w:pPr>
        <w:ind w:left="281"/>
        <w:spacing w:after="0"/>
        <w:rPr>
          <w:sz w:val="20"/>
          <w:szCs w:val="20"/>
          <w:color w:val="auto"/>
        </w:rPr>
      </w:pPr>
      <w:r>
        <w:rPr>
          <w:rFonts w:ascii="Arial" w:cs="Arial" w:eastAsia="Arial" w:hAnsi="Arial"/>
          <w:sz w:val="15"/>
          <w:szCs w:val="15"/>
          <w:color w:val="auto"/>
        </w:rPr>
        <w:t>The dilutive effect of the shares granted under this plan is reflected as a share dilution in the computation of diluted earnings per share, see paragraph (w) above.</w:t>
      </w:r>
    </w:p>
    <w:p>
      <w:pPr>
        <w:spacing w:after="0" w:line="207" w:lineRule="exact"/>
        <w:rPr>
          <w:sz w:val="20"/>
          <w:szCs w:val="20"/>
          <w:color w:val="auto"/>
        </w:rPr>
      </w:pPr>
    </w:p>
    <w:p>
      <w:pPr>
        <w:ind w:left="281" w:right="7340" w:hanging="281"/>
        <w:spacing w:after="0" w:line="494" w:lineRule="auto"/>
        <w:tabs>
          <w:tab w:leader="none" w:pos="281"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Derivative financial instruments and hedge accounting - Trading -</w:t>
      </w:r>
    </w:p>
    <w:p>
      <w:pPr>
        <w:spacing w:after="0" w:line="1" w:lineRule="exact"/>
        <w:rPr>
          <w:rFonts w:ascii="Arial" w:cs="Arial" w:eastAsia="Arial" w:hAnsi="Arial"/>
          <w:sz w:val="16"/>
          <w:szCs w:val="16"/>
          <w:color w:val="auto"/>
        </w:rPr>
      </w:pPr>
    </w:p>
    <w:p>
      <w:pPr>
        <w:ind w:left="281" w:right="380"/>
        <w:spacing w:after="0" w:line="269" w:lineRule="auto"/>
        <w:rPr>
          <w:rFonts w:ascii="Arial" w:cs="Arial" w:eastAsia="Arial" w:hAnsi="Arial"/>
          <w:sz w:val="16"/>
          <w:szCs w:val="16"/>
          <w:color w:val="auto"/>
        </w:rPr>
      </w:pPr>
      <w:r>
        <w:rPr>
          <w:rFonts w:ascii="Arial" w:cs="Arial" w:eastAsia="Arial" w:hAnsi="Arial"/>
          <w:sz w:val="16"/>
          <w:szCs w:val="16"/>
          <w:color w:val="auto"/>
        </w:rPr>
        <w:t>The Group negotiates derivative financial instruments in order to meet its costumers’ needs. The Group may also take positions with the expectation of profiting from favorable movements in prices, rates or indexes.</w:t>
      </w:r>
    </w:p>
    <w:p>
      <w:pPr>
        <w:spacing w:after="0" w:line="156" w:lineRule="exact"/>
        <w:rPr>
          <w:rFonts w:ascii="Arial" w:cs="Arial" w:eastAsia="Arial" w:hAnsi="Arial"/>
          <w:sz w:val="16"/>
          <w:szCs w:val="16"/>
          <w:color w:val="auto"/>
        </w:rPr>
      </w:pPr>
    </w:p>
    <w:p>
      <w:pPr>
        <w:ind w:left="281" w:right="20"/>
        <w:spacing w:after="0" w:line="303" w:lineRule="auto"/>
        <w:rPr>
          <w:rFonts w:ascii="Arial" w:cs="Arial" w:eastAsia="Arial" w:hAnsi="Arial"/>
          <w:sz w:val="16"/>
          <w:szCs w:val="16"/>
          <w:color w:val="auto"/>
        </w:rPr>
      </w:pPr>
      <w:r>
        <w:rPr>
          <w:rFonts w:ascii="Arial" w:cs="Arial" w:eastAsia="Arial" w:hAnsi="Arial"/>
          <w:sz w:val="15"/>
          <w:szCs w:val="15"/>
          <w:color w:val="auto"/>
        </w:rPr>
        <w:t>Part of the transactions with derivatives, which provide effective economic hedges under the Group’s risk management positions, do not qualify for hedge accounting under the specific rules of IFRS 9 as of December 31, 2018 (IAS 39, as of December 31, 2017) and are, therefore, treated as trading derivatives.</w:t>
      </w:r>
    </w:p>
    <w:p>
      <w:pPr>
        <w:spacing w:after="0" w:line="133" w:lineRule="exact"/>
        <w:rPr>
          <w:rFonts w:ascii="Arial" w:cs="Arial" w:eastAsia="Arial" w:hAnsi="Arial"/>
          <w:sz w:val="16"/>
          <w:szCs w:val="16"/>
          <w:color w:val="auto"/>
        </w:rPr>
      </w:pPr>
    </w:p>
    <w:p>
      <w:pPr>
        <w:ind w:left="281" w:right="100"/>
        <w:spacing w:after="0" w:line="258" w:lineRule="auto"/>
        <w:rPr>
          <w:rFonts w:ascii="Arial" w:cs="Arial" w:eastAsia="Arial" w:hAnsi="Arial"/>
          <w:sz w:val="16"/>
          <w:szCs w:val="16"/>
          <w:color w:val="auto"/>
        </w:rPr>
      </w:pPr>
      <w:r>
        <w:rPr>
          <w:rFonts w:ascii="Arial" w:cs="Arial" w:eastAsia="Arial" w:hAnsi="Arial"/>
          <w:sz w:val="16"/>
          <w:szCs w:val="16"/>
          <w:color w:val="auto"/>
        </w:rPr>
        <w:t>Derivative financial instruments are initially recognized at fair value in the consolidated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 of income.</w:t>
      </w:r>
    </w:p>
    <w:p>
      <w:pPr>
        <w:spacing w:after="0" w:line="16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Hedging -</w:t>
      </w:r>
    </w:p>
    <w:p>
      <w:pPr>
        <w:spacing w:after="0" w:line="195" w:lineRule="exact"/>
        <w:rPr>
          <w:rFonts w:ascii="Arial" w:cs="Arial" w:eastAsia="Arial" w:hAnsi="Arial"/>
          <w:sz w:val="16"/>
          <w:szCs w:val="16"/>
          <w:color w:val="auto"/>
        </w:rPr>
      </w:pPr>
    </w:p>
    <w:p>
      <w:pPr>
        <w:ind w:left="281" w:right="160"/>
        <w:spacing w:after="0" w:line="269" w:lineRule="auto"/>
        <w:rPr>
          <w:rFonts w:ascii="Arial" w:cs="Arial" w:eastAsia="Arial" w:hAnsi="Arial"/>
          <w:sz w:val="16"/>
          <w:szCs w:val="16"/>
          <w:color w:val="auto"/>
        </w:rPr>
      </w:pPr>
      <w:r>
        <w:rPr>
          <w:rFonts w:ascii="Arial" w:cs="Arial" w:eastAsia="Arial" w:hAnsi="Arial"/>
          <w:sz w:val="16"/>
          <w:szCs w:val="16"/>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56" w:lineRule="exact"/>
        <w:rPr>
          <w:rFonts w:ascii="Arial" w:cs="Arial" w:eastAsia="Arial" w:hAnsi="Arial"/>
          <w:sz w:val="16"/>
          <w:szCs w:val="16"/>
          <w:color w:val="auto"/>
        </w:rPr>
      </w:pPr>
    </w:p>
    <w:p>
      <w:pPr>
        <w:ind w:left="281" w:right="8280"/>
        <w:spacing w:after="0" w:line="565" w:lineRule="auto"/>
        <w:rPr>
          <w:rFonts w:ascii="Arial" w:cs="Arial" w:eastAsia="Arial" w:hAnsi="Arial"/>
          <w:sz w:val="16"/>
          <w:szCs w:val="16"/>
          <w:color w:val="auto"/>
        </w:rPr>
      </w:pPr>
      <w:r>
        <w:rPr>
          <w:rFonts w:ascii="Arial" w:cs="Arial" w:eastAsia="Arial" w:hAnsi="Arial"/>
          <w:sz w:val="14"/>
          <w:szCs w:val="14"/>
          <w:color w:val="auto"/>
        </w:rPr>
        <w:t>Criteria required for hedge accounting Policy applicable from January 1, 2018 –</w:t>
      </w:r>
    </w:p>
    <w:p>
      <w:pPr>
        <w:ind w:left="281" w:right="40"/>
        <w:spacing w:after="0" w:line="258" w:lineRule="auto"/>
        <w:rPr>
          <w:rFonts w:ascii="Arial" w:cs="Arial" w:eastAsia="Arial" w:hAnsi="Arial"/>
          <w:sz w:val="16"/>
          <w:szCs w:val="16"/>
          <w:color w:val="auto"/>
        </w:rPr>
      </w:pPr>
      <w:r>
        <w:rPr>
          <w:rFonts w:ascii="Arial" w:cs="Arial" w:eastAsia="Arial" w:hAnsi="Arial"/>
          <w:sz w:val="16"/>
          <w:szCs w:val="16"/>
          <w:color w:val="auto"/>
        </w:rPr>
        <w:t>At inception, the Group formally designates and documents the hedge relationship, the risk management objective and strategy for using the hedge. This documentation includes the identification of the hedging instrument, the hedged item, the nature of the risk being hedged and a description of how the Group assesses whether the hedging relationship meets the hedge effectiveness requirements.</w:t>
      </w:r>
    </w:p>
    <w:p>
      <w:pPr>
        <w:spacing w:after="0" w:line="16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The hedge relationship meets all of the following hedge effectiveness requirements:</w:t>
      </w:r>
    </w:p>
    <w:p>
      <w:pPr>
        <w:spacing w:after="0" w:line="195" w:lineRule="exact"/>
        <w:rPr>
          <w:rFonts w:ascii="Arial" w:cs="Arial" w:eastAsia="Arial" w:hAnsi="Arial"/>
          <w:sz w:val="16"/>
          <w:szCs w:val="16"/>
          <w:color w:val="auto"/>
        </w:rPr>
      </w:pPr>
    </w:p>
    <w:p>
      <w:pPr>
        <w:ind w:left="561" w:hanging="276"/>
        <w:spacing w:after="0"/>
        <w:tabs>
          <w:tab w:leader="none" w:pos="561"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 economic relationship between the hedged item and the hedging instrument.</w:t>
      </w:r>
    </w:p>
    <w:p>
      <w:pPr>
        <w:spacing w:after="0" w:line="16" w:lineRule="exact"/>
        <w:rPr>
          <w:rFonts w:ascii="Arial" w:cs="Arial" w:eastAsia="Arial" w:hAnsi="Arial"/>
          <w:sz w:val="16"/>
          <w:szCs w:val="16"/>
          <w:color w:val="auto"/>
        </w:rPr>
      </w:pPr>
    </w:p>
    <w:p>
      <w:pPr>
        <w:ind w:left="561" w:hanging="276"/>
        <w:spacing w:after="0"/>
        <w:tabs>
          <w:tab w:leader="none" w:pos="561"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effect of credit risk does not dominate the value changes that result from the economic relationship.</w:t>
      </w:r>
    </w:p>
    <w:p>
      <w:pPr>
        <w:spacing w:after="0" w:line="5" w:lineRule="exact"/>
        <w:rPr>
          <w:rFonts w:ascii="Arial" w:cs="Arial" w:eastAsia="Arial" w:hAnsi="Arial"/>
          <w:sz w:val="16"/>
          <w:szCs w:val="16"/>
          <w:color w:val="auto"/>
        </w:rPr>
      </w:pPr>
    </w:p>
    <w:p>
      <w:pPr>
        <w:ind w:left="561" w:right="340" w:hanging="276"/>
        <w:spacing w:after="0" w:line="254" w:lineRule="auto"/>
        <w:tabs>
          <w:tab w:leader="none" w:pos="561"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hedge ratio of the hedging relationship is the same as that resulting from the quantity of the hedged item that the entity actually hedges and the quantity of the hedging instrument that the entity actually uses to hedge that quantity of hedged item.</w:t>
      </w:r>
    </w:p>
    <w:p>
      <w:pPr>
        <w:spacing w:after="0" w:line="358" w:lineRule="exact"/>
        <w:rPr>
          <w:rFonts w:ascii="Arial" w:cs="Arial" w:eastAsia="Arial" w:hAnsi="Arial"/>
          <w:sz w:val="16"/>
          <w:szCs w:val="16"/>
          <w:color w:val="auto"/>
        </w:rPr>
      </w:pPr>
    </w:p>
    <w:p>
      <w:pPr>
        <w:ind w:left="5361" w:hanging="91"/>
        <w:spacing w:after="0"/>
        <w:tabs>
          <w:tab w:leader="none" w:pos="5361" w:val="left"/>
        </w:tabs>
        <w:numPr>
          <w:ilvl w:val="2"/>
          <w:numId w:val="58"/>
        </w:numPr>
        <w:rPr>
          <w:rFonts w:ascii="Arial" w:cs="Arial" w:eastAsia="Arial" w:hAnsi="Arial"/>
          <w:sz w:val="16"/>
          <w:szCs w:val="16"/>
          <w:color w:val="auto"/>
        </w:rPr>
      </w:pPr>
      <w:r>
        <w:rPr>
          <w:rFonts w:ascii="Arial" w:cs="Arial" w:eastAsia="Arial" w:hAnsi="Arial"/>
          <w:sz w:val="16"/>
          <w:szCs w:val="16"/>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5" w:right="21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The accounting treatment is established based on the nature of the hedged item and compliance with hedging criteria.</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Policy applicable up to December 31, 2017 –</w:t>
      </w:r>
    </w:p>
    <w:p>
      <w:pPr>
        <w:spacing w:after="0" w:line="195" w:lineRule="exact"/>
        <w:rPr>
          <w:sz w:val="20"/>
          <w:szCs w:val="20"/>
          <w:color w:val="auto"/>
        </w:rPr>
      </w:pPr>
    </w:p>
    <w:p>
      <w:pPr>
        <w:ind w:right="240"/>
        <w:spacing w:after="0" w:line="271" w:lineRule="auto"/>
        <w:rPr>
          <w:sz w:val="20"/>
          <w:szCs w:val="20"/>
          <w:color w:val="auto"/>
        </w:rPr>
      </w:pPr>
      <w:r>
        <w:rPr>
          <w:rFonts w:ascii="Arial" w:cs="Arial" w:eastAsia="Arial" w:hAnsi="Arial"/>
          <w:sz w:val="15"/>
          <w:szCs w:val="15"/>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Also, at the inception of the hedge relationship, a formal assessment is undertaken to ensure the hedging instrument is expected to be highly effective in offsetting the designated risk in the hedged item. Hedges are formally assessed at each reporting date.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 hedge is considered highly effective if the following conditions are met:</w:t>
      </w:r>
    </w:p>
    <w:p>
      <w:pPr>
        <w:spacing w:after="0" w:line="195" w:lineRule="exact"/>
        <w:rPr>
          <w:sz w:val="20"/>
          <w:szCs w:val="20"/>
          <w:color w:val="auto"/>
        </w:rPr>
      </w:pPr>
    </w:p>
    <w:p>
      <w:pPr>
        <w:ind w:left="280" w:right="340" w:hanging="276"/>
        <w:spacing w:after="0" w:line="254" w:lineRule="auto"/>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 the inception of a hedge and in following years, the hedge is expected to be highly effective to offset changes in the fair value or cash flows attributable to the hedged risk over the designated period of the hedge; and</w:t>
      </w:r>
    </w:p>
    <w:p>
      <w:pPr>
        <w:ind w:left="280" w:hanging="276"/>
        <w:spacing w:after="0"/>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actual effectiveness of the hedge is within the range of 80-125 percent.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treatment is established based on the nature of the hedged item and compliance with hedging criteria.</w:t>
      </w:r>
    </w:p>
    <w:p>
      <w:pPr>
        <w:spacing w:after="0" w:line="195" w:lineRule="exact"/>
        <w:rPr>
          <w:sz w:val="20"/>
          <w:szCs w:val="20"/>
          <w:color w:val="auto"/>
        </w:rPr>
      </w:pPr>
    </w:p>
    <w:p>
      <w:pPr>
        <w:ind w:left="280" w:hanging="276"/>
        <w:spacing w:after="0"/>
        <w:tabs>
          <w:tab w:leader="none" w:pos="2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Cash flow hedges -</w:t>
      </w:r>
    </w:p>
    <w:p>
      <w:pPr>
        <w:spacing w:after="0" w:line="195" w:lineRule="exact"/>
        <w:rPr>
          <w:rFonts w:ascii="Arial" w:cs="Arial" w:eastAsia="Arial" w:hAnsi="Arial"/>
          <w:sz w:val="16"/>
          <w:szCs w:val="16"/>
          <w:color w:val="auto"/>
        </w:rPr>
      </w:pPr>
    </w:p>
    <w:p>
      <w:pPr>
        <w:ind w:left="280" w:right="260"/>
        <w:spacing w:after="0" w:line="342" w:lineRule="auto"/>
        <w:rPr>
          <w:rFonts w:ascii="Arial" w:cs="Arial" w:eastAsia="Arial" w:hAnsi="Arial"/>
          <w:sz w:val="16"/>
          <w:szCs w:val="16"/>
          <w:color w:val="auto"/>
        </w:rPr>
      </w:pPr>
      <w:r>
        <w:rPr>
          <w:rFonts w:ascii="Arial" w:cs="Arial" w:eastAsia="Arial" w:hAnsi="Arial"/>
          <w:sz w:val="14"/>
          <w:szCs w:val="14"/>
          <w:color w:val="auto"/>
        </w:rPr>
        <w:t>The effective portion of the accumulated gain or loss on the hedging instrument is recognized directly as part of other comprehensive income in “Cash flow hedge reserve” in the consolidated statement of financial position, while any ineffective portion is recognized immediately in the consolidated statement of income.</w:t>
      </w:r>
    </w:p>
    <w:p>
      <w:pPr>
        <w:spacing w:after="0" w:line="110" w:lineRule="exact"/>
        <w:rPr>
          <w:rFonts w:ascii="Arial" w:cs="Arial" w:eastAsia="Arial" w:hAnsi="Arial"/>
          <w:sz w:val="16"/>
          <w:szCs w:val="16"/>
          <w:color w:val="auto"/>
        </w:rPr>
      </w:pPr>
    </w:p>
    <w:p>
      <w:pPr>
        <w:ind w:left="280"/>
        <w:spacing w:after="0" w:line="269" w:lineRule="auto"/>
        <w:rPr>
          <w:rFonts w:ascii="Arial" w:cs="Arial" w:eastAsia="Arial" w:hAnsi="Arial"/>
          <w:sz w:val="16"/>
          <w:szCs w:val="16"/>
          <w:color w:val="auto"/>
        </w:rPr>
      </w:pPr>
      <w:r>
        <w:rPr>
          <w:rFonts w:ascii="Arial" w:cs="Arial" w:eastAsia="Arial" w:hAnsi="Arial"/>
          <w:sz w:val="16"/>
          <w:szCs w:val="16"/>
          <w:color w:val="auto"/>
        </w:rPr>
        <w:t>Amounts recognized as other comprehensive income are transferred to the consolidated statement of income when the hedged transaction affects profit or loss; that is, when the hedge-related finance income or finance cost is recognized or when an expected sale occurs.</w:t>
      </w:r>
    </w:p>
    <w:p>
      <w:pPr>
        <w:spacing w:after="0" w:line="156" w:lineRule="exact"/>
        <w:rPr>
          <w:rFonts w:ascii="Arial" w:cs="Arial" w:eastAsia="Arial" w:hAnsi="Arial"/>
          <w:sz w:val="16"/>
          <w:szCs w:val="16"/>
          <w:color w:val="auto"/>
        </w:rPr>
      </w:pPr>
    </w:p>
    <w:p>
      <w:pPr>
        <w:ind w:left="280" w:right="80"/>
        <w:spacing w:after="0" w:line="277" w:lineRule="auto"/>
        <w:rPr>
          <w:rFonts w:ascii="Arial" w:cs="Arial" w:eastAsia="Arial" w:hAnsi="Arial"/>
          <w:sz w:val="16"/>
          <w:szCs w:val="16"/>
          <w:color w:val="auto"/>
        </w:rPr>
      </w:pPr>
      <w:r>
        <w:rPr>
          <w:rFonts w:ascii="Arial" w:cs="Arial" w:eastAsia="Arial" w:hAnsi="Arial"/>
          <w:sz w:val="15"/>
          <w:szCs w:val="15"/>
          <w:color w:val="auto"/>
        </w:rPr>
        <w:t>If the forecasted transaction or firm commitment is no longer expected to occur, the accumulated gain or loss previously recognized in the cash flow hedge reserve is transferred to the consolidated statement of income. If the hedging instrument expires or is sold, terminated or exercised without replacement or rollover, or if its designation as a hedge is revoked, any unrealized accumulated gain or loss previously in the cash flow hedge reserve remains in said reserve until the planned transaction or firm commitment affects profit or loss. At the same time, the derivative is recorded as a trading derivative.</w:t>
      </w:r>
    </w:p>
    <w:p>
      <w:pPr>
        <w:spacing w:after="0" w:line="151" w:lineRule="exact"/>
        <w:rPr>
          <w:rFonts w:ascii="Arial" w:cs="Arial" w:eastAsia="Arial" w:hAnsi="Arial"/>
          <w:sz w:val="16"/>
          <w:szCs w:val="16"/>
          <w:color w:val="auto"/>
        </w:rPr>
      </w:pPr>
    </w:p>
    <w:p>
      <w:pPr>
        <w:ind w:left="280" w:hanging="276"/>
        <w:spacing w:after="0"/>
        <w:tabs>
          <w:tab w:leader="none" w:pos="2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Fair value hedges -</w:t>
      </w:r>
    </w:p>
    <w:p>
      <w:pPr>
        <w:spacing w:after="0" w:line="195" w:lineRule="exact"/>
        <w:rPr>
          <w:rFonts w:ascii="Arial" w:cs="Arial" w:eastAsia="Arial" w:hAnsi="Arial"/>
          <w:sz w:val="16"/>
          <w:szCs w:val="16"/>
          <w:color w:val="auto"/>
        </w:rPr>
      </w:pPr>
    </w:p>
    <w:p>
      <w:pPr>
        <w:ind w:left="280" w:right="440"/>
        <w:spacing w:after="0" w:line="269" w:lineRule="auto"/>
        <w:rPr>
          <w:rFonts w:ascii="Arial" w:cs="Arial" w:eastAsia="Arial" w:hAnsi="Arial"/>
          <w:sz w:val="16"/>
          <w:szCs w:val="16"/>
          <w:color w:val="auto"/>
        </w:rPr>
      </w:pPr>
      <w:r>
        <w:rPr>
          <w:rFonts w:ascii="Arial" w:cs="Arial" w:eastAsia="Arial" w:hAnsi="Arial"/>
          <w:sz w:val="16"/>
          <w:szCs w:val="16"/>
          <w:color w:val="auto"/>
        </w:rPr>
        <w:t>The change in the fair value of a fair value hedge and the change in the fair value of the hedged item attributable to the risk hedged are recorded as a part of the carrying value of the hedged item and recognized in the consolidated statement of income.</w:t>
      </w:r>
    </w:p>
    <w:p>
      <w:pPr>
        <w:spacing w:after="0" w:line="156" w:lineRule="exact"/>
        <w:rPr>
          <w:rFonts w:ascii="Arial" w:cs="Arial" w:eastAsia="Arial" w:hAnsi="Arial"/>
          <w:sz w:val="16"/>
          <w:szCs w:val="16"/>
          <w:color w:val="auto"/>
        </w:rPr>
      </w:pPr>
    </w:p>
    <w:p>
      <w:pPr>
        <w:jc w:val="both"/>
        <w:ind w:left="280" w:right="40"/>
        <w:spacing w:after="0" w:line="283" w:lineRule="auto"/>
        <w:rPr>
          <w:rFonts w:ascii="Arial" w:cs="Arial" w:eastAsia="Arial" w:hAnsi="Arial"/>
          <w:sz w:val="16"/>
          <w:szCs w:val="16"/>
          <w:color w:val="auto"/>
        </w:rPr>
      </w:pPr>
      <w:r>
        <w:rPr>
          <w:rFonts w:ascii="Arial" w:cs="Arial" w:eastAsia="Arial" w:hAnsi="Arial"/>
          <w:sz w:val="15"/>
          <w:szCs w:val="15"/>
          <w:color w:val="auto"/>
        </w:rPr>
        <w:t>For fair value hedges relating to items carried at amortized cost, any adjustment to the carrying amount of these items, as a result of discontinuation of the hedge, will be amortized through the consolidated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148"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If the hedged item is derecognized, the unamortized fair value is recognized immediately in the consolidated statement of income.</w:t>
      </w:r>
    </w:p>
    <w:p>
      <w:pPr>
        <w:spacing w:after="0" w:line="384" w:lineRule="exact"/>
        <w:rPr>
          <w:rFonts w:ascii="Arial" w:cs="Arial" w:eastAsia="Arial" w:hAnsi="Arial"/>
          <w:sz w:val="16"/>
          <w:szCs w:val="16"/>
          <w:color w:val="auto"/>
        </w:rPr>
      </w:pPr>
    </w:p>
    <w:p>
      <w:pPr>
        <w:ind w:left="5080" w:hanging="91"/>
        <w:spacing w:after="0"/>
        <w:tabs>
          <w:tab w:leader="none" w:pos="50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00"/>
          </w:cols>
          <w:pgMar w:left="800" w:top="815" w:right="299" w:bottom="1440" w:gutter="0" w:footer="0" w:header="0"/>
        </w:sectPr>
      </w:pPr>
    </w:p>
    <w:bookmarkStart w:id="60" w:name="page61"/>
    <w:bookmarkEnd w:id="60"/>
    <w:p>
      <w:pPr>
        <w:ind w:left="561"/>
        <w:spacing w:after="0" w:line="252" w:lineRule="auto"/>
        <w:rPr>
          <w:sz w:val="20"/>
          <w:szCs w:val="20"/>
          <w:color w:val="auto"/>
        </w:rPr>
      </w:pPr>
      <w:r>
        <w:rPr>
          <w:rFonts w:ascii="Arial" w:cs="Arial" w:eastAsia="Arial" w:hAnsi="Arial"/>
          <w:sz w:val="16"/>
          <w:szCs w:val="16"/>
          <w:color w:val="auto"/>
        </w:rPr>
        <w:t>The hedge relationship is terminated when the hedging instrument expires or is sold, terminated or exercised, or where the hedge no longer meets the criteria for hedge accounting, the hedge relationship is terminated. For hedged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 of income. At the same time, the derivative is recorded as a trading derivative.</w:t>
      </w:r>
    </w:p>
    <w:p>
      <w:pPr>
        <w:spacing w:after="0" w:line="172" w:lineRule="exact"/>
        <w:rPr>
          <w:sz w:val="20"/>
          <w:szCs w:val="20"/>
          <w:color w:val="auto"/>
        </w:rPr>
      </w:pPr>
    </w:p>
    <w:p>
      <w:pPr>
        <w:ind w:left="561" w:hanging="276"/>
        <w:spacing w:after="0"/>
        <w:tabs>
          <w:tab w:leader="none" w:pos="561" w:val="left"/>
        </w:tabs>
        <w:numPr>
          <w:ilvl w:val="1"/>
          <w:numId w:val="61"/>
        </w:numPr>
        <w:rPr>
          <w:rFonts w:ascii="Arial" w:cs="Arial" w:eastAsia="Arial" w:hAnsi="Arial"/>
          <w:sz w:val="16"/>
          <w:szCs w:val="16"/>
          <w:color w:val="auto"/>
        </w:rPr>
      </w:pPr>
      <w:r>
        <w:rPr>
          <w:rFonts w:ascii="Arial" w:cs="Arial" w:eastAsia="Arial" w:hAnsi="Arial"/>
          <w:sz w:val="16"/>
          <w:szCs w:val="16"/>
          <w:color w:val="auto"/>
        </w:rPr>
        <w:t>Embedded derivatives -</w:t>
      </w:r>
    </w:p>
    <w:p>
      <w:pPr>
        <w:spacing w:after="0" w:line="195" w:lineRule="exact"/>
        <w:rPr>
          <w:rFonts w:ascii="Arial" w:cs="Arial" w:eastAsia="Arial" w:hAnsi="Arial"/>
          <w:sz w:val="16"/>
          <w:szCs w:val="16"/>
          <w:color w:val="auto"/>
        </w:rPr>
      </w:pPr>
    </w:p>
    <w:p>
      <w:pPr>
        <w:ind w:left="561" w:right="180"/>
        <w:spacing w:after="0" w:line="303" w:lineRule="auto"/>
        <w:rPr>
          <w:rFonts w:ascii="Arial" w:cs="Arial" w:eastAsia="Arial" w:hAnsi="Arial"/>
          <w:sz w:val="16"/>
          <w:szCs w:val="16"/>
          <w:color w:val="auto"/>
        </w:rPr>
      </w:pPr>
      <w:r>
        <w:rPr>
          <w:rFonts w:ascii="Arial" w:cs="Arial" w:eastAsia="Arial" w:hAnsi="Arial"/>
          <w:sz w:val="15"/>
          <w:szCs w:val="15"/>
          <w:color w:val="auto"/>
        </w:rPr>
        <w:t>Derivatives embedded in host contracts are accounted for as separate derivatives and recorded at fair value if their economic characteristics and risks are not closely related to those of the host contract, and said host contract is not held for trading or designated at fair value through profit or loss.</w:t>
      </w:r>
    </w:p>
    <w:p>
      <w:pPr>
        <w:spacing w:after="0" w:line="133" w:lineRule="exact"/>
        <w:rPr>
          <w:rFonts w:ascii="Arial" w:cs="Arial" w:eastAsia="Arial" w:hAnsi="Arial"/>
          <w:sz w:val="16"/>
          <w:szCs w:val="16"/>
          <w:color w:val="auto"/>
        </w:rPr>
      </w:pPr>
    </w:p>
    <w:p>
      <w:pPr>
        <w:ind w:left="561" w:right="80"/>
        <w:spacing w:after="0" w:line="269" w:lineRule="auto"/>
        <w:rPr>
          <w:rFonts w:ascii="Arial" w:cs="Arial" w:eastAsia="Arial" w:hAnsi="Arial"/>
          <w:sz w:val="16"/>
          <w:szCs w:val="16"/>
          <w:color w:val="auto"/>
        </w:rPr>
      </w:pPr>
      <w:r>
        <w:rPr>
          <w:rFonts w:ascii="Arial" w:cs="Arial" w:eastAsia="Arial" w:hAnsi="Arial"/>
          <w:sz w:val="16"/>
          <w:szCs w:val="16"/>
          <w:color w:val="auto"/>
        </w:rPr>
        <w:t>The Group has investments indexed to certain life insurance contracts liabilities, denominated “Investment Link”. These instruments have been classified at inception by the Group as “Financial instruments at fair value though profit or loss”, See Note 3(f)(iii), Note 3(f)(iv) and Note 8.</w:t>
      </w:r>
    </w:p>
    <w:p>
      <w:pPr>
        <w:spacing w:after="0" w:line="156" w:lineRule="exact"/>
        <w:rPr>
          <w:rFonts w:ascii="Arial" w:cs="Arial" w:eastAsia="Arial" w:hAnsi="Arial"/>
          <w:sz w:val="16"/>
          <w:szCs w:val="16"/>
          <w:color w:val="auto"/>
        </w:rPr>
      </w:pPr>
    </w:p>
    <w:p>
      <w:pPr>
        <w:ind w:left="281" w:hanging="281"/>
        <w:spacing w:after="0"/>
        <w:tabs>
          <w:tab w:leader="none" w:pos="281" w:val="left"/>
        </w:tabs>
        <w:numPr>
          <w:ilvl w:val="0"/>
          <w:numId w:val="62"/>
        </w:numPr>
        <w:rPr>
          <w:rFonts w:ascii="Arial" w:cs="Arial" w:eastAsia="Arial" w:hAnsi="Arial"/>
          <w:sz w:val="16"/>
          <w:szCs w:val="16"/>
          <w:color w:val="auto"/>
        </w:rPr>
      </w:pPr>
      <w:r>
        <w:rPr>
          <w:rFonts w:ascii="Arial" w:cs="Arial" w:eastAsia="Arial" w:hAnsi="Arial"/>
          <w:sz w:val="16"/>
          <w:szCs w:val="16"/>
          <w:color w:val="auto"/>
        </w:rPr>
        <w:t>Fair value measurement -</w:t>
      </w:r>
    </w:p>
    <w:p>
      <w:pPr>
        <w:spacing w:after="0" w:line="195" w:lineRule="exact"/>
        <w:rPr>
          <w:rFonts w:ascii="Arial" w:cs="Arial" w:eastAsia="Arial" w:hAnsi="Arial"/>
          <w:sz w:val="16"/>
          <w:szCs w:val="16"/>
          <w:color w:val="auto"/>
        </w:rPr>
      </w:pPr>
    </w:p>
    <w:p>
      <w:pPr>
        <w:ind w:left="281" w:right="220"/>
        <w:spacing w:after="0" w:line="303" w:lineRule="auto"/>
        <w:rPr>
          <w:rFonts w:ascii="Arial" w:cs="Arial" w:eastAsia="Arial" w:hAnsi="Arial"/>
          <w:sz w:val="16"/>
          <w:szCs w:val="16"/>
          <w:color w:val="auto"/>
        </w:rPr>
      </w:pPr>
      <w:r>
        <w:rPr>
          <w:rFonts w:ascii="Arial" w:cs="Arial" w:eastAsia="Arial" w:hAnsi="Arial"/>
          <w:sz w:val="15"/>
          <w:szCs w:val="15"/>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33"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   In the principal market for the asset or liability, or</w:t>
      </w:r>
    </w:p>
    <w:p>
      <w:pPr>
        <w:spacing w:after="0" w:line="1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   In the absence of a principal market, in the most advantageous market for the asset or liability.</w:t>
      </w:r>
    </w:p>
    <w:p>
      <w:pPr>
        <w:spacing w:after="0" w:line="184"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The principal or the most advantageous market must be accessible by the Group. Also, the fair value of a liability reflects its non-performance risk.</w:t>
      </w:r>
    </w:p>
    <w:p>
      <w:pPr>
        <w:spacing w:after="0" w:line="195" w:lineRule="exact"/>
        <w:rPr>
          <w:rFonts w:ascii="Arial" w:cs="Arial" w:eastAsia="Arial" w:hAnsi="Arial"/>
          <w:sz w:val="16"/>
          <w:szCs w:val="16"/>
          <w:color w:val="auto"/>
        </w:rPr>
      </w:pPr>
    </w:p>
    <w:p>
      <w:pPr>
        <w:ind w:left="281" w:right="520"/>
        <w:spacing w:after="0" w:line="303" w:lineRule="auto"/>
        <w:rPr>
          <w:rFonts w:ascii="Arial" w:cs="Arial" w:eastAsia="Arial" w:hAnsi="Arial"/>
          <w:sz w:val="16"/>
          <w:szCs w:val="16"/>
          <w:color w:val="auto"/>
        </w:rPr>
      </w:pPr>
      <w:r>
        <w:rPr>
          <w:rFonts w:ascii="Arial" w:cs="Arial" w:eastAsia="Arial" w:hAnsi="Arial"/>
          <w:sz w:val="15"/>
          <w:szCs w:val="15"/>
          <w:color w:val="auto"/>
        </w:rPr>
        <w:t>When available, the Group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33" w:lineRule="exact"/>
        <w:rPr>
          <w:rFonts w:ascii="Arial" w:cs="Arial" w:eastAsia="Arial" w:hAnsi="Arial"/>
          <w:sz w:val="16"/>
          <w:szCs w:val="16"/>
          <w:color w:val="auto"/>
        </w:rPr>
      </w:pPr>
    </w:p>
    <w:p>
      <w:pPr>
        <w:ind w:left="281" w:right="440"/>
        <w:spacing w:after="0" w:line="269" w:lineRule="auto"/>
        <w:rPr>
          <w:rFonts w:ascii="Arial" w:cs="Arial" w:eastAsia="Arial" w:hAnsi="Arial"/>
          <w:sz w:val="16"/>
          <w:szCs w:val="16"/>
          <w:color w:val="auto"/>
        </w:rPr>
      </w:pPr>
      <w:r>
        <w:rPr>
          <w:rFonts w:ascii="Arial" w:cs="Arial" w:eastAsia="Arial" w:hAnsi="Arial"/>
          <w:sz w:val="16"/>
          <w:szCs w:val="16"/>
          <w:color w:val="auto"/>
        </w:rPr>
        <w:t>If there is no quoted price in an active market, then the Group uses valuation techniques that maximize the use of relevant observable inputs and minimize the use of unobservable inputs.</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The chosen valuation technique incorporates all of the factors that market participants would take into account in pricing a transaction.</w:t>
      </w:r>
    </w:p>
    <w:p>
      <w:pPr>
        <w:spacing w:after="0" w:line="195" w:lineRule="exact"/>
        <w:rPr>
          <w:rFonts w:ascii="Arial" w:cs="Arial" w:eastAsia="Arial" w:hAnsi="Arial"/>
          <w:sz w:val="16"/>
          <w:szCs w:val="16"/>
          <w:color w:val="auto"/>
        </w:rPr>
      </w:pPr>
    </w:p>
    <w:p>
      <w:pPr>
        <w:ind w:left="281" w:right="120"/>
        <w:spacing w:after="0" w:line="269" w:lineRule="auto"/>
        <w:rPr>
          <w:rFonts w:ascii="Arial" w:cs="Arial" w:eastAsia="Arial" w:hAnsi="Arial"/>
          <w:sz w:val="16"/>
          <w:szCs w:val="16"/>
          <w:color w:val="auto"/>
        </w:rPr>
      </w:pPr>
      <w:r>
        <w:rPr>
          <w:rFonts w:ascii="Arial" w:cs="Arial" w:eastAsia="Arial" w:hAnsi="Arial"/>
          <w:sz w:val="16"/>
          <w:szCs w:val="16"/>
          <w:color w:val="auto"/>
        </w:rPr>
        <w:t>All assets and liabilities for which fair value is measured or disclosed in the consolidated financial statements are categorized within the fair value hierarchy, described as follows, based on the lowest level of input used that is significant to the fair value measurement as a whole:</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   Level 1: Quoted (unadjusted) market prices in active markets for identical assets or liabilities.</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   Level 2: Valuation techniques for which the lowest level input that is significant to the fair value measurement is directly or indirectly observable.</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   Level 3: Valuation techniques for which the lowest level input that is significant to the fair value measurement is unobservable.</w:t>
      </w:r>
    </w:p>
    <w:p>
      <w:pPr>
        <w:spacing w:after="0" w:line="384" w:lineRule="exact"/>
        <w:rPr>
          <w:rFonts w:ascii="Arial" w:cs="Arial" w:eastAsia="Arial" w:hAnsi="Arial"/>
          <w:sz w:val="16"/>
          <w:szCs w:val="16"/>
          <w:color w:val="auto"/>
        </w:rPr>
      </w:pPr>
    </w:p>
    <w:p>
      <w:pPr>
        <w:ind w:left="5361" w:hanging="91"/>
        <w:spacing w:after="0"/>
        <w:tabs>
          <w:tab w:leader="none" w:pos="5361" w:val="left"/>
        </w:tabs>
        <w:numPr>
          <w:ilvl w:val="2"/>
          <w:numId w:val="62"/>
        </w:numPr>
        <w:rPr>
          <w:rFonts w:ascii="Arial" w:cs="Arial" w:eastAsia="Arial" w:hAnsi="Arial"/>
          <w:sz w:val="16"/>
          <w:szCs w:val="16"/>
          <w:color w:val="auto"/>
        </w:rPr>
      </w:pPr>
      <w:r>
        <w:rPr>
          <w:rFonts w:ascii="Arial" w:cs="Arial" w:eastAsia="Arial" w:hAnsi="Arial"/>
          <w:sz w:val="16"/>
          <w:szCs w:val="16"/>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5" w:right="259" w:bottom="1440" w:gutter="0" w:footer="0" w:header="0"/>
        </w:sectPr>
      </w:pPr>
    </w:p>
    <w:bookmarkStart w:id="61" w:name="page62"/>
    <w:bookmarkEnd w:id="61"/>
    <w:p>
      <w:pPr>
        <w:ind w:left="281" w:right="520"/>
        <w:spacing w:after="0" w:line="269" w:lineRule="auto"/>
        <w:rPr>
          <w:sz w:val="20"/>
          <w:szCs w:val="20"/>
          <w:color w:val="auto"/>
        </w:rPr>
      </w:pPr>
      <w:r>
        <w:rPr>
          <w:rFonts w:ascii="Arial" w:cs="Arial" w:eastAsia="Arial" w:hAnsi="Arial"/>
          <w:sz w:val="16"/>
          <w:szCs w:val="16"/>
          <w:color w:val="auto"/>
        </w:rPr>
        <w:t>For assets and liabilities that are recognized at fair value in the consolidated financial statements on a recurring basis, the Group determines whether transfers have occurred between levels in the hierarchy by re-assessing categorization at the end of each reporting period.</w:t>
      </w:r>
    </w:p>
    <w:p>
      <w:pPr>
        <w:spacing w:after="0" w:line="157" w:lineRule="exact"/>
        <w:rPr>
          <w:sz w:val="20"/>
          <w:szCs w:val="20"/>
          <w:color w:val="auto"/>
        </w:rPr>
      </w:pPr>
    </w:p>
    <w:p>
      <w:pPr>
        <w:ind w:left="281" w:right="480"/>
        <w:spacing w:after="0" w:line="269" w:lineRule="auto"/>
        <w:rPr>
          <w:sz w:val="20"/>
          <w:szCs w:val="20"/>
          <w:color w:val="auto"/>
        </w:rPr>
      </w:pPr>
      <w:r>
        <w:rPr>
          <w:rFonts w:ascii="Arial" w:cs="Arial" w:eastAsia="Arial" w:hAnsi="Arial"/>
          <w:sz w:val="16"/>
          <w:szCs w:val="16"/>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Also, fair values of financial instruments measured at amortized cost are disclosed in Note 33.7(b).</w:t>
      </w:r>
    </w:p>
    <w:p>
      <w:pPr>
        <w:spacing w:after="0" w:line="195" w:lineRule="exact"/>
        <w:rPr>
          <w:sz w:val="20"/>
          <w:szCs w:val="20"/>
          <w:color w:val="auto"/>
        </w:rPr>
      </w:pPr>
    </w:p>
    <w:p>
      <w:pPr>
        <w:ind w:left="281" w:hanging="281"/>
        <w:spacing w:after="0"/>
        <w:tabs>
          <w:tab w:leader="none" w:pos="281"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Segment reporting -</w:t>
      </w:r>
    </w:p>
    <w:p>
      <w:pPr>
        <w:spacing w:after="0" w:line="195" w:lineRule="exact"/>
        <w:rPr>
          <w:rFonts w:ascii="Arial" w:cs="Arial" w:eastAsia="Arial" w:hAnsi="Arial"/>
          <w:sz w:val="16"/>
          <w:szCs w:val="16"/>
          <w:color w:val="auto"/>
        </w:rPr>
      </w:pPr>
    </w:p>
    <w:p>
      <w:pPr>
        <w:ind w:left="281" w:right="40"/>
        <w:spacing w:after="0" w:line="269" w:lineRule="auto"/>
        <w:rPr>
          <w:rFonts w:ascii="Arial" w:cs="Arial" w:eastAsia="Arial" w:hAnsi="Arial"/>
          <w:sz w:val="16"/>
          <w:szCs w:val="16"/>
          <w:color w:val="auto"/>
        </w:rPr>
      </w:pPr>
      <w:r>
        <w:rPr>
          <w:rFonts w:ascii="Arial" w:cs="Arial" w:eastAsia="Arial" w:hAnsi="Arial"/>
          <w:sz w:val="16"/>
          <w:szCs w:val="16"/>
          <w:color w:val="auto"/>
        </w:rPr>
        <w:t>The Group reports financial and descriptive information about its reportable segments. Reportable segments are operating segments or aggregations of operating segments that meet specified criteria.</w:t>
      </w:r>
    </w:p>
    <w:p>
      <w:pPr>
        <w:spacing w:after="0" w:line="157" w:lineRule="exact"/>
        <w:rPr>
          <w:sz w:val="20"/>
          <w:szCs w:val="20"/>
          <w:color w:val="auto"/>
        </w:rPr>
      </w:pPr>
    </w:p>
    <w:p>
      <w:pPr>
        <w:ind w:left="281" w:right="100"/>
        <w:spacing w:after="0" w:line="283" w:lineRule="auto"/>
        <w:rPr>
          <w:sz w:val="20"/>
          <w:szCs w:val="20"/>
          <w:color w:val="auto"/>
        </w:rPr>
      </w:pPr>
      <w:r>
        <w:rPr>
          <w:rFonts w:ascii="Arial" w:cs="Arial" w:eastAsia="Arial" w:hAnsi="Arial"/>
          <w:sz w:val="15"/>
          <w:szCs w:val="15"/>
          <w:color w:val="auto"/>
        </w:rPr>
        <w:t>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segments’ performance and deciding how to allocate resources to segments, Note 30.</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6"/>
          <w:szCs w:val="16"/>
          <w:color w:val="auto"/>
        </w:rPr>
        <w:t>ab) Fiduciary activities, management of funds and pension funds –</w:t>
      </w:r>
    </w:p>
    <w:p>
      <w:pPr>
        <w:spacing w:after="0" w:line="195" w:lineRule="exact"/>
        <w:rPr>
          <w:sz w:val="20"/>
          <w:szCs w:val="20"/>
          <w:color w:val="auto"/>
        </w:rPr>
      </w:pPr>
    </w:p>
    <w:p>
      <w:pPr>
        <w:ind w:left="281" w:right="280"/>
        <w:spacing w:after="0" w:line="303" w:lineRule="auto"/>
        <w:rPr>
          <w:sz w:val="20"/>
          <w:szCs w:val="20"/>
          <w:color w:val="auto"/>
        </w:rPr>
      </w:pPr>
      <w:r>
        <w:rPr>
          <w:rFonts w:ascii="Arial" w:cs="Arial" w:eastAsia="Arial" w:hAnsi="Arial"/>
          <w:sz w:val="15"/>
          <w:szCs w:val="15"/>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33.8.</w:t>
      </w:r>
    </w:p>
    <w:p>
      <w:pPr>
        <w:spacing w:after="0" w:line="133" w:lineRule="exact"/>
        <w:rPr>
          <w:sz w:val="20"/>
          <w:szCs w:val="20"/>
          <w:color w:val="auto"/>
        </w:rPr>
      </w:pPr>
    </w:p>
    <w:p>
      <w:pPr>
        <w:ind w:left="281"/>
        <w:spacing w:after="0"/>
        <w:rPr>
          <w:sz w:val="20"/>
          <w:szCs w:val="20"/>
          <w:color w:val="auto"/>
        </w:rPr>
      </w:pPr>
      <w:r>
        <w:rPr>
          <w:rFonts w:ascii="Arial" w:cs="Arial" w:eastAsia="Arial" w:hAnsi="Arial"/>
          <w:sz w:val="16"/>
          <w:szCs w:val="16"/>
          <w:color w:val="auto"/>
        </w:rPr>
        <w:t>Commissions generated for these activities are included as “Commissions and fees” of the consolidated statement of income.</w:t>
      </w:r>
    </w:p>
    <w:p>
      <w:pPr>
        <w:spacing w:after="0" w:line="195" w:lineRule="exact"/>
        <w:rPr>
          <w:sz w:val="20"/>
          <w:szCs w:val="20"/>
          <w:color w:val="auto"/>
        </w:rPr>
      </w:pPr>
    </w:p>
    <w:p>
      <w:pPr>
        <w:ind w:left="1"/>
        <w:spacing w:after="0"/>
        <w:rPr>
          <w:sz w:val="20"/>
          <w:szCs w:val="20"/>
          <w:color w:val="auto"/>
        </w:rPr>
      </w:pPr>
      <w:r>
        <w:rPr>
          <w:rFonts w:ascii="Arial" w:cs="Arial" w:eastAsia="Arial" w:hAnsi="Arial"/>
          <w:sz w:val="16"/>
          <w:szCs w:val="16"/>
          <w:color w:val="auto"/>
        </w:rPr>
        <w:t>ac) Cash and cash equivalents -</w:t>
      </w:r>
    </w:p>
    <w:p>
      <w:pPr>
        <w:spacing w:after="0" w:line="195" w:lineRule="exact"/>
        <w:rPr>
          <w:sz w:val="20"/>
          <w:szCs w:val="20"/>
          <w:color w:val="auto"/>
        </w:rPr>
      </w:pPr>
    </w:p>
    <w:p>
      <w:pPr>
        <w:ind w:left="281"/>
        <w:spacing w:after="0" w:line="258" w:lineRule="auto"/>
        <w:rPr>
          <w:sz w:val="20"/>
          <w:szCs w:val="20"/>
          <w:color w:val="auto"/>
        </w:rPr>
      </w:pPr>
      <w:r>
        <w:rPr>
          <w:rFonts w:ascii="Arial" w:cs="Arial" w:eastAsia="Arial" w:hAnsi="Arial"/>
          <w:sz w:val="16"/>
          <w:szCs w:val="16"/>
          <w:color w:val="auto"/>
        </w:rPr>
        <w:t>For the purpose of the consolidated statement of cash flows, cash and cash equivalents comprise balances of cash and non-restricted balances with central banks, overnight deposits, interbank funds, time deposits and amounts due from banks with maturities of three months or less from the date of acquisition, excluding restricted cash, see Note 4.</w:t>
      </w:r>
    </w:p>
    <w:p>
      <w:pPr>
        <w:spacing w:after="0" w:line="165" w:lineRule="exact"/>
        <w:rPr>
          <w:sz w:val="20"/>
          <w:szCs w:val="20"/>
          <w:color w:val="auto"/>
        </w:rPr>
      </w:pPr>
    </w:p>
    <w:p>
      <w:pPr>
        <w:ind w:left="281" w:right="140"/>
        <w:spacing w:after="0" w:line="269" w:lineRule="auto"/>
        <w:rPr>
          <w:sz w:val="20"/>
          <w:szCs w:val="20"/>
          <w:color w:val="auto"/>
        </w:rPr>
      </w:pPr>
      <w:r>
        <w:rPr>
          <w:rFonts w:ascii="Arial" w:cs="Arial" w:eastAsia="Arial" w:hAnsi="Arial"/>
          <w:sz w:val="16"/>
          <w:szCs w:val="16"/>
          <w:color w:val="auto"/>
        </w:rPr>
        <w:t>Cash collateral pledged as a part of a repurchase agreement is presented in “Cash collateral, reverse repurchase agreement and securities borrowings” in the consolidated statement of financial position, see Note 5(a).</w:t>
      </w:r>
    </w:p>
    <w:p>
      <w:pPr>
        <w:spacing w:after="0" w:line="157" w:lineRule="exact"/>
        <w:rPr>
          <w:sz w:val="20"/>
          <w:szCs w:val="20"/>
          <w:color w:val="auto"/>
        </w:rPr>
      </w:pPr>
    </w:p>
    <w:p>
      <w:pPr>
        <w:ind w:left="281" w:right="120"/>
        <w:spacing w:after="0" w:line="269" w:lineRule="auto"/>
        <w:rPr>
          <w:sz w:val="20"/>
          <w:szCs w:val="20"/>
          <w:color w:val="auto"/>
        </w:rPr>
      </w:pPr>
      <w:r>
        <w:rPr>
          <w:rFonts w:ascii="Arial" w:cs="Arial" w:eastAsia="Arial" w:hAnsi="Arial"/>
          <w:sz w:val="16"/>
          <w:szCs w:val="16"/>
          <w:color w:val="auto"/>
        </w:rPr>
        <w:t>Cash collateral pledged in the negotiation of derivative financial instrument and others are presented in “Other assets” in the consolidated statement of financial position, See Note 12.</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color w:val="auto"/>
        </w:rPr>
        <w:t>ad) International Financial Reporting Standards issued but not yet effective -</w:t>
      </w:r>
    </w:p>
    <w:p>
      <w:pPr>
        <w:spacing w:after="0" w:line="19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are not effective as of December 31, 2018:</w:t>
      </w:r>
    </w:p>
    <w:p>
      <w:pPr>
        <w:spacing w:after="0" w:line="195" w:lineRule="exact"/>
        <w:rPr>
          <w:sz w:val="20"/>
          <w:szCs w:val="20"/>
          <w:color w:val="auto"/>
        </w:rPr>
      </w:pPr>
    </w:p>
    <w:p>
      <w:pPr>
        <w:ind w:left="561" w:hanging="276"/>
        <w:spacing w:after="0"/>
        <w:tabs>
          <w:tab w:leader="none" w:pos="561"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IFRS 16, “Leases” -</w:t>
      </w:r>
    </w:p>
    <w:p>
      <w:pPr>
        <w:spacing w:after="0" w:line="195" w:lineRule="exact"/>
        <w:rPr>
          <w:rFonts w:ascii="Arial" w:cs="Arial" w:eastAsia="Arial" w:hAnsi="Arial"/>
          <w:sz w:val="16"/>
          <w:szCs w:val="16"/>
          <w:color w:val="auto"/>
        </w:rPr>
      </w:pPr>
    </w:p>
    <w:p>
      <w:pPr>
        <w:ind w:left="561"/>
        <w:spacing w:after="0" w:line="269" w:lineRule="auto"/>
        <w:rPr>
          <w:rFonts w:ascii="Arial" w:cs="Arial" w:eastAsia="Arial" w:hAnsi="Arial"/>
          <w:sz w:val="16"/>
          <w:szCs w:val="16"/>
          <w:color w:val="auto"/>
        </w:rPr>
      </w:pPr>
      <w:r>
        <w:rPr>
          <w:rFonts w:ascii="Arial" w:cs="Arial" w:eastAsia="Arial" w:hAnsi="Arial"/>
          <w:sz w:val="16"/>
          <w:szCs w:val="16"/>
          <w:color w:val="auto"/>
        </w:rPr>
        <w:t>IFRS 16, ‘Leases’ will replace the current standards related to the treatment of leases (IAS 17, ‘Leases’ and IFRIC 4, ‘Determining whether an arrangement contains a lease” and other related interpretations).</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64"/>
        </w:numPr>
        <w:rPr>
          <w:rFonts w:ascii="Arial" w:cs="Arial" w:eastAsia="Arial" w:hAnsi="Arial"/>
          <w:sz w:val="16"/>
          <w:szCs w:val="16"/>
          <w:color w:val="auto"/>
        </w:rPr>
      </w:pPr>
      <w:r>
        <w:rPr>
          <w:rFonts w:ascii="Arial" w:cs="Arial" w:eastAsia="Arial" w:hAnsi="Arial"/>
          <w:sz w:val="16"/>
          <w:szCs w:val="16"/>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1"/>
          </w:cols>
          <w:pgMar w:left="519" w:top="814" w:right="279" w:bottom="1440" w:gutter="0" w:footer="0" w:header="0"/>
        </w:sectPr>
      </w:pPr>
    </w:p>
    <w:bookmarkStart w:id="62" w:name="page63"/>
    <w:bookmarkEnd w:id="62"/>
    <w:p>
      <w:pPr>
        <w:ind w:left="280" w:right="220"/>
        <w:spacing w:after="0" w:line="283" w:lineRule="auto"/>
        <w:rPr>
          <w:sz w:val="20"/>
          <w:szCs w:val="20"/>
          <w:color w:val="auto"/>
        </w:rPr>
      </w:pPr>
      <w:r>
        <w:rPr>
          <w:rFonts w:ascii="Arial" w:cs="Arial" w:eastAsia="Arial" w:hAnsi="Arial"/>
          <w:sz w:val="15"/>
          <w:szCs w:val="15"/>
          <w:color w:val="auto"/>
        </w:rPr>
        <w:t>IFRS 16 will mainly affect the accounting treatment for lessees, and will result in the recognition of almost all lease contracts in the statement of financial position, since the standard eliminates the distinction between finance and operating leases. Pursuant to the new standard, recognition of an asset (right of use of the leased asset) and of a financial liability is required to make the lease payments. The only exemptions are for short term and low value leases.</w:t>
      </w:r>
    </w:p>
    <w:p>
      <w:pPr>
        <w:spacing w:after="0" w:line="148" w:lineRule="exact"/>
        <w:rPr>
          <w:sz w:val="20"/>
          <w:szCs w:val="20"/>
          <w:color w:val="auto"/>
        </w:rPr>
      </w:pPr>
    </w:p>
    <w:p>
      <w:pPr>
        <w:ind w:left="280" w:right="540"/>
        <w:spacing w:after="0" w:line="258" w:lineRule="auto"/>
        <w:rPr>
          <w:sz w:val="20"/>
          <w:szCs w:val="20"/>
          <w:color w:val="auto"/>
        </w:rPr>
      </w:pPr>
      <w:r>
        <w:rPr>
          <w:rFonts w:ascii="Arial" w:cs="Arial" w:eastAsia="Arial" w:hAnsi="Arial"/>
          <w:sz w:val="16"/>
          <w:szCs w:val="16"/>
          <w:color w:val="auto"/>
        </w:rPr>
        <w:t>The statement of income will also be affected, since the total expense is normally higher in the initial years of the lease contract and lower in the final years. Furthermore, the operating costs will be replaced with interest and depreciation, therefore key metrics such as earnings before interest, taxes, depreciation and amortization (EBITDA).</w:t>
      </w:r>
    </w:p>
    <w:p>
      <w:pPr>
        <w:spacing w:after="0" w:line="165" w:lineRule="exact"/>
        <w:rPr>
          <w:sz w:val="20"/>
          <w:szCs w:val="20"/>
          <w:color w:val="auto"/>
        </w:rPr>
      </w:pPr>
    </w:p>
    <w:p>
      <w:pPr>
        <w:ind w:left="280" w:right="40"/>
        <w:spacing w:after="0" w:line="269" w:lineRule="auto"/>
        <w:rPr>
          <w:sz w:val="20"/>
          <w:szCs w:val="20"/>
          <w:color w:val="auto"/>
        </w:rPr>
      </w:pPr>
      <w:r>
        <w:rPr>
          <w:rFonts w:ascii="Arial" w:cs="Arial" w:eastAsia="Arial" w:hAnsi="Arial"/>
          <w:sz w:val="16"/>
          <w:szCs w:val="16"/>
          <w:color w:val="auto"/>
        </w:rPr>
        <w:t>Operating cash flows will be greater since cash payments for the principal portion of the lease debt are classified in financing activities. Only the part of the payments that reflects interest can continue to be presented as operating cash flow.</w:t>
      </w:r>
    </w:p>
    <w:p>
      <w:pPr>
        <w:spacing w:after="0" w:line="157" w:lineRule="exact"/>
        <w:rPr>
          <w:sz w:val="20"/>
          <w:szCs w:val="20"/>
          <w:color w:val="auto"/>
        </w:rPr>
      </w:pPr>
    </w:p>
    <w:p>
      <w:pPr>
        <w:ind w:left="280" w:right="100"/>
        <w:spacing w:after="0" w:line="342" w:lineRule="auto"/>
        <w:rPr>
          <w:sz w:val="20"/>
          <w:szCs w:val="20"/>
          <w:color w:val="auto"/>
        </w:rPr>
      </w:pPr>
      <w:r>
        <w:rPr>
          <w:rFonts w:ascii="Arial" w:cs="Arial" w:eastAsia="Arial" w:hAnsi="Arial"/>
          <w:sz w:val="14"/>
          <w:szCs w:val="14"/>
          <w:color w:val="auto"/>
        </w:rPr>
        <w:t>The accounting by the lessors will not change significantly. Some differences may arise as a result of the new guidance on the definition of a lease. Under IFRS 16, a contract is, or contains, a lease if the contract conveys the right to control the use of an identified asset for a period of time in exchange for consideration.</w:t>
      </w:r>
    </w:p>
    <w:p>
      <w:pPr>
        <w:spacing w:after="0" w:line="110" w:lineRule="exact"/>
        <w:rPr>
          <w:sz w:val="20"/>
          <w:szCs w:val="20"/>
          <w:color w:val="auto"/>
        </w:rPr>
      </w:pPr>
    </w:p>
    <w:p>
      <w:pPr>
        <w:ind w:left="280" w:right="200"/>
        <w:spacing w:after="0" w:line="269" w:lineRule="auto"/>
        <w:rPr>
          <w:sz w:val="20"/>
          <w:szCs w:val="20"/>
          <w:color w:val="auto"/>
        </w:rPr>
      </w:pPr>
      <w:r>
        <w:rPr>
          <w:rFonts w:ascii="Arial" w:cs="Arial" w:eastAsia="Arial" w:hAnsi="Arial"/>
          <w:sz w:val="16"/>
          <w:szCs w:val="16"/>
          <w:color w:val="auto"/>
        </w:rPr>
        <w:t>IFRS 16 applies to annual periods beginning on or after January 1, 2019, with earlier application permitted, if IFRS 15, Revenue from Contracts with Customers, is adopted at the same time.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new requirements of IFRS 16 will be applied by adjusting our consolidated statement of financial position at January 1, 2019, the date of its initial application.</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 term and low value leases will be recognized in a straight line as an expense in the consolidated statement of income.</w:t>
      </w:r>
    </w:p>
    <w:p>
      <w:pPr>
        <w:spacing w:after="0" w:line="195" w:lineRule="exact"/>
        <w:rPr>
          <w:sz w:val="20"/>
          <w:szCs w:val="20"/>
          <w:color w:val="auto"/>
        </w:rPr>
      </w:pPr>
    </w:p>
    <w:p>
      <w:pPr>
        <w:ind w:left="280" w:right="380"/>
        <w:spacing w:after="0" w:line="269" w:lineRule="auto"/>
        <w:rPr>
          <w:sz w:val="20"/>
          <w:szCs w:val="20"/>
          <w:color w:val="auto"/>
        </w:rPr>
      </w:pPr>
      <w:r>
        <w:rPr>
          <w:rFonts w:ascii="Arial" w:cs="Arial" w:eastAsia="Arial" w:hAnsi="Arial"/>
          <w:sz w:val="16"/>
          <w:szCs w:val="16"/>
          <w:color w:val="auto"/>
        </w:rPr>
        <w:t>For the rest of the operating leases, the Group expects to recognize assets for right-of-use for approximately S/1,581.9 million, lease liabilities for approximately S/1,579.2 million and deferred charges for prepayments for approximately S/2.7 million.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Group will continue monitoring and perfecting certain elements of our lease contract review process, considering the new lease accounting guidelines in IFRS 16.</w:t>
      </w:r>
    </w:p>
    <w:p>
      <w:pPr>
        <w:spacing w:after="0" w:line="218" w:lineRule="exact"/>
        <w:rPr>
          <w:sz w:val="20"/>
          <w:szCs w:val="20"/>
          <w:color w:val="auto"/>
        </w:rPr>
      </w:pPr>
    </w:p>
    <w:p>
      <w:pPr>
        <w:ind w:left="280" w:right="480"/>
        <w:spacing w:after="0" w:line="269" w:lineRule="auto"/>
        <w:rPr>
          <w:sz w:val="20"/>
          <w:szCs w:val="20"/>
          <w:color w:val="auto"/>
        </w:rPr>
      </w:pPr>
      <w:r>
        <w:rPr>
          <w:rFonts w:ascii="Arial" w:cs="Arial" w:eastAsia="Arial" w:hAnsi="Arial"/>
          <w:sz w:val="16"/>
          <w:szCs w:val="16"/>
          <w:color w:val="auto"/>
        </w:rPr>
        <w:t>The accounting treatment for lessors continues with a model similar to IAS 17; therefore, the lessors will continue to perform a classification test to distinguish between financial and operating leases.</w:t>
      </w:r>
    </w:p>
    <w:p>
      <w:pPr>
        <w:spacing w:after="0" w:line="157" w:lineRule="exact"/>
        <w:rPr>
          <w:sz w:val="20"/>
          <w:szCs w:val="20"/>
          <w:color w:val="auto"/>
        </w:rPr>
      </w:pPr>
    </w:p>
    <w:p>
      <w:pPr>
        <w:ind w:left="280" w:hanging="276"/>
        <w:spacing w:after="0"/>
        <w:tabs>
          <w:tab w:leader="none" w:pos="2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IFRS 17 “Insurance Contracts” -</w:t>
      </w:r>
    </w:p>
    <w:p>
      <w:pPr>
        <w:spacing w:after="0" w:line="195" w:lineRule="exact"/>
        <w:rPr>
          <w:rFonts w:ascii="Arial" w:cs="Arial" w:eastAsia="Arial" w:hAnsi="Arial"/>
          <w:sz w:val="16"/>
          <w:szCs w:val="16"/>
          <w:color w:val="auto"/>
        </w:rPr>
      </w:pPr>
    </w:p>
    <w:p>
      <w:pPr>
        <w:ind w:left="280" w:right="700"/>
        <w:spacing w:after="0" w:line="269" w:lineRule="auto"/>
        <w:rPr>
          <w:rFonts w:ascii="Arial" w:cs="Arial" w:eastAsia="Arial" w:hAnsi="Arial"/>
          <w:sz w:val="16"/>
          <w:szCs w:val="16"/>
          <w:color w:val="auto"/>
        </w:rPr>
      </w:pPr>
      <w:r>
        <w:rPr>
          <w:rFonts w:ascii="Arial" w:cs="Arial" w:eastAsia="Arial" w:hAnsi="Arial"/>
          <w:sz w:val="16"/>
          <w:szCs w:val="16"/>
          <w:color w:val="auto"/>
        </w:rPr>
        <w:t>IFRS 17 was issued in May 2017 in replacement of IFRS 4 “Insurance Contracts”. This standard requires a current measurement model, where estimate are remeasured in each reporting period. The contracts are measured using the building blocks of:</w:t>
      </w:r>
    </w:p>
    <w:p>
      <w:pPr>
        <w:spacing w:after="0" w:line="156" w:lineRule="exact"/>
        <w:rPr>
          <w:rFonts w:ascii="Arial" w:cs="Arial" w:eastAsia="Arial" w:hAnsi="Arial"/>
          <w:sz w:val="16"/>
          <w:szCs w:val="16"/>
          <w:color w:val="auto"/>
        </w:rPr>
      </w:pPr>
    </w:p>
    <w:p>
      <w:pPr>
        <w:ind w:left="580" w:hanging="292"/>
        <w:spacing w:after="0"/>
        <w:tabs>
          <w:tab w:leader="none" w:pos="5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Discounted probability-weighted cash flows.</w:t>
      </w:r>
    </w:p>
    <w:p>
      <w:pPr>
        <w:spacing w:after="0" w:line="16" w:lineRule="exact"/>
        <w:rPr>
          <w:rFonts w:ascii="Arial" w:cs="Arial" w:eastAsia="Arial" w:hAnsi="Arial"/>
          <w:sz w:val="16"/>
          <w:szCs w:val="16"/>
          <w:color w:val="auto"/>
        </w:rPr>
      </w:pPr>
    </w:p>
    <w:p>
      <w:pPr>
        <w:ind w:left="580" w:hanging="292"/>
        <w:spacing w:after="0"/>
        <w:tabs>
          <w:tab w:leader="none" w:pos="5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 explicit risk adjustment, and</w:t>
      </w:r>
    </w:p>
    <w:p>
      <w:pPr>
        <w:spacing w:after="0" w:line="5" w:lineRule="exact"/>
        <w:rPr>
          <w:rFonts w:ascii="Arial" w:cs="Arial" w:eastAsia="Arial" w:hAnsi="Arial"/>
          <w:sz w:val="16"/>
          <w:szCs w:val="16"/>
          <w:color w:val="auto"/>
        </w:rPr>
      </w:pPr>
    </w:p>
    <w:p>
      <w:pPr>
        <w:ind w:left="580" w:hanging="292"/>
        <w:spacing w:after="0"/>
        <w:tabs>
          <w:tab w:leader="none" w:pos="5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contractual service margin which represents the unearned profit of the contract recognized as income over the coverage.</w:t>
      </w:r>
    </w:p>
    <w:p>
      <w:pPr>
        <w:spacing w:after="0" w:line="184" w:lineRule="exact"/>
        <w:rPr>
          <w:sz w:val="20"/>
          <w:szCs w:val="20"/>
          <w:color w:val="auto"/>
        </w:rPr>
      </w:pPr>
    </w:p>
    <w:p>
      <w:pPr>
        <w:ind w:left="280" w:right="240"/>
        <w:spacing w:after="0" w:line="269" w:lineRule="auto"/>
        <w:rPr>
          <w:sz w:val="20"/>
          <w:szCs w:val="20"/>
          <w:color w:val="auto"/>
        </w:rPr>
      </w:pPr>
      <w:r>
        <w:rPr>
          <w:rFonts w:ascii="Arial" w:cs="Arial" w:eastAsia="Arial" w:hAnsi="Arial"/>
          <w:sz w:val="16"/>
          <w:szCs w:val="16"/>
          <w:color w:val="auto"/>
        </w:rPr>
        <w:t>The standard permits a choice between recognizing the changes in discount rates, either in the statement of income or directly in other comprehensive income. The choice probably reflects how insurers record their financial assets according to IFRS 9.</w:t>
      </w:r>
    </w:p>
    <w:p>
      <w:pPr>
        <w:spacing w:after="0" w:line="346"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20"/>
          </w:cols>
          <w:pgMar w:left="800" w:top="814" w:right="279" w:bottom="1440" w:gutter="0" w:footer="0" w:header="0"/>
        </w:sectPr>
      </w:pPr>
    </w:p>
    <w:bookmarkStart w:id="63" w:name="page64"/>
    <w:bookmarkEnd w:id="63"/>
    <w:p>
      <w:pPr>
        <w:ind w:left="276" w:right="180"/>
        <w:spacing w:after="0" w:line="269" w:lineRule="auto"/>
        <w:rPr>
          <w:sz w:val="20"/>
          <w:szCs w:val="20"/>
          <w:color w:val="auto"/>
        </w:rPr>
      </w:pPr>
      <w:r>
        <w:rPr>
          <w:rFonts w:ascii="Arial" w:cs="Arial" w:eastAsia="Arial" w:hAnsi="Arial"/>
          <w:sz w:val="16"/>
          <w:szCs w:val="16"/>
          <w:color w:val="auto"/>
        </w:rPr>
        <w:t>An optional, simplified premium allocation approach is permitted for the liability for the remaining coverage for short duration contracts, which are often written by non-life insurers.</w:t>
      </w:r>
    </w:p>
    <w:p>
      <w:pPr>
        <w:spacing w:after="0" w:line="157" w:lineRule="exact"/>
        <w:rPr>
          <w:sz w:val="20"/>
          <w:szCs w:val="20"/>
          <w:color w:val="auto"/>
        </w:rPr>
      </w:pPr>
    </w:p>
    <w:p>
      <w:pPr>
        <w:jc w:val="both"/>
        <w:ind w:left="276" w:right="120"/>
        <w:spacing w:after="0" w:line="254" w:lineRule="auto"/>
        <w:rPr>
          <w:sz w:val="20"/>
          <w:szCs w:val="20"/>
          <w:color w:val="auto"/>
        </w:rPr>
      </w:pPr>
      <w:r>
        <w:rPr>
          <w:rFonts w:ascii="Arial" w:cs="Arial" w:eastAsia="Arial" w:hAnsi="Arial"/>
          <w:sz w:val="16"/>
          <w:szCs w:val="16"/>
          <w:color w:val="auto"/>
        </w:rPr>
        <w:t>There is a modification of the general measurement model denominated “Variable commissions method” for certain contracts of insurers with life insurance in which the insured share the yields from the underlying elements. Upon applying the variable commissions’ method, the entity’s participation in changes in fair value of the underlying elements is included in the contractual service margin. Therefore, it is probable that the results of the insurers that use this model will be less volatile than under the general model.</w:t>
      </w:r>
    </w:p>
    <w:p>
      <w:pPr>
        <w:spacing w:after="0" w:line="169" w:lineRule="exact"/>
        <w:rPr>
          <w:sz w:val="20"/>
          <w:szCs w:val="20"/>
          <w:color w:val="auto"/>
        </w:rPr>
      </w:pPr>
    </w:p>
    <w:p>
      <w:pPr>
        <w:ind w:left="276" w:right="840"/>
        <w:spacing w:after="0" w:line="269" w:lineRule="auto"/>
        <w:rPr>
          <w:sz w:val="20"/>
          <w:szCs w:val="20"/>
          <w:color w:val="auto"/>
        </w:rPr>
      </w:pPr>
      <w:r>
        <w:rPr>
          <w:rFonts w:ascii="Arial" w:cs="Arial" w:eastAsia="Arial" w:hAnsi="Arial"/>
          <w:sz w:val="16"/>
          <w:szCs w:val="16"/>
          <w:color w:val="auto"/>
        </w:rPr>
        <w:t>The new rules will affect the financial statements and key performance indicators of all entities that issue insurance contracts or investment contracts with discretionary participation features.</w:t>
      </w:r>
    </w:p>
    <w:p>
      <w:pPr>
        <w:spacing w:after="0" w:line="157" w:lineRule="exact"/>
        <w:rPr>
          <w:sz w:val="20"/>
          <w:szCs w:val="20"/>
          <w:color w:val="auto"/>
        </w:rPr>
      </w:pPr>
    </w:p>
    <w:p>
      <w:pPr>
        <w:ind w:left="276"/>
        <w:spacing w:after="0" w:line="269" w:lineRule="auto"/>
        <w:rPr>
          <w:sz w:val="20"/>
          <w:szCs w:val="20"/>
          <w:color w:val="auto"/>
        </w:rPr>
      </w:pPr>
      <w:r>
        <w:rPr>
          <w:rFonts w:ascii="Arial" w:cs="Arial" w:eastAsia="Arial" w:hAnsi="Arial"/>
          <w:sz w:val="16"/>
          <w:szCs w:val="16"/>
          <w:color w:val="auto"/>
        </w:rPr>
        <w:t>Initially, IFRS 17 would apply to annual periods beginning on or after January 1, 2021; however, on November 14, 2018, the IASB agreed to defer the effective date of application to annual periods beginning on or after January 1, 2022.</w:t>
      </w:r>
    </w:p>
    <w:p>
      <w:pPr>
        <w:spacing w:after="0" w:line="157" w:lineRule="exact"/>
        <w:rPr>
          <w:sz w:val="20"/>
          <w:szCs w:val="20"/>
          <w:color w:val="auto"/>
        </w:rPr>
      </w:pPr>
    </w:p>
    <w:p>
      <w:pPr>
        <w:ind w:left="276"/>
        <w:spacing w:after="0"/>
        <w:rPr>
          <w:sz w:val="20"/>
          <w:szCs w:val="20"/>
          <w:color w:val="auto"/>
        </w:rPr>
      </w:pPr>
      <w:r>
        <w:rPr>
          <w:rFonts w:ascii="Arial" w:cs="Arial" w:eastAsia="Arial" w:hAnsi="Arial"/>
          <w:sz w:val="16"/>
          <w:szCs w:val="16"/>
          <w:color w:val="auto"/>
        </w:rPr>
        <w:t>Early adoption is permitted, as long as the Group also applies IFRS 9 and IFRS 15 on the date on which IFRS 17 is applied for the first time.</w:t>
      </w:r>
    </w:p>
    <w:p>
      <w:pPr>
        <w:spacing w:after="0" w:line="195" w:lineRule="exact"/>
        <w:rPr>
          <w:sz w:val="20"/>
          <w:szCs w:val="20"/>
          <w:color w:val="auto"/>
        </w:rPr>
      </w:pPr>
    </w:p>
    <w:p>
      <w:pPr>
        <w:ind w:left="276" w:hanging="276"/>
        <w:spacing w:after="0"/>
        <w:tabs>
          <w:tab w:leader="none" w:pos="276"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IFRIC 23 “Uncertainty over income tax treatments” -</w:t>
      </w:r>
    </w:p>
    <w:p>
      <w:pPr>
        <w:spacing w:after="0" w:line="195" w:lineRule="exact"/>
        <w:rPr>
          <w:rFonts w:ascii="Arial" w:cs="Arial" w:eastAsia="Arial" w:hAnsi="Arial"/>
          <w:sz w:val="16"/>
          <w:szCs w:val="16"/>
          <w:color w:val="auto"/>
        </w:rPr>
      </w:pPr>
    </w:p>
    <w:p>
      <w:pPr>
        <w:ind w:left="276" w:right="360"/>
        <w:spacing w:after="0" w:line="269" w:lineRule="auto"/>
        <w:rPr>
          <w:rFonts w:ascii="Arial" w:cs="Arial" w:eastAsia="Arial" w:hAnsi="Arial"/>
          <w:sz w:val="16"/>
          <w:szCs w:val="16"/>
          <w:color w:val="auto"/>
        </w:rPr>
      </w:pPr>
      <w:r>
        <w:rPr>
          <w:rFonts w:ascii="Arial" w:cs="Arial" w:eastAsia="Arial" w:hAnsi="Arial"/>
          <w:sz w:val="16"/>
          <w:szCs w:val="16"/>
          <w:color w:val="auto"/>
        </w:rPr>
        <w:t>The interpretation explains how to recognize and measure deferred and current income tax assets and liabilities where there is uncertainty over a tax treatment. In particular, it discusses:</w:t>
      </w:r>
    </w:p>
    <w:p>
      <w:pPr>
        <w:spacing w:after="0" w:line="156" w:lineRule="exact"/>
        <w:rPr>
          <w:rFonts w:ascii="Arial" w:cs="Arial" w:eastAsia="Arial" w:hAnsi="Arial"/>
          <w:sz w:val="16"/>
          <w:szCs w:val="16"/>
          <w:color w:val="auto"/>
        </w:rPr>
      </w:pPr>
    </w:p>
    <w:p>
      <w:pPr>
        <w:ind w:left="576" w:right="360" w:hanging="292"/>
        <w:spacing w:after="0" w:line="254" w:lineRule="auto"/>
        <w:tabs>
          <w:tab w:leader="none" w:pos="576" w:val="left"/>
        </w:tabs>
        <w:numPr>
          <w:ilvl w:val="1"/>
          <w:numId w:val="66"/>
        </w:numPr>
        <w:rPr>
          <w:rFonts w:ascii="Arial" w:cs="Arial" w:eastAsia="Arial" w:hAnsi="Arial"/>
          <w:sz w:val="16"/>
          <w:szCs w:val="16"/>
          <w:color w:val="auto"/>
        </w:rPr>
      </w:pPr>
      <w:r>
        <w:rPr>
          <w:rFonts w:ascii="Arial" w:cs="Arial" w:eastAsia="Arial" w:hAnsi="Arial"/>
          <w:sz w:val="16"/>
          <w:szCs w:val="16"/>
          <w:color w:val="auto"/>
        </w:rPr>
        <w:t>How to determine the appropriate unit of account, and that each uncertain tax treatment should be considered separately or together as a group, depending on which approach better predicts the resolution of the uncertainty.</w:t>
      </w:r>
    </w:p>
    <w:p>
      <w:pPr>
        <w:ind w:left="576" w:right="180" w:hanging="292"/>
        <w:spacing w:after="0" w:line="247" w:lineRule="auto"/>
        <w:tabs>
          <w:tab w:leader="none" w:pos="576"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That the entity should assume a tax authority will examine the uncertain tax treatments and have full knowledge of all related information, that is, that detection risk should be ignored.</w:t>
      </w:r>
    </w:p>
    <w:p>
      <w:pPr>
        <w:ind w:left="576" w:hanging="292"/>
        <w:spacing w:after="0"/>
        <w:tabs>
          <w:tab w:leader="none" w:pos="576"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That the entity should reflect the effect of the uncertainty in its income tax accounting when it is not probable that the tax authorities will accept the treatment.</w:t>
      </w:r>
    </w:p>
    <w:p>
      <w:pPr>
        <w:spacing w:after="0" w:line="28" w:lineRule="exact"/>
        <w:rPr>
          <w:rFonts w:ascii="Arial" w:cs="Arial" w:eastAsia="Arial" w:hAnsi="Arial"/>
          <w:sz w:val="14"/>
          <w:szCs w:val="14"/>
          <w:color w:val="auto"/>
        </w:rPr>
      </w:pPr>
    </w:p>
    <w:p>
      <w:pPr>
        <w:ind w:left="576" w:right="400" w:hanging="292"/>
        <w:spacing w:after="0" w:line="247" w:lineRule="auto"/>
        <w:tabs>
          <w:tab w:leader="none" w:pos="576"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That the impact of the uncertainty should be measured using either the most likely amount or the expected value method, depending on which method better predicts the resolution of the uncertainty, and</w:t>
      </w:r>
    </w:p>
    <w:p>
      <w:pPr>
        <w:ind w:left="576" w:hanging="292"/>
        <w:spacing w:after="0"/>
        <w:tabs>
          <w:tab w:leader="none" w:pos="576"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That the judgments and estimates made must be reassessed whenever circumstances have changed or there is new information that affects the judgments.</w:t>
      </w:r>
    </w:p>
    <w:p>
      <w:pPr>
        <w:spacing w:after="0" w:line="207" w:lineRule="exact"/>
        <w:rPr>
          <w:sz w:val="20"/>
          <w:szCs w:val="20"/>
          <w:color w:val="auto"/>
        </w:rPr>
      </w:pPr>
    </w:p>
    <w:p>
      <w:pPr>
        <w:ind w:left="276" w:right="440"/>
        <w:spacing w:after="0" w:line="269" w:lineRule="auto"/>
        <w:rPr>
          <w:sz w:val="20"/>
          <w:szCs w:val="20"/>
          <w:color w:val="auto"/>
        </w:rPr>
      </w:pPr>
      <w:r>
        <w:rPr>
          <w:rFonts w:ascii="Arial" w:cs="Arial" w:eastAsia="Arial" w:hAnsi="Arial"/>
          <w:sz w:val="16"/>
          <w:szCs w:val="16"/>
          <w:color w:val="auto"/>
        </w:rPr>
        <w:t>While there are no new disclosure requirements, entities are reminded of the general requirement to provide information about judgments and estimates made in preparing the financial statements.</w:t>
      </w:r>
    </w:p>
    <w:p>
      <w:pPr>
        <w:spacing w:after="0" w:line="157" w:lineRule="exact"/>
        <w:rPr>
          <w:sz w:val="20"/>
          <w:szCs w:val="20"/>
          <w:color w:val="auto"/>
        </w:rPr>
      </w:pPr>
    </w:p>
    <w:p>
      <w:pPr>
        <w:ind w:left="276"/>
        <w:spacing w:after="0"/>
        <w:rPr>
          <w:sz w:val="20"/>
          <w:szCs w:val="20"/>
          <w:color w:val="auto"/>
        </w:rPr>
      </w:pPr>
      <w:r>
        <w:rPr>
          <w:rFonts w:ascii="Arial" w:cs="Arial" w:eastAsia="Arial" w:hAnsi="Arial"/>
          <w:sz w:val="16"/>
          <w:szCs w:val="16"/>
          <w:color w:val="auto"/>
        </w:rPr>
        <w:t>IFRIC 23 applies to financial statement for annual periods beginning on or after January 1, 2019.</w:t>
      </w:r>
    </w:p>
    <w:p>
      <w:pPr>
        <w:spacing w:after="0" w:line="195" w:lineRule="exact"/>
        <w:rPr>
          <w:sz w:val="20"/>
          <w:szCs w:val="20"/>
          <w:color w:val="auto"/>
        </w:rPr>
      </w:pPr>
    </w:p>
    <w:p>
      <w:pPr>
        <w:ind w:left="276" w:hanging="276"/>
        <w:spacing w:after="0"/>
        <w:tabs>
          <w:tab w:leader="none" w:pos="2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Annual improvements to the IFRS (2015 - 2017 Cycle) -</w:t>
      </w:r>
    </w:p>
    <w:p>
      <w:pPr>
        <w:spacing w:after="0" w:line="195"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In December 2017, the following improvements were completed:</w:t>
      </w:r>
    </w:p>
    <w:p>
      <w:pPr>
        <w:spacing w:after="0" w:line="195" w:lineRule="exact"/>
        <w:rPr>
          <w:rFonts w:ascii="Arial" w:cs="Arial" w:eastAsia="Arial" w:hAnsi="Arial"/>
          <w:sz w:val="16"/>
          <w:szCs w:val="16"/>
          <w:color w:val="auto"/>
        </w:rPr>
      </w:pPr>
    </w:p>
    <w:p>
      <w:pPr>
        <w:ind w:left="576" w:hanging="292"/>
        <w:spacing w:after="0"/>
        <w:tabs>
          <w:tab w:leader="none" w:pos="576" w:val="left"/>
        </w:tabs>
        <w:numPr>
          <w:ilvl w:val="1"/>
          <w:numId w:val="67"/>
        </w:numPr>
        <w:rPr>
          <w:rFonts w:ascii="Arial" w:cs="Arial" w:eastAsia="Arial" w:hAnsi="Arial"/>
          <w:sz w:val="15"/>
          <w:szCs w:val="15"/>
          <w:color w:val="auto"/>
        </w:rPr>
      </w:pPr>
      <w:r>
        <w:rPr>
          <w:rFonts w:ascii="Arial" w:cs="Arial" w:eastAsia="Arial" w:hAnsi="Arial"/>
          <w:sz w:val="15"/>
          <w:szCs w:val="15"/>
          <w:color w:val="auto"/>
        </w:rPr>
        <w:t>IFRS 3 “Business Combinations” - clarified that obtaining control of a business that is a joint operation is a business combination achieved in stages.</w:t>
      </w:r>
    </w:p>
    <w:p>
      <w:pPr>
        <w:spacing w:after="0" w:line="28" w:lineRule="exact"/>
        <w:rPr>
          <w:rFonts w:ascii="Arial" w:cs="Arial" w:eastAsia="Arial" w:hAnsi="Arial"/>
          <w:sz w:val="15"/>
          <w:szCs w:val="15"/>
          <w:color w:val="auto"/>
        </w:rPr>
      </w:pPr>
    </w:p>
    <w:p>
      <w:pPr>
        <w:ind w:left="576" w:right="100" w:hanging="292"/>
        <w:spacing w:after="0" w:line="254" w:lineRule="auto"/>
        <w:tabs>
          <w:tab w:leader="none" w:pos="576"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IFRS 11 “Joint Arragements” - clarified that the party obtaining joint control of a business that is a joint operation should not measure its previously held interest in the joint operation.</w:t>
      </w:r>
    </w:p>
    <w:p>
      <w:pPr>
        <w:spacing w:after="0" w:line="358" w:lineRule="exact"/>
        <w:rPr>
          <w:rFonts w:ascii="Arial" w:cs="Arial" w:eastAsia="Arial" w:hAnsi="Arial"/>
          <w:sz w:val="16"/>
          <w:szCs w:val="16"/>
          <w:color w:val="auto"/>
        </w:rPr>
      </w:pPr>
    </w:p>
    <w:p>
      <w:pPr>
        <w:ind w:left="5076" w:hanging="91"/>
        <w:spacing w:after="0"/>
        <w:tabs>
          <w:tab w:leader="none" w:pos="5076" w:val="left"/>
        </w:tabs>
        <w:numPr>
          <w:ilvl w:val="2"/>
          <w:numId w:val="67"/>
        </w:numPr>
        <w:rPr>
          <w:rFonts w:ascii="Arial" w:cs="Arial" w:eastAsia="Arial" w:hAnsi="Arial"/>
          <w:sz w:val="16"/>
          <w:szCs w:val="16"/>
          <w:color w:val="auto"/>
        </w:rPr>
      </w:pPr>
      <w:r>
        <w:rPr>
          <w:rFonts w:ascii="Arial" w:cs="Arial" w:eastAsia="Arial" w:hAnsi="Arial"/>
          <w:sz w:val="16"/>
          <w:szCs w:val="16"/>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56"/>
          </w:cols>
          <w:pgMar w:left="804" w:top="815" w:right="239" w:bottom="1440" w:gutter="0" w:footer="0" w:header="0"/>
        </w:sectPr>
      </w:pPr>
    </w:p>
    <w:bookmarkStart w:id="64" w:name="page65"/>
    <w:bookmarkEnd w:id="64"/>
    <w:p>
      <w:pPr>
        <w:ind w:left="580" w:right="160" w:hanging="292"/>
        <w:spacing w:after="0" w:line="254"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IAS 12 “Income taxes” - clarified that the income tax consequences of dividends on financial instruments classified as equity should be recognized according to where the past transactions or events that generated distributable profits were recognized.</w:t>
      </w:r>
    </w:p>
    <w:p>
      <w:pPr>
        <w:ind w:left="580" w:right="420" w:hanging="292"/>
        <w:spacing w:after="0" w:line="254"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IAS 23 “Borrowing costs” - clarified that if a specific borrowing remains outstanding after the related qualifying asset is ready for its intended use or sale, it becomes part of general borrowings.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Said improvements are applicable for financial periods from January 1, 2019.</w:t>
      </w:r>
    </w:p>
    <w:p>
      <w:pPr>
        <w:spacing w:after="0" w:line="195" w:lineRule="exact"/>
        <w:rPr>
          <w:sz w:val="20"/>
          <w:szCs w:val="20"/>
          <w:color w:val="auto"/>
        </w:rPr>
      </w:pPr>
    </w:p>
    <w:p>
      <w:pPr>
        <w:ind w:left="280" w:right="220" w:hanging="276"/>
        <w:spacing w:after="0" w:line="269" w:lineRule="auto"/>
        <w:tabs>
          <w:tab w:leader="none" w:pos="2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Amendments to IFRS 10 “Consolidated financial statements” and IAS 28 “Investments in Associates and Joint Ventures”: Sale or contribution of assets between an investor and the related associate or joint venture.</w:t>
      </w:r>
    </w:p>
    <w:p>
      <w:pPr>
        <w:spacing w:after="0" w:line="156"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The IASB made limited scope amendments to IFRS 10 and IAS 28.</w:t>
      </w:r>
    </w:p>
    <w:p>
      <w:pPr>
        <w:spacing w:after="0" w:line="195" w:lineRule="exact"/>
        <w:rPr>
          <w:rFonts w:ascii="Arial" w:cs="Arial" w:eastAsia="Arial" w:hAnsi="Arial"/>
          <w:sz w:val="16"/>
          <w:szCs w:val="16"/>
          <w:color w:val="auto"/>
        </w:rPr>
      </w:pPr>
    </w:p>
    <w:p>
      <w:pPr>
        <w:jc w:val="both"/>
        <w:ind w:left="280" w:right="340" w:firstLine="9"/>
        <w:spacing w:after="0" w:line="258" w:lineRule="auto"/>
        <w:rPr>
          <w:rFonts w:ascii="Arial" w:cs="Arial" w:eastAsia="Arial" w:hAnsi="Arial"/>
          <w:sz w:val="16"/>
          <w:szCs w:val="16"/>
          <w:color w:val="auto"/>
        </w:rPr>
      </w:pPr>
      <w:r>
        <w:rPr>
          <w:rFonts w:ascii="Arial" w:cs="Arial" w:eastAsia="Arial" w:hAnsi="Arial"/>
          <w:sz w:val="16"/>
          <w:szCs w:val="16"/>
          <w:color w:val="auto"/>
        </w:rPr>
        <w:t>The amendments clarify the accounting treatment of the sales or contribution of assets between an investor and his associates or joint venture. These amendments confirm that the accounting treatment depends on whether the non-monetary assets sold or contributed to an associate or joint venture constitutes “a business” (as defined in IFRS 3 “Business combinations”).</w:t>
      </w:r>
    </w:p>
    <w:p>
      <w:pPr>
        <w:spacing w:after="0" w:line="165" w:lineRule="exact"/>
        <w:rPr>
          <w:rFonts w:ascii="Arial" w:cs="Arial" w:eastAsia="Arial" w:hAnsi="Arial"/>
          <w:sz w:val="16"/>
          <w:szCs w:val="16"/>
          <w:color w:val="auto"/>
        </w:rPr>
      </w:pPr>
    </w:p>
    <w:p>
      <w:pPr>
        <w:ind w:left="280" w:right="100" w:firstLine="9"/>
        <w:spacing w:after="0" w:line="258" w:lineRule="auto"/>
        <w:rPr>
          <w:rFonts w:ascii="Arial" w:cs="Arial" w:eastAsia="Arial" w:hAnsi="Arial"/>
          <w:sz w:val="16"/>
          <w:szCs w:val="16"/>
          <w:color w:val="auto"/>
        </w:rPr>
      </w:pPr>
      <w:r>
        <w:rPr>
          <w:rFonts w:ascii="Arial" w:cs="Arial" w:eastAsia="Arial" w:hAnsi="Arial"/>
          <w:sz w:val="16"/>
          <w:szCs w:val="16"/>
          <w:color w:val="auto"/>
        </w:rPr>
        <w:t>If the non-monetary assets constitute a business, the investor will recognize the total gain or loss on the sale or contribution of assets. If the assets do not comply with the definition of “business”, the investor will recognize the gain or loss only in proportion to the investor’s investment in the associate or joint venture. The amendments will apply prospectively.</w:t>
      </w:r>
    </w:p>
    <w:p>
      <w:pPr>
        <w:spacing w:after="0" w:line="165" w:lineRule="exact"/>
        <w:rPr>
          <w:rFonts w:ascii="Arial" w:cs="Arial" w:eastAsia="Arial" w:hAnsi="Arial"/>
          <w:sz w:val="16"/>
          <w:szCs w:val="16"/>
          <w:color w:val="auto"/>
        </w:rPr>
      </w:pPr>
    </w:p>
    <w:p>
      <w:pPr>
        <w:ind w:left="280" w:right="540" w:firstLine="9"/>
        <w:spacing w:after="0" w:line="269" w:lineRule="auto"/>
        <w:rPr>
          <w:rFonts w:ascii="Arial" w:cs="Arial" w:eastAsia="Arial" w:hAnsi="Arial"/>
          <w:sz w:val="16"/>
          <w:szCs w:val="16"/>
          <w:color w:val="auto"/>
        </w:rPr>
      </w:pPr>
      <w:r>
        <w:rPr>
          <w:rFonts w:ascii="Arial" w:cs="Arial" w:eastAsia="Arial" w:hAnsi="Arial"/>
          <w:sz w:val="16"/>
          <w:szCs w:val="16"/>
          <w:color w:val="auto"/>
        </w:rPr>
        <w:t>The IASB decided to defer the application date of this amendment until it has completed its research project on the equity method. The Group will apply these modifications when they become effective.</w:t>
      </w:r>
    </w:p>
    <w:p>
      <w:pPr>
        <w:spacing w:after="0" w:line="156" w:lineRule="exact"/>
        <w:rPr>
          <w:rFonts w:ascii="Arial" w:cs="Arial" w:eastAsia="Arial" w:hAnsi="Arial"/>
          <w:sz w:val="16"/>
          <w:szCs w:val="16"/>
          <w:color w:val="auto"/>
        </w:rPr>
      </w:pPr>
    </w:p>
    <w:p>
      <w:pPr>
        <w:ind w:left="280" w:hanging="276"/>
        <w:spacing w:after="0"/>
        <w:tabs>
          <w:tab w:leader="none" w:pos="2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 in Conceptual Framework –</w:t>
      </w:r>
    </w:p>
    <w:p>
      <w:pPr>
        <w:spacing w:after="0" w:line="195" w:lineRule="exact"/>
        <w:rPr>
          <w:sz w:val="20"/>
          <w:szCs w:val="20"/>
          <w:color w:val="auto"/>
        </w:rPr>
      </w:pPr>
    </w:p>
    <w:p>
      <w:pPr>
        <w:ind w:left="280" w:right="100" w:firstLine="9"/>
        <w:spacing w:after="0" w:line="269" w:lineRule="auto"/>
        <w:rPr>
          <w:sz w:val="20"/>
          <w:szCs w:val="20"/>
          <w:color w:val="auto"/>
        </w:rPr>
      </w:pPr>
      <w:r>
        <w:rPr>
          <w:rFonts w:ascii="Arial" w:cs="Arial" w:eastAsia="Arial" w:hAnsi="Arial"/>
          <w:sz w:val="16"/>
          <w:szCs w:val="16"/>
          <w:color w:val="auto"/>
        </w:rPr>
        <w:t>In March, 2018, the IASB issued a review of the Conceptual Framework and the main changes refer to: definitions of assets and liabilities, recognition criteria, write-off, measurement, presentation and disclosure of equity elements and income.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These changes are effective for financial statements for annual periods beginning on or after January 1, 2020.</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(vii)Plan Amendment, Curtailment or Settlement - Amendments to IAS 19 –</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amendments to IAS 19 clarify the accounting for defined benefit plan amendments, curtailments and settlements. They confirm that entities must:</w:t>
      </w:r>
    </w:p>
    <w:p>
      <w:pPr>
        <w:spacing w:after="0" w:line="207" w:lineRule="exact"/>
        <w:rPr>
          <w:sz w:val="20"/>
          <w:szCs w:val="20"/>
          <w:color w:val="auto"/>
        </w:rPr>
      </w:pPr>
    </w:p>
    <w:p>
      <w:pPr>
        <w:ind w:left="580" w:right="40" w:hanging="292"/>
        <w:spacing w:after="0" w:line="254"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Calculate the current service cost and net interest for the remainder of the reporting period after a plan amendment, curtailment or settlement by using the updated assumptions from the date of the change.</w:t>
      </w:r>
    </w:p>
    <w:p>
      <w:pPr>
        <w:ind w:left="580" w:hanging="292"/>
        <w:spacing w:after="0" w:line="282"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reduction in a surplus should be recognized immediately in profit or loss either as part of past service cost, or as a gain or loss on settlement. In other words, a reduction in a surplus must be recognized in profit or loss even if that surplus was not previously recognized because of the impact of the asset ceiling.</w:t>
      </w:r>
    </w:p>
    <w:p>
      <w:pPr>
        <w:ind w:left="580" w:hanging="292"/>
        <w:spacing w:after="0"/>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Separately recognize any changes in the asset ceiling through other comprehensive income.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Said improvements are applicable for financial statements of financial periods beginning on or after January 1, 2019.</w:t>
      </w:r>
    </w:p>
    <w:p>
      <w:pPr>
        <w:spacing w:after="0" w:line="385"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5" w:right="239" w:bottom="1440" w:gutter="0" w:footer="0" w:header="0"/>
        </w:sectPr>
      </w:pPr>
    </w:p>
    <w:bookmarkStart w:id="65" w:name="page66"/>
    <w:bookmarkEnd w:id="65"/>
    <w:p>
      <w:pPr>
        <w:ind w:left="840" w:firstLine="9"/>
        <w:spacing w:after="0" w:line="269" w:lineRule="auto"/>
        <w:rPr>
          <w:sz w:val="20"/>
          <w:szCs w:val="20"/>
          <w:color w:val="auto"/>
        </w:rPr>
      </w:pPr>
      <w:r>
        <w:rPr>
          <w:rFonts w:ascii="Arial" w:cs="Arial" w:eastAsia="Arial" w:hAnsi="Arial"/>
          <w:sz w:val="16"/>
          <w:szCs w:val="16"/>
          <w:color w:val="auto"/>
        </w:rPr>
        <w:t>There are no other standards or amendments to standards which have not yet become effective and are expected to have a significant impact on the Group, either in the current or future periods, as well as on expected future transactions.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gridSpan w:val="2"/>
          </w:tcPr>
          <w:p>
            <w:pPr>
              <w:spacing w:after="0"/>
              <w:rPr>
                <w:sz w:val="20"/>
                <w:szCs w:val="20"/>
                <w:color w:val="auto"/>
              </w:rPr>
            </w:pPr>
            <w:r>
              <w:rPr>
                <w:rFonts w:ascii="Arial" w:cs="Arial" w:eastAsia="Arial" w:hAnsi="Arial"/>
                <w:sz w:val="16"/>
                <w:szCs w:val="16"/>
                <w:b w:val="1"/>
                <w:bCs w:val="1"/>
                <w:color w:val="auto"/>
              </w:rPr>
              <w:t>4   CASH AND DUE FROM BANKS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9"/>
        </w:trPr>
        <w:tc>
          <w:tcPr>
            <w:tcW w:w="28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This item consists of the following:</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4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4"/>
                <w:szCs w:val="24"/>
                <w:color w:val="auto"/>
              </w:rPr>
            </w:pPr>
          </w:p>
        </w:tc>
        <w:tc>
          <w:tcPr>
            <w:tcW w:w="14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2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gridSpan w:val="2"/>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Cash and clearing (a)</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6,169,795</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5,034,569</w:t>
            </w:r>
          </w:p>
        </w:tc>
        <w:tc>
          <w:tcPr>
            <w:tcW w:w="8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Deposits with Central Reserve Bank of Peru - BCRP (a)</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13,206,885</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15,136,245</w:t>
            </w:r>
          </w:p>
        </w:tc>
        <w:tc>
          <w:tcPr>
            <w:tcW w:w="8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Deposits with local and foreign banks (b)</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2,509,520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2,828,830</w:t>
            </w:r>
          </w:p>
        </w:tc>
        <w:tc>
          <w:tcPr>
            <w:tcW w:w="8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Interbank funds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253,970</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207,559</w:t>
            </w:r>
          </w:p>
        </w:tc>
        <w:tc>
          <w:tcPr>
            <w:tcW w:w="80" w:type="dxa"/>
            <w:vAlign w:val="bottom"/>
          </w:tcPr>
          <w:p>
            <w:pPr>
              <w:spacing w:after="0"/>
              <w:rPr>
                <w:sz w:val="16"/>
                <w:szCs w:val="16"/>
                <w:color w:val="auto"/>
              </w:rPr>
            </w:pPr>
          </w:p>
        </w:tc>
      </w:tr>
      <w:tr>
        <w:trPr>
          <w:trHeight w:val="202"/>
        </w:trPr>
        <w:tc>
          <w:tcPr>
            <w:tcW w:w="28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20,633</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4,994</w:t>
            </w:r>
          </w:p>
        </w:tc>
        <w:tc>
          <w:tcPr>
            <w:tcW w:w="80" w:type="dxa"/>
            <w:vAlign w:val="bottom"/>
            <w:shd w:val="clear" w:color="auto" w:fill="CCEEFF"/>
          </w:tcPr>
          <w:p>
            <w:pPr>
              <w:spacing w:after="0"/>
              <w:rPr>
                <w:sz w:val="17"/>
                <w:szCs w:val="17"/>
                <w:color w:val="auto"/>
              </w:rPr>
            </w:pPr>
          </w:p>
        </w:tc>
      </w:tr>
      <w:tr>
        <w:trPr>
          <w:trHeight w:val="182"/>
        </w:trPr>
        <w:tc>
          <w:tcPr>
            <w:tcW w:w="280" w:type="dxa"/>
            <w:vAlign w:val="bottom"/>
          </w:tcPr>
          <w:p>
            <w:pPr>
              <w:spacing w:after="0"/>
              <w:rPr>
                <w:sz w:val="15"/>
                <w:szCs w:val="15"/>
                <w:color w:val="auto"/>
              </w:rPr>
            </w:pPr>
          </w:p>
        </w:tc>
        <w:tc>
          <w:tcPr>
            <w:tcW w:w="7720" w:type="dxa"/>
            <w:vAlign w:val="bottom"/>
          </w:tcPr>
          <w:p>
            <w:pPr>
              <w:spacing w:after="0" w:line="181" w:lineRule="exact"/>
              <w:rPr>
                <w:sz w:val="20"/>
                <w:szCs w:val="20"/>
                <w:color w:val="auto"/>
              </w:rPr>
            </w:pPr>
            <w:r>
              <w:rPr>
                <w:rFonts w:ascii="Arial" w:cs="Arial" w:eastAsia="Arial" w:hAnsi="Arial"/>
                <w:sz w:val="16"/>
                <w:szCs w:val="16"/>
                <w:color w:val="auto"/>
              </w:rPr>
              <w:t>Total cash and cash equivalents</w:t>
            </w:r>
          </w:p>
        </w:tc>
        <w:tc>
          <w:tcPr>
            <w:tcW w:w="14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22,160,803</w:t>
            </w:r>
          </w:p>
        </w:tc>
        <w:tc>
          <w:tcPr>
            <w:tcW w:w="220" w:type="dxa"/>
            <w:vAlign w:val="bottom"/>
          </w:tcPr>
          <w:p>
            <w:pPr>
              <w:spacing w:after="0"/>
              <w:rPr>
                <w:sz w:val="15"/>
                <w:szCs w:val="15"/>
                <w:color w:val="auto"/>
              </w:rPr>
            </w:pPr>
          </w:p>
        </w:tc>
        <w:tc>
          <w:tcPr>
            <w:tcW w:w="14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23,212,197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2"/>
        </w:trPr>
        <w:tc>
          <w:tcPr>
            <w:tcW w:w="28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Restricted funds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7,713</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9,790</w:t>
            </w:r>
          </w:p>
        </w:tc>
        <w:tc>
          <w:tcPr>
            <w:tcW w:w="80" w:type="dxa"/>
            <w:vAlign w:val="bottom"/>
            <w:shd w:val="clear" w:color="auto" w:fill="CCEEFF"/>
          </w:tcPr>
          <w:p>
            <w:pPr>
              <w:spacing w:after="0"/>
              <w:rPr>
                <w:sz w:val="17"/>
                <w:szCs w:val="17"/>
                <w:color w:val="auto"/>
              </w:rPr>
            </w:pPr>
          </w:p>
        </w:tc>
      </w:tr>
      <w:tr>
        <w:trPr>
          <w:trHeight w:val="193"/>
        </w:trPr>
        <w:tc>
          <w:tcPr>
            <w:tcW w:w="28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6"/>
                <w:szCs w:val="16"/>
                <w:b w:val="1"/>
                <w:bCs w:val="1"/>
                <w:color w:val="auto"/>
              </w:rPr>
              <w:t>Total cash</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22,168,516</w:t>
            </w:r>
          </w:p>
        </w:tc>
        <w:tc>
          <w:tcPr>
            <w:tcW w:w="22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23,221,987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and cash equivalents presented in the consolidated statement of cash flows excludes restricted funds, see Note 3(ac).</w:t>
      </w:r>
    </w:p>
    <w:p>
      <w:pPr>
        <w:spacing w:after="0" w:line="195" w:lineRule="exact"/>
        <w:rPr>
          <w:sz w:val="20"/>
          <w:szCs w:val="20"/>
          <w:color w:val="auto"/>
        </w:rPr>
      </w:pPr>
    </w:p>
    <w:p>
      <w:pPr>
        <w:ind w:left="560" w:hanging="281"/>
        <w:spacing w:after="0"/>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Cash and clearing and deposits with Central Reserve Bank of Peru -</w:t>
      </w:r>
    </w:p>
    <w:p>
      <w:pPr>
        <w:spacing w:after="0" w:line="195" w:lineRule="exact"/>
        <w:rPr>
          <w:rFonts w:ascii="Arial" w:cs="Arial" w:eastAsia="Arial" w:hAnsi="Arial"/>
          <w:sz w:val="16"/>
          <w:szCs w:val="16"/>
          <w:color w:val="auto"/>
        </w:rPr>
      </w:pPr>
    </w:p>
    <w:p>
      <w:pPr>
        <w:ind w:left="560" w:right="260"/>
        <w:spacing w:after="0" w:line="269" w:lineRule="auto"/>
        <w:rPr>
          <w:rFonts w:ascii="Arial" w:cs="Arial" w:eastAsia="Arial" w:hAnsi="Arial"/>
          <w:sz w:val="16"/>
          <w:szCs w:val="16"/>
          <w:color w:val="auto"/>
        </w:rPr>
      </w:pPr>
      <w:r>
        <w:rPr>
          <w:rFonts w:ascii="Arial" w:cs="Arial" w:eastAsia="Arial" w:hAnsi="Arial"/>
          <w:sz w:val="16"/>
          <w:szCs w:val="16"/>
          <w:color w:val="auto"/>
        </w:rPr>
        <w:t>These accounts mainly include the legal cash requirements that Credicorp and its Subsidiaries must keep to be able to honor their obligations with the public, which are within the limits established by current legislation. The composition of these funds is as follows:</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3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75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gridSpan w:val="2"/>
          </w:tcPr>
          <w:p>
            <w:pPr>
              <w:spacing w:after="0"/>
              <w:rPr>
                <w:sz w:val="17"/>
                <w:szCs w:val="17"/>
                <w:color w:val="auto"/>
              </w:rPr>
            </w:pPr>
          </w:p>
        </w:tc>
      </w:tr>
      <w:tr>
        <w:trPr>
          <w:trHeight w:val="175"/>
        </w:trPr>
        <w:tc>
          <w:tcPr>
            <w:tcW w:w="7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Legal cash requirements (i)</w:t>
            </w: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Deposits with Central Reserve Bank of Peru</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11,769,043</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11,768,476</w:t>
            </w:r>
          </w:p>
        </w:tc>
        <w:tc>
          <w:tcPr>
            <w:tcW w:w="80" w:type="dxa"/>
            <w:vAlign w:val="bottom"/>
          </w:tcPr>
          <w:p>
            <w:pPr>
              <w:spacing w:after="0"/>
              <w:rPr>
                <w:sz w:val="16"/>
                <w:szCs w:val="16"/>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in vaults of Bank</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5,591,168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4,425,384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2"/>
        </w:trPr>
        <w:tc>
          <w:tcPr>
            <w:tcW w:w="7560" w:type="dxa"/>
            <w:vAlign w:val="bottom"/>
          </w:tcPr>
          <w:p>
            <w:pPr>
              <w:spacing w:after="0" w:line="181" w:lineRule="exact"/>
              <w:rPr>
                <w:sz w:val="20"/>
                <w:szCs w:val="20"/>
                <w:color w:val="auto"/>
              </w:rPr>
            </w:pPr>
            <w:r>
              <w:rPr>
                <w:rFonts w:ascii="Arial" w:cs="Arial" w:eastAsia="Arial" w:hAnsi="Arial"/>
                <w:sz w:val="16"/>
                <w:szCs w:val="16"/>
                <w:b w:val="1"/>
                <w:bCs w:val="1"/>
                <w:color w:val="auto"/>
              </w:rPr>
              <w:t>Total legal cash requirements</w:t>
            </w: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17,360,211</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16,193,860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7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b w:val="1"/>
                <w:bCs w:val="1"/>
                <w:color w:val="auto"/>
              </w:rPr>
              <w:t>Additional funds</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Overnight deposits (ii)</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1,437,842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3,367,769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1"/>
        </w:trPr>
        <w:tc>
          <w:tcPr>
            <w:tcW w:w="7560" w:type="dxa"/>
            <w:vAlign w:val="bottom"/>
          </w:tcPr>
          <w:p>
            <w:pPr>
              <w:spacing w:after="0"/>
              <w:rPr>
                <w:sz w:val="20"/>
                <w:szCs w:val="20"/>
                <w:color w:val="auto"/>
              </w:rPr>
            </w:pPr>
            <w:r>
              <w:rPr>
                <w:rFonts w:ascii="Arial" w:cs="Arial" w:eastAsia="Arial" w:hAnsi="Arial"/>
                <w:sz w:val="16"/>
                <w:szCs w:val="16"/>
                <w:color w:val="auto"/>
              </w:rPr>
              <w:t>Cash in vaults of Bank and others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578,627</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609,185</w:t>
            </w:r>
          </w:p>
        </w:tc>
        <w:tc>
          <w:tcPr>
            <w:tcW w:w="80" w:type="dxa"/>
            <w:vAlign w:val="bottom"/>
          </w:tcPr>
          <w:p>
            <w:pPr>
              <w:spacing w:after="0"/>
              <w:rPr>
                <w:sz w:val="17"/>
                <w:szCs w:val="17"/>
                <w:color w:val="auto"/>
              </w:rPr>
            </w:pPr>
          </w:p>
        </w:tc>
      </w:tr>
      <w:tr>
        <w:trPr>
          <w:trHeight w:val="182"/>
        </w:trPr>
        <w:tc>
          <w:tcPr>
            <w:tcW w:w="7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Total additional funds</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2,016,469</w:t>
            </w:r>
          </w:p>
        </w:tc>
        <w:tc>
          <w:tcPr>
            <w:tcW w:w="2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3,976,954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3"/>
        </w:trPr>
        <w:tc>
          <w:tcPr>
            <w:tcW w:w="75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19,376,680</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20,170,814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840" w:right="160" w:hanging="276"/>
        <w:spacing w:after="0" w:line="258" w:lineRule="auto"/>
        <w:tabs>
          <w:tab w:leader="none" w:pos="8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December 31, 2018 cash and deposits subject to legal cash requirements in local and foreign currency are subject to an implicit rate of 5.01 percent and 35.12 percent, respectively, on the total balance of obligations subject to legal cash requirements, as required by the BCRP (5.00 percent and 32.40 percent, respectively, at December 31, 2017).</w:t>
      </w:r>
    </w:p>
    <w:p>
      <w:pPr>
        <w:spacing w:after="0" w:line="354" w:lineRule="exact"/>
        <w:rPr>
          <w:rFonts w:ascii="Arial" w:cs="Arial" w:eastAsia="Arial" w:hAnsi="Arial"/>
          <w:sz w:val="16"/>
          <w:szCs w:val="16"/>
          <w:color w:val="auto"/>
        </w:rPr>
      </w:pPr>
    </w:p>
    <w:p>
      <w:pPr>
        <w:ind w:left="5640" w:hanging="91"/>
        <w:spacing w:after="0"/>
        <w:tabs>
          <w:tab w:leader="none" w:pos="5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66" w:name="page67"/>
    <w:bookmarkEnd w:id="66"/>
    <w:p>
      <w:pPr>
        <w:ind w:left="845" w:right="260" w:hanging="276"/>
        <w:spacing w:after="0" w:line="303" w:lineRule="auto"/>
        <w:tabs>
          <w:tab w:leader="none" w:pos="845" w:val="left"/>
        </w:tabs>
        <w:numPr>
          <w:ilvl w:val="1"/>
          <w:numId w:val="73"/>
        </w:numPr>
        <w:rPr>
          <w:rFonts w:ascii="Arial" w:cs="Arial" w:eastAsia="Arial" w:hAnsi="Arial"/>
          <w:sz w:val="15"/>
          <w:szCs w:val="15"/>
          <w:color w:val="auto"/>
        </w:rPr>
      </w:pPr>
      <w:r>
        <w:rPr>
          <w:rFonts w:ascii="Arial" w:cs="Arial" w:eastAsia="Arial" w:hAnsi="Arial"/>
          <w:sz w:val="15"/>
          <w:szCs w:val="15"/>
          <w:color w:val="auto"/>
        </w:rPr>
        <w:t>At December 31, 2018, the Group maintains two “overnight” deposits with the BCRP, which are denominated in U.S Dollars for US$426.3 million, equivalent to S/1,437.8 million. At said date, deposits in dollars accrue interest at annual rates of 2.43 percent and have maturities at 2 days.</w:t>
      </w:r>
    </w:p>
    <w:p>
      <w:pPr>
        <w:spacing w:after="0" w:line="133" w:lineRule="exact"/>
        <w:rPr>
          <w:rFonts w:ascii="Arial" w:cs="Arial" w:eastAsia="Arial" w:hAnsi="Arial"/>
          <w:sz w:val="15"/>
          <w:szCs w:val="15"/>
          <w:color w:val="auto"/>
        </w:rPr>
      </w:pPr>
    </w:p>
    <w:p>
      <w:pPr>
        <w:ind w:left="845"/>
        <w:spacing w:after="0" w:line="258" w:lineRule="auto"/>
        <w:rPr>
          <w:rFonts w:ascii="Arial" w:cs="Arial" w:eastAsia="Arial" w:hAnsi="Arial"/>
          <w:sz w:val="15"/>
          <w:szCs w:val="15"/>
          <w:color w:val="auto"/>
        </w:rPr>
      </w:pPr>
      <w:r>
        <w:rPr>
          <w:rFonts w:ascii="Arial" w:cs="Arial" w:eastAsia="Arial" w:hAnsi="Arial"/>
          <w:sz w:val="16"/>
          <w:szCs w:val="16"/>
          <w:color w:val="auto"/>
        </w:rPr>
        <w:t>At December 31, 2017, the Group maintains two “overnight” deposits with the BCRP, which are denominated in U.S Dollars for US$946.6 million, equivalent to S/3,067.8 million and a deposit in soles for S/300.0 million. At said date, deposits in dollars and soles accrue interest at annual rates of 1.41 percent and 2.00 percent, respectively, and have maturities at 5 days.</w:t>
      </w:r>
    </w:p>
    <w:p>
      <w:pPr>
        <w:spacing w:after="0" w:line="165" w:lineRule="exact"/>
        <w:rPr>
          <w:rFonts w:ascii="Arial" w:cs="Arial" w:eastAsia="Arial" w:hAnsi="Arial"/>
          <w:sz w:val="15"/>
          <w:szCs w:val="15"/>
          <w:color w:val="auto"/>
        </w:rPr>
      </w:pPr>
    </w:p>
    <w:p>
      <w:pPr>
        <w:ind w:left="565" w:hanging="281"/>
        <w:spacing w:after="0"/>
        <w:tabs>
          <w:tab w:leader="none" w:pos="565"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Deposits with local and foreign banks -</w:t>
      </w:r>
    </w:p>
    <w:p>
      <w:pPr>
        <w:spacing w:after="0" w:line="195" w:lineRule="exact"/>
        <w:rPr>
          <w:rFonts w:ascii="Arial" w:cs="Arial" w:eastAsia="Arial" w:hAnsi="Arial"/>
          <w:sz w:val="16"/>
          <w:szCs w:val="16"/>
          <w:color w:val="auto"/>
        </w:rPr>
      </w:pPr>
    </w:p>
    <w:p>
      <w:pPr>
        <w:ind w:left="565" w:right="20"/>
        <w:spacing w:after="0" w:line="269" w:lineRule="auto"/>
        <w:rPr>
          <w:rFonts w:ascii="Arial" w:cs="Arial" w:eastAsia="Arial" w:hAnsi="Arial"/>
          <w:sz w:val="16"/>
          <w:szCs w:val="16"/>
          <w:color w:val="auto"/>
        </w:rPr>
      </w:pPr>
      <w:r>
        <w:rPr>
          <w:rFonts w:ascii="Arial" w:cs="Arial" w:eastAsia="Arial" w:hAnsi="Arial"/>
          <w:sz w:val="16"/>
          <w:szCs w:val="16"/>
          <w:color w:val="auto"/>
        </w:rPr>
        <w:t>Deposits with local and foreign banks mainly consist of balances in soles and U.S. dollars; these are cash in hand and earn interest at market rates. At December 31, 2018 and 2017 Credicorp and its Subsidiaries do not maintain significant deposits with any bank in particular.</w:t>
      </w:r>
    </w:p>
    <w:p>
      <w:pPr>
        <w:spacing w:after="0" w:line="153" w:lineRule="exact"/>
        <w:rPr>
          <w:sz w:val="20"/>
          <w:szCs w:val="20"/>
          <w:color w:val="auto"/>
        </w:rPr>
      </w:pPr>
    </w:p>
    <w:p>
      <w:pPr>
        <w:ind w:left="285" w:right="1000" w:hanging="285"/>
        <w:spacing w:after="0" w:line="274" w:lineRule="auto"/>
        <w:tabs>
          <w:tab w:leader="none" w:pos="285"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CASH COLLATERAL, REVERSE REPURCHASE AGREEMENTS AND SECURITIES BORROWING AND PAYABLES FROM REPURCHASE AGREEMENTS AND SECURITIES LENDING</w:t>
      </w:r>
    </w:p>
    <w:p>
      <w:pPr>
        <w:spacing w:after="0" w:line="152" w:lineRule="exact"/>
        <w:rPr>
          <w:rFonts w:ascii="Arial" w:cs="Arial" w:eastAsia="Arial" w:hAnsi="Arial"/>
          <w:sz w:val="16"/>
          <w:szCs w:val="16"/>
          <w:b w:val="1"/>
          <w:bCs w:val="1"/>
          <w:color w:val="auto"/>
        </w:rPr>
      </w:pPr>
    </w:p>
    <w:p>
      <w:pPr>
        <w:ind w:left="565" w:hanging="281"/>
        <w:spacing w:after="0"/>
        <w:tabs>
          <w:tab w:leader="none" w:pos="565" w:val="left"/>
        </w:tabs>
        <w:numPr>
          <w:ilvl w:val="1"/>
          <w:numId w:val="75"/>
        </w:numPr>
        <w:rPr>
          <w:rFonts w:ascii="Arial" w:cs="Arial" w:eastAsia="Arial" w:hAnsi="Arial"/>
          <w:sz w:val="16"/>
          <w:szCs w:val="16"/>
          <w:color w:val="auto"/>
        </w:rPr>
      </w:pPr>
      <w:r>
        <w:rPr>
          <w:rFonts w:ascii="Arial" w:cs="Arial" w:eastAsia="Arial" w:hAnsi="Arial"/>
          <w:sz w:val="16"/>
          <w:szCs w:val="16"/>
          <w:color w:val="auto"/>
        </w:rPr>
        <w:t>We present below the composition of cash collateral, reverse repurchase agreements and securities borrowing:</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3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r>
      <w:tr>
        <w:trPr>
          <w:trHeight w:val="183"/>
        </w:trPr>
        <w:tc>
          <w:tcPr>
            <w:tcW w:w="7560" w:type="dxa"/>
            <w:vAlign w:val="bottom"/>
          </w:tcPr>
          <w:p>
            <w:pPr>
              <w:spacing w:after="0"/>
              <w:rPr>
                <w:sz w:val="15"/>
                <w:szCs w:val="15"/>
                <w:color w:val="auto"/>
              </w:rPr>
            </w:pPr>
          </w:p>
        </w:tc>
        <w:tc>
          <w:tcPr>
            <w:tcW w:w="13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5"/>
                <w:szCs w:val="15"/>
                <w:color w:val="auto"/>
              </w:rPr>
            </w:pPr>
          </w:p>
        </w:tc>
        <w:tc>
          <w:tcPr>
            <w:tcW w:w="13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collateral on repurchase agreements and security lendings (i)</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3,409,890</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6,962,421</w:t>
            </w:r>
          </w:p>
        </w:tc>
        <w:tc>
          <w:tcPr>
            <w:tcW w:w="10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Cash collateral for short sales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17,688</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Reverse repurchase agreement and security borrowings (ii)</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659,380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456,145</w:t>
            </w:r>
          </w:p>
        </w:tc>
      </w:tr>
      <w:tr>
        <w:trPr>
          <w:trHeight w:val="201"/>
        </w:trPr>
        <w:tc>
          <w:tcPr>
            <w:tcW w:w="7560" w:type="dxa"/>
            <w:vAlign w:val="bottom"/>
          </w:tcPr>
          <w:p>
            <w:pPr>
              <w:spacing w:after="0"/>
              <w:rPr>
                <w:sz w:val="20"/>
                <w:szCs w:val="20"/>
                <w:color w:val="auto"/>
              </w:rPr>
            </w:pPr>
            <w:r>
              <w:rPr>
                <w:rFonts w:ascii="Arial" w:cs="Arial" w:eastAsia="Arial" w:hAnsi="Arial"/>
                <w:sz w:val="16"/>
                <w:szCs w:val="16"/>
                <w:color w:val="auto"/>
              </w:rPr>
              <w:t>Receivables for short sales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13,672</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44,166</w:t>
            </w:r>
          </w:p>
        </w:tc>
      </w:tr>
      <w:tr>
        <w:trPr>
          <w:trHeight w:val="193"/>
        </w:trPr>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4,082,942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7,480,420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845" w:right="160" w:hanging="276"/>
        <w:spacing w:after="0" w:line="258" w:lineRule="auto"/>
        <w:tabs>
          <w:tab w:leader="none" w:pos="84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December 31, 2018, the balance mainly comprises cash collateral for approximately US$919.2 million, equivalent to S/3,100.5 million, delivered to BCRP to secure a borrowing in soles of approximately S/2,948.5 million obtained from the same entity (cash collateral for approximately US$2,061.5 million, equivalent to S/6,681.2 million, and borrowing of approximately S/6,575.8 million, at December 31, 2017).</w:t>
      </w:r>
    </w:p>
    <w:p>
      <w:pPr>
        <w:spacing w:after="0" w:line="165" w:lineRule="exact"/>
        <w:rPr>
          <w:rFonts w:ascii="Arial" w:cs="Arial" w:eastAsia="Arial" w:hAnsi="Arial"/>
          <w:sz w:val="16"/>
          <w:szCs w:val="16"/>
          <w:color w:val="auto"/>
        </w:rPr>
      </w:pPr>
    </w:p>
    <w:p>
      <w:pPr>
        <w:ind w:left="845" w:right="260" w:firstLine="9"/>
        <w:spacing w:after="0" w:line="269" w:lineRule="auto"/>
        <w:rPr>
          <w:rFonts w:ascii="Arial" w:cs="Arial" w:eastAsia="Arial" w:hAnsi="Arial"/>
          <w:sz w:val="16"/>
          <w:szCs w:val="16"/>
          <w:color w:val="auto"/>
        </w:rPr>
      </w:pPr>
      <w:r>
        <w:rPr>
          <w:rFonts w:ascii="Arial" w:cs="Arial" w:eastAsia="Arial" w:hAnsi="Arial"/>
          <w:sz w:val="16"/>
          <w:szCs w:val="16"/>
          <w:color w:val="auto"/>
        </w:rPr>
        <w:t>Cash collateral bears interest at an average annual effective interest rate according to market rates. The related liability is presented in “Payables from repurchase agreements and securities lending” of the consolidated statement of financial position, see paragraph (c) below.</w:t>
      </w:r>
    </w:p>
    <w:p>
      <w:pPr>
        <w:spacing w:after="0" w:line="346" w:lineRule="exact"/>
        <w:rPr>
          <w:rFonts w:ascii="Arial" w:cs="Arial" w:eastAsia="Arial" w:hAnsi="Arial"/>
          <w:sz w:val="16"/>
          <w:szCs w:val="16"/>
          <w:color w:val="auto"/>
        </w:rPr>
      </w:pPr>
    </w:p>
    <w:p>
      <w:pPr>
        <w:ind w:left="5645" w:hanging="91"/>
        <w:spacing w:after="0"/>
        <w:tabs>
          <w:tab w:leader="none" w:pos="5645" w:val="left"/>
        </w:tabs>
        <w:numPr>
          <w:ilvl w:val="1"/>
          <w:numId w:val="76"/>
        </w:numPr>
        <w:rPr>
          <w:rFonts w:ascii="Arial" w:cs="Arial" w:eastAsia="Arial" w:hAnsi="Arial"/>
          <w:sz w:val="16"/>
          <w:szCs w:val="16"/>
          <w:color w:val="auto"/>
        </w:rPr>
      </w:pPr>
      <w:r>
        <w:rPr>
          <w:rFonts w:ascii="Arial" w:cs="Arial" w:eastAsia="Arial" w:hAnsi="Arial"/>
          <w:sz w:val="16"/>
          <w:szCs w:val="16"/>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305"/>
          </w:cols>
          <w:pgMar w:left="235" w:top="814" w:right="359" w:bottom="1440" w:gutter="0" w:footer="0" w:header="0"/>
        </w:sectPr>
      </w:pPr>
    </w:p>
    <w:bookmarkStart w:id="67" w:name="page68"/>
    <w:bookmarkEnd w:id="67"/>
    <w:p>
      <w:pPr>
        <w:ind w:left="561" w:right="180" w:hanging="276"/>
        <w:spacing w:after="0" w:line="269" w:lineRule="auto"/>
        <w:tabs>
          <w:tab w:leader="none" w:pos="561" w:val="left"/>
        </w:tabs>
        <w:numPr>
          <w:ilvl w:val="0"/>
          <w:numId w:val="77"/>
        </w:numPr>
        <w:rPr>
          <w:rFonts w:ascii="Arial" w:cs="Arial" w:eastAsia="Arial" w:hAnsi="Arial"/>
          <w:sz w:val="16"/>
          <w:szCs w:val="16"/>
          <w:color w:val="auto"/>
        </w:rPr>
      </w:pPr>
      <w:r>
        <w:rPr>
          <w:rFonts w:ascii="Arial" w:cs="Arial" w:eastAsia="Arial" w:hAnsi="Arial"/>
          <w:sz w:val="16"/>
          <w:szCs w:val="16"/>
          <w:color w:val="auto"/>
        </w:rPr>
        <w:t>Credicorp, mainly through its subsidiaries, provides financing to its customers through reverse repurchase agreements and securities borrowing, in which a financial instrument serves as collateral. Details of said transactions are as follows:</w:t>
      </w:r>
    </w:p>
    <w:p>
      <w:pPr>
        <w:spacing w:after="0" w:line="161" w:lineRule="exact"/>
        <w:rPr>
          <w:sz w:val="20"/>
          <w:szCs w:val="20"/>
          <w:color w:val="auto"/>
        </w:rPr>
      </w:pPr>
    </w:p>
    <w:tbl>
      <w:tblPr>
        <w:tblLayout w:type="fixed"/>
        <w:tblInd w:w="561"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At December 31, 2018</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w w:val="87"/>
              </w:rPr>
              <w:t>At December 31, 2017</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right"/>
              <w:ind w:right="140"/>
              <w:spacing w:after="0" w:line="103" w:lineRule="exact"/>
              <w:rPr>
                <w:sz w:val="20"/>
                <w:szCs w:val="20"/>
                <w:color w:val="auto"/>
              </w:rPr>
            </w:pPr>
            <w:r>
              <w:rPr>
                <w:rFonts w:ascii="Arial" w:cs="Arial" w:eastAsia="Arial" w:hAnsi="Arial"/>
                <w:sz w:val="11"/>
                <w:szCs w:val="11"/>
                <w:b w:val="1"/>
                <w:bCs w:val="1"/>
                <w:color w:val="auto"/>
                <w:w w:val="96"/>
              </w:rPr>
              <w:t>Average</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Up to 3</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From 3 to</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More than</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Carrying</w:t>
            </w:r>
          </w:p>
        </w:tc>
        <w:tc>
          <w:tcPr>
            <w:tcW w:w="68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Fair value of</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40"/>
              <w:spacing w:after="0" w:line="103" w:lineRule="exact"/>
              <w:rPr>
                <w:sz w:val="20"/>
                <w:szCs w:val="20"/>
                <w:color w:val="auto"/>
              </w:rPr>
            </w:pPr>
            <w:r>
              <w:rPr>
                <w:rFonts w:ascii="Arial" w:cs="Arial" w:eastAsia="Arial" w:hAnsi="Arial"/>
                <w:sz w:val="11"/>
                <w:szCs w:val="11"/>
                <w:b w:val="1"/>
                <w:bCs w:val="1"/>
                <w:color w:val="auto"/>
                <w:w w:val="96"/>
              </w:rPr>
              <w:t>Average</w:t>
            </w: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Up to 3</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1"/>
              </w:rPr>
              <w:t>From 3 to</w:t>
            </w: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More than</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Carrying</w:t>
            </w:r>
          </w:p>
        </w:tc>
        <w:tc>
          <w:tcPr>
            <w:tcW w:w="740" w:type="dxa"/>
            <w:vAlign w:val="bottom"/>
            <w:gridSpan w:val="2"/>
          </w:tcPr>
          <w:p>
            <w:pPr>
              <w:jc w:val="center"/>
              <w:spacing w:after="0" w:line="103" w:lineRule="exact"/>
              <w:rPr>
                <w:sz w:val="20"/>
                <w:szCs w:val="20"/>
                <w:color w:val="auto"/>
              </w:rPr>
            </w:pPr>
            <w:r>
              <w:rPr>
                <w:rFonts w:ascii="Arial" w:cs="Arial" w:eastAsia="Arial" w:hAnsi="Arial"/>
                <w:sz w:val="11"/>
                <w:szCs w:val="11"/>
                <w:b w:val="1"/>
                <w:bCs w:val="1"/>
                <w:color w:val="auto"/>
              </w:rPr>
              <w:t>Fair value of</w:t>
            </w: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Currency</w:t>
            </w:r>
          </w:p>
        </w:tc>
        <w:tc>
          <w:tcPr>
            <w:tcW w:w="5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interest</w:t>
            </w:r>
          </w:p>
        </w:tc>
        <w:tc>
          <w:tcPr>
            <w:tcW w:w="58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6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0"/>
              </w:rPr>
              <w:t>underlying</w:t>
            </w:r>
          </w:p>
        </w:tc>
        <w:tc>
          <w:tcPr>
            <w:tcW w:w="60" w:type="dxa"/>
            <w:vAlign w:val="bottom"/>
          </w:tcPr>
          <w:p>
            <w:pPr>
              <w:spacing w:after="0"/>
              <w:rPr>
                <w:sz w:val="11"/>
                <w:szCs w:val="11"/>
                <w:color w:val="auto"/>
              </w:rPr>
            </w:pPr>
          </w:p>
        </w:tc>
        <w:tc>
          <w:tcPr>
            <w:tcW w:w="5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interest</w:t>
            </w:r>
          </w:p>
        </w:tc>
        <w:tc>
          <w:tcPr>
            <w:tcW w:w="6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60"/>
              <w:spacing w:after="0" w:line="131" w:lineRule="exact"/>
              <w:rPr>
                <w:sz w:val="20"/>
                <w:szCs w:val="20"/>
                <w:color w:val="auto"/>
              </w:rPr>
            </w:pPr>
            <w:r>
              <w:rPr>
                <w:rFonts w:ascii="Arial" w:cs="Arial" w:eastAsia="Arial" w:hAnsi="Arial"/>
                <w:sz w:val="13"/>
                <w:szCs w:val="13"/>
                <w:b w:val="1"/>
                <w:bCs w:val="1"/>
                <w:color w:val="auto"/>
                <w:w w:val="87"/>
              </w:rPr>
              <w:t>underlying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0"/>
              </w:rPr>
              <w:t>days</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30 days</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30 days</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8"/>
              </w:rPr>
              <w:t>assets</w:t>
            </w:r>
          </w:p>
        </w:tc>
        <w:tc>
          <w:tcPr>
            <w:tcW w:w="60" w:type="dxa"/>
            <w:vAlign w:val="bottom"/>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0"/>
              </w:rPr>
              <w:t>days</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30 days</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30 days</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3"/>
                <w:szCs w:val="13"/>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74"/>
              </w:rPr>
              <w:t>assets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Instruments issued by the</w:t>
            </w:r>
          </w:p>
        </w:tc>
        <w:tc>
          <w:tcPr>
            <w:tcW w:w="64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w w:val="99"/>
              </w:rPr>
              <w:t>Colombian</w:t>
            </w: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0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Colombian Government</w:t>
            </w:r>
          </w:p>
        </w:tc>
        <w:tc>
          <w:tcPr>
            <w:tcW w:w="6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pesos</w:t>
            </w:r>
          </w:p>
        </w:tc>
        <w:tc>
          <w:tcPr>
            <w:tcW w:w="5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6.60</w:t>
            </w: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401,580</w:t>
            </w:r>
          </w:p>
        </w:tc>
        <w:tc>
          <w:tcPr>
            <w:tcW w:w="7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47,872</w:t>
            </w:r>
          </w:p>
        </w:tc>
        <w:tc>
          <w:tcPr>
            <w:tcW w:w="6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449,452</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443,386</w:t>
            </w:r>
          </w:p>
        </w:tc>
        <w:tc>
          <w:tcPr>
            <w:tcW w:w="640" w:type="dxa"/>
            <w:vAlign w:val="bottom"/>
            <w:gridSpan w:val="3"/>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6.79</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138,552</w:t>
            </w:r>
          </w:p>
        </w:tc>
        <w:tc>
          <w:tcPr>
            <w:tcW w:w="7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170,106</w:t>
            </w:r>
          </w:p>
        </w:tc>
        <w:tc>
          <w:tcPr>
            <w:tcW w:w="6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308,658</w:t>
            </w:r>
          </w:p>
        </w:tc>
        <w:tc>
          <w:tcPr>
            <w:tcW w:w="760" w:type="dxa"/>
            <w:vAlign w:val="bottom"/>
            <w:gridSpan w:val="3"/>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309,574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00" w:type="dxa"/>
            <w:vAlign w:val="bottom"/>
          </w:tcPr>
          <w:p>
            <w:pPr>
              <w:spacing w:after="0" w:line="114" w:lineRule="exact"/>
              <w:rPr>
                <w:sz w:val="20"/>
                <w:szCs w:val="20"/>
                <w:color w:val="auto"/>
              </w:rPr>
            </w:pPr>
            <w:r>
              <w:rPr>
                <w:rFonts w:ascii="Arial" w:cs="Arial" w:eastAsia="Arial" w:hAnsi="Arial"/>
                <w:sz w:val="13"/>
                <w:szCs w:val="13"/>
                <w:color w:val="auto"/>
              </w:rPr>
              <w:t>Instruments issued by the</w:t>
            </w:r>
          </w:p>
        </w:tc>
        <w:tc>
          <w:tcPr>
            <w:tcW w:w="640" w:type="dxa"/>
            <w:vAlign w:val="bottom"/>
            <w:gridSpan w:val="2"/>
          </w:tcPr>
          <w:p>
            <w:pPr>
              <w:spacing w:after="0" w:line="114" w:lineRule="exact"/>
              <w:rPr>
                <w:sz w:val="20"/>
                <w:szCs w:val="20"/>
                <w:color w:val="auto"/>
              </w:rPr>
            </w:pPr>
            <w:r>
              <w:rPr>
                <w:rFonts w:ascii="Arial" w:cs="Arial" w:eastAsia="Arial" w:hAnsi="Arial"/>
                <w:sz w:val="13"/>
                <w:szCs w:val="13"/>
                <w:color w:val="auto"/>
              </w:rPr>
              <w:t>Chilean</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00" w:type="dxa"/>
            <w:vAlign w:val="bottom"/>
          </w:tcPr>
          <w:p>
            <w:pPr>
              <w:ind w:left="140"/>
              <w:spacing w:after="0" w:line="146" w:lineRule="exact"/>
              <w:rPr>
                <w:sz w:val="20"/>
                <w:szCs w:val="20"/>
                <w:color w:val="auto"/>
              </w:rPr>
            </w:pPr>
            <w:r>
              <w:rPr>
                <w:rFonts w:ascii="Arial" w:cs="Arial" w:eastAsia="Arial" w:hAnsi="Arial"/>
                <w:sz w:val="13"/>
                <w:szCs w:val="13"/>
                <w:color w:val="auto"/>
              </w:rPr>
              <w:t>Chilean Government</w:t>
            </w:r>
          </w:p>
        </w:tc>
        <w:tc>
          <w:tcPr>
            <w:tcW w:w="640" w:type="dxa"/>
            <w:vAlign w:val="bottom"/>
            <w:gridSpan w:val="2"/>
          </w:tcPr>
          <w:p>
            <w:pPr>
              <w:spacing w:after="0" w:line="146" w:lineRule="exact"/>
              <w:rPr>
                <w:sz w:val="20"/>
                <w:szCs w:val="20"/>
                <w:color w:val="auto"/>
              </w:rPr>
            </w:pPr>
            <w:r>
              <w:rPr>
                <w:rFonts w:ascii="Arial" w:cs="Arial" w:eastAsia="Arial" w:hAnsi="Arial"/>
                <w:sz w:val="13"/>
                <w:szCs w:val="13"/>
                <w:color w:val="auto"/>
              </w:rPr>
              <w:t>pesos</w:t>
            </w:r>
          </w:p>
        </w:tc>
        <w:tc>
          <w:tcPr>
            <w:tcW w:w="5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0.27</w:t>
            </w:r>
          </w:p>
        </w:tc>
        <w:tc>
          <w:tcPr>
            <w:tcW w:w="5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24,624</w:t>
            </w:r>
          </w:p>
        </w:tc>
        <w:tc>
          <w:tcPr>
            <w:tcW w:w="7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24,624</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24,628</w:t>
            </w:r>
          </w:p>
        </w:tc>
        <w:tc>
          <w:tcPr>
            <w:tcW w:w="640" w:type="dxa"/>
            <w:vAlign w:val="bottom"/>
            <w:gridSpan w:val="3"/>
          </w:tcPr>
          <w:p>
            <w:pPr>
              <w:jc w:val="right"/>
              <w:ind w:right="140"/>
              <w:spacing w:after="0" w:line="146" w:lineRule="exact"/>
              <w:rPr>
                <w:sz w:val="20"/>
                <w:szCs w:val="20"/>
                <w:color w:val="auto"/>
              </w:rPr>
            </w:pPr>
            <w:r>
              <w:rPr>
                <w:rFonts w:ascii="Arial" w:cs="Arial" w:eastAsia="Arial" w:hAnsi="Arial"/>
                <w:sz w:val="13"/>
                <w:szCs w:val="13"/>
                <w:color w:val="auto"/>
              </w:rPr>
              <w:t>0.35</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8,920</w:t>
            </w:r>
          </w:p>
        </w:tc>
        <w:tc>
          <w:tcPr>
            <w:tcW w:w="6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256</w:t>
            </w:r>
          </w:p>
        </w:tc>
        <w:tc>
          <w:tcPr>
            <w:tcW w:w="7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9,176</w:t>
            </w:r>
          </w:p>
        </w:tc>
        <w:tc>
          <w:tcPr>
            <w:tcW w:w="760" w:type="dxa"/>
            <w:vAlign w:val="bottom"/>
            <w:gridSpan w:val="3"/>
          </w:tcPr>
          <w:p>
            <w:pPr>
              <w:jc w:val="right"/>
              <w:ind w:right="20"/>
              <w:spacing w:after="0" w:line="146" w:lineRule="exact"/>
              <w:rPr>
                <w:sz w:val="20"/>
                <w:szCs w:val="20"/>
                <w:color w:val="auto"/>
              </w:rPr>
            </w:pPr>
            <w:r>
              <w:rPr>
                <w:rFonts w:ascii="Arial" w:cs="Arial" w:eastAsia="Arial" w:hAnsi="Arial"/>
                <w:sz w:val="13"/>
                <w:szCs w:val="13"/>
                <w:color w:val="auto"/>
              </w:rPr>
              <w:t>9,176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 instruments</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3.76</w:t>
            </w:r>
          </w:p>
        </w:tc>
        <w:tc>
          <w:tcPr>
            <w:tcW w:w="5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3"/>
                <w:szCs w:val="13"/>
                <w:color w:val="auto"/>
              </w:rPr>
              <w:t>12,013</w:t>
            </w:r>
          </w:p>
        </w:tc>
        <w:tc>
          <w:tcPr>
            <w:tcW w:w="7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157,871</w:t>
            </w:r>
          </w:p>
        </w:tc>
        <w:tc>
          <w:tcPr>
            <w:tcW w:w="7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15,420</w:t>
            </w: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185,304</w:t>
            </w:r>
          </w:p>
        </w:tc>
        <w:tc>
          <w:tcPr>
            <w:tcW w:w="7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186,774</w:t>
            </w:r>
          </w:p>
        </w:tc>
        <w:tc>
          <w:tcPr>
            <w:tcW w:w="64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2.62</w:t>
            </w:r>
          </w:p>
        </w:tc>
        <w:tc>
          <w:tcPr>
            <w:tcW w:w="6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23,337</w:t>
            </w: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70,809</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44,165</w:t>
            </w:r>
          </w:p>
        </w:tc>
        <w:tc>
          <w:tcPr>
            <w:tcW w:w="6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138,311</w:t>
            </w:r>
          </w:p>
        </w:tc>
        <w:tc>
          <w:tcPr>
            <w:tcW w:w="76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137,815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100"/>
              <w:spacing w:after="0" w:line="134" w:lineRule="exact"/>
              <w:rPr>
                <w:sz w:val="20"/>
                <w:szCs w:val="20"/>
                <w:color w:val="auto"/>
              </w:rPr>
            </w:pPr>
            <w:r>
              <w:rPr>
                <w:rFonts w:ascii="Arial" w:cs="Arial" w:eastAsia="Arial" w:hAnsi="Arial"/>
                <w:sz w:val="13"/>
                <w:szCs w:val="13"/>
                <w:color w:val="auto"/>
                <w:w w:val="80"/>
              </w:rPr>
              <w:t>36,637</w:t>
            </w:r>
          </w:p>
        </w:tc>
        <w:tc>
          <w:tcPr>
            <w:tcW w:w="1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559,451</w:t>
            </w:r>
          </w:p>
        </w:tc>
        <w:tc>
          <w:tcPr>
            <w:tcW w:w="1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63,292</w:t>
            </w:r>
          </w:p>
        </w:tc>
        <w:tc>
          <w:tcPr>
            <w:tcW w:w="1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659,380</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654,788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32,257</w:t>
            </w:r>
          </w:p>
        </w:tc>
        <w:tc>
          <w:tcPr>
            <w:tcW w:w="1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209,617</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214,271</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456,145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456,565</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1" w:hanging="281"/>
        <w:spacing w:after="0" w:line="269" w:lineRule="auto"/>
        <w:tabs>
          <w:tab w:leader="none" w:pos="281" w:val="left"/>
        </w:tabs>
        <w:numPr>
          <w:ilvl w:val="0"/>
          <w:numId w:val="78"/>
        </w:numPr>
        <w:rPr>
          <w:rFonts w:ascii="Arial" w:cs="Arial" w:eastAsia="Arial" w:hAnsi="Arial"/>
          <w:sz w:val="16"/>
          <w:szCs w:val="16"/>
          <w:color w:val="auto"/>
        </w:rPr>
      </w:pPr>
      <w:r>
        <w:rPr>
          <w:rFonts w:ascii="Arial" w:cs="Arial" w:eastAsia="Arial" w:hAnsi="Arial"/>
          <w:sz w:val="16"/>
          <w:szCs w:val="16"/>
          <w:color w:val="auto"/>
        </w:rPr>
        <w:t>Credicorp, through its subsidiaries, obtains financing through “Payables on repurchase agreements and securities lending” by selling financial instruments and committing to repurchase them at future dates, including interest at a fixed rate. The details of said transactions are as follows:</w:t>
      </w:r>
    </w:p>
    <w:p>
      <w:pPr>
        <w:spacing w:after="0" w:line="161"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w w:val="87"/>
              </w:rPr>
              <w:t>At December 31, 2018</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At December 31, 2017</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120"/>
              <w:spacing w:after="0" w:line="103" w:lineRule="exact"/>
              <w:rPr>
                <w:sz w:val="20"/>
                <w:szCs w:val="20"/>
                <w:color w:val="auto"/>
              </w:rPr>
            </w:pPr>
            <w:r>
              <w:rPr>
                <w:rFonts w:ascii="Arial" w:cs="Arial" w:eastAsia="Arial" w:hAnsi="Arial"/>
                <w:sz w:val="11"/>
                <w:szCs w:val="11"/>
                <w:b w:val="1"/>
                <w:bCs w:val="1"/>
                <w:color w:val="auto"/>
                <w:w w:val="96"/>
              </w:rPr>
              <w:t>Average</w:t>
            </w: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Up to 3</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From 3 to</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More than</w:t>
            </w: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Carrying</w:t>
            </w:r>
          </w:p>
        </w:tc>
        <w:tc>
          <w:tcPr>
            <w:tcW w:w="7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Fair value of</w:t>
            </w:r>
          </w:p>
        </w:tc>
        <w:tc>
          <w:tcPr>
            <w:tcW w:w="140" w:type="dxa"/>
            <w:vAlign w:val="bottom"/>
          </w:tcPr>
          <w:p>
            <w:pPr>
              <w:spacing w:after="0"/>
              <w:rPr>
                <w:sz w:val="8"/>
                <w:szCs w:val="8"/>
                <w:color w:val="auto"/>
              </w:rPr>
            </w:pPr>
          </w:p>
        </w:tc>
        <w:tc>
          <w:tcPr>
            <w:tcW w:w="580" w:type="dxa"/>
            <w:vAlign w:val="bottom"/>
            <w:gridSpan w:val="2"/>
          </w:tcPr>
          <w:p>
            <w:pPr>
              <w:jc w:val="right"/>
              <w:ind w:right="140"/>
              <w:spacing w:after="0" w:line="103" w:lineRule="exact"/>
              <w:rPr>
                <w:sz w:val="20"/>
                <w:szCs w:val="20"/>
                <w:color w:val="auto"/>
              </w:rPr>
            </w:pPr>
            <w:r>
              <w:rPr>
                <w:rFonts w:ascii="Arial" w:cs="Arial" w:eastAsia="Arial" w:hAnsi="Arial"/>
                <w:sz w:val="11"/>
                <w:szCs w:val="11"/>
                <w:b w:val="1"/>
                <w:bCs w:val="1"/>
                <w:color w:val="auto"/>
                <w:w w:val="96"/>
              </w:rPr>
              <w:t>Average</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Up to 3</w:t>
            </w: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1"/>
              </w:rPr>
              <w:t>From 3 to</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More than</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Carrying</w:t>
            </w:r>
          </w:p>
        </w:tc>
        <w:tc>
          <w:tcPr>
            <w:tcW w:w="72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Fair value of</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Currency</w:t>
            </w:r>
          </w:p>
        </w:tc>
        <w:tc>
          <w:tcPr>
            <w:tcW w:w="56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9"/>
              </w:rPr>
              <w:t>interest</w:t>
            </w:r>
          </w:p>
        </w:tc>
        <w:tc>
          <w:tcPr>
            <w:tcW w:w="6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0"/>
              </w:rPr>
              <w:t>underlying</w:t>
            </w:r>
          </w:p>
        </w:tc>
        <w:tc>
          <w:tcPr>
            <w:tcW w:w="5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interest</w:t>
            </w:r>
          </w:p>
        </w:tc>
        <w:tc>
          <w:tcPr>
            <w:tcW w:w="6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0"/>
              </w:rPr>
              <w:t>underlying</w:t>
            </w: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0"/>
              </w:rPr>
              <w:t>days</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30 days</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30 days</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8"/>
              </w:rPr>
              <w:t>assets</w:t>
            </w:r>
          </w:p>
        </w:tc>
        <w:tc>
          <w:tcPr>
            <w:tcW w:w="5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0"/>
              </w:rPr>
              <w:t>days</w:t>
            </w: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30 days</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30 days</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8"/>
              </w:rPr>
              <w:t>assets</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7"/>
              </w:rPr>
              <w:t>Instruments issued by the</w:t>
            </w:r>
          </w:p>
        </w:tc>
        <w:tc>
          <w:tcPr>
            <w:tcW w:w="62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w w:val="96"/>
              </w:rPr>
              <w:t>Colombian</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w w:val="94"/>
              </w:rPr>
              <w:t>Colombian Government</w:t>
            </w:r>
          </w:p>
        </w:tc>
        <w:tc>
          <w:tcPr>
            <w:tcW w:w="6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pesos</w:t>
            </w: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5.97</w:t>
            </w:r>
          </w:p>
        </w:tc>
        <w:tc>
          <w:tcPr>
            <w:tcW w:w="6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3"/>
              </w:rPr>
              <w:t>1,231,639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3,124</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1,234,763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1,235,472</w:t>
            </w:r>
          </w:p>
        </w:tc>
        <w:tc>
          <w:tcPr>
            <w:tcW w:w="5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6.62</w:t>
            </w:r>
          </w:p>
        </w:tc>
        <w:tc>
          <w:tcPr>
            <w:tcW w:w="6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1,291,621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1,291,621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1,292,272</w:t>
            </w:r>
          </w:p>
        </w:tc>
        <w:tc>
          <w:tcPr>
            <w:tcW w:w="0" w:type="dxa"/>
            <w:vAlign w:val="bottom"/>
          </w:tcPr>
          <w:p>
            <w:pPr>
              <w:spacing w:after="0"/>
              <w:rPr>
                <w:sz w:val="1"/>
                <w:szCs w:val="1"/>
                <w:color w:val="auto"/>
              </w:rPr>
            </w:pPr>
          </w:p>
        </w:tc>
      </w:tr>
      <w:tr>
        <w:trPr>
          <w:trHeight w:val="114"/>
        </w:trPr>
        <w:tc>
          <w:tcPr>
            <w:tcW w:w="1460" w:type="dxa"/>
            <w:vAlign w:val="bottom"/>
          </w:tcPr>
          <w:p>
            <w:pPr>
              <w:spacing w:after="0" w:line="114" w:lineRule="exact"/>
              <w:rPr>
                <w:sz w:val="20"/>
                <w:szCs w:val="20"/>
                <w:color w:val="auto"/>
              </w:rPr>
            </w:pPr>
            <w:r>
              <w:rPr>
                <w:rFonts w:ascii="Arial" w:cs="Arial" w:eastAsia="Arial" w:hAnsi="Arial"/>
                <w:sz w:val="13"/>
                <w:szCs w:val="13"/>
                <w:color w:val="auto"/>
                <w:w w:val="97"/>
              </w:rPr>
              <w:t>Instruments issued by the</w:t>
            </w:r>
          </w:p>
        </w:tc>
        <w:tc>
          <w:tcPr>
            <w:tcW w:w="620" w:type="dxa"/>
            <w:vAlign w:val="bottom"/>
            <w:gridSpan w:val="2"/>
          </w:tcPr>
          <w:p>
            <w:pPr>
              <w:spacing w:after="0" w:line="114" w:lineRule="exact"/>
              <w:rPr>
                <w:sz w:val="20"/>
                <w:szCs w:val="20"/>
                <w:color w:val="auto"/>
              </w:rPr>
            </w:pPr>
            <w:r>
              <w:rPr>
                <w:rFonts w:ascii="Arial" w:cs="Arial" w:eastAsia="Arial" w:hAnsi="Arial"/>
                <w:sz w:val="13"/>
                <w:szCs w:val="13"/>
                <w:color w:val="auto"/>
              </w:rPr>
              <w:t>Chilean</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60" w:type="dxa"/>
            <w:vAlign w:val="bottom"/>
          </w:tcPr>
          <w:p>
            <w:pPr>
              <w:ind w:left="140"/>
              <w:spacing w:after="0" w:line="146" w:lineRule="exact"/>
              <w:rPr>
                <w:sz w:val="20"/>
                <w:szCs w:val="20"/>
                <w:color w:val="auto"/>
              </w:rPr>
            </w:pPr>
            <w:r>
              <w:rPr>
                <w:rFonts w:ascii="Arial" w:cs="Arial" w:eastAsia="Arial" w:hAnsi="Arial"/>
                <w:sz w:val="13"/>
                <w:szCs w:val="13"/>
                <w:color w:val="auto"/>
              </w:rPr>
              <w:t>Chilean Government</w:t>
            </w:r>
          </w:p>
        </w:tc>
        <w:tc>
          <w:tcPr>
            <w:tcW w:w="620" w:type="dxa"/>
            <w:vAlign w:val="bottom"/>
            <w:gridSpan w:val="2"/>
          </w:tcPr>
          <w:p>
            <w:pPr>
              <w:spacing w:after="0" w:line="146" w:lineRule="exact"/>
              <w:rPr>
                <w:sz w:val="20"/>
                <w:szCs w:val="20"/>
                <w:color w:val="auto"/>
              </w:rPr>
            </w:pPr>
            <w:r>
              <w:rPr>
                <w:rFonts w:ascii="Arial" w:cs="Arial" w:eastAsia="Arial" w:hAnsi="Arial"/>
                <w:sz w:val="13"/>
                <w:szCs w:val="13"/>
                <w:color w:val="auto"/>
              </w:rPr>
              <w:t>pesos</w:t>
            </w:r>
          </w:p>
        </w:tc>
        <w:tc>
          <w:tcPr>
            <w:tcW w:w="5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0.26</w:t>
            </w:r>
          </w:p>
        </w:tc>
        <w:tc>
          <w:tcPr>
            <w:tcW w:w="6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24,912</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24,912</w:t>
            </w:r>
          </w:p>
        </w:tc>
        <w:tc>
          <w:tcPr>
            <w:tcW w:w="8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27,529</w:t>
            </w:r>
          </w:p>
        </w:tc>
        <w:tc>
          <w:tcPr>
            <w:tcW w:w="5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0.25</w:t>
            </w:r>
          </w:p>
        </w:tc>
        <w:tc>
          <w:tcPr>
            <w:tcW w:w="6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w w:val="97"/>
              </w:rPr>
              <w:t>103,040</w:t>
            </w: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103,040</w:t>
            </w:r>
          </w:p>
        </w:tc>
        <w:tc>
          <w:tcPr>
            <w:tcW w:w="8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103,040</w:t>
            </w:r>
          </w:p>
        </w:tc>
        <w:tc>
          <w:tcPr>
            <w:tcW w:w="0" w:type="dxa"/>
            <w:vAlign w:val="bottom"/>
          </w:tcPr>
          <w:p>
            <w:pPr>
              <w:spacing w:after="0"/>
              <w:rPr>
                <w:sz w:val="1"/>
                <w:szCs w:val="1"/>
                <w:color w:val="auto"/>
              </w:rPr>
            </w:pPr>
          </w:p>
        </w:tc>
      </w:tr>
      <w:tr>
        <w:trPr>
          <w:trHeight w:val="130"/>
        </w:trPr>
        <w:tc>
          <w:tcPr>
            <w:tcW w:w="14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Other instruments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1.88</w:t>
            </w:r>
          </w:p>
        </w:tc>
        <w:tc>
          <w:tcPr>
            <w:tcW w:w="60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w w:val="97"/>
              </w:rPr>
              <w:t>144,668</w:t>
            </w:r>
          </w:p>
        </w:tc>
        <w:tc>
          <w:tcPr>
            <w:tcW w:w="7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66,224</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210,892</w:t>
            </w:r>
          </w:p>
        </w:tc>
        <w:tc>
          <w:tcPr>
            <w:tcW w:w="8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214,051</w:t>
            </w:r>
          </w:p>
        </w:tc>
        <w:tc>
          <w:tcPr>
            <w:tcW w:w="5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0.23</w:t>
            </w:r>
          </w:p>
        </w:tc>
        <w:tc>
          <w:tcPr>
            <w:tcW w:w="6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w w:val="97"/>
              </w:rPr>
              <w:t>146,146</w:t>
            </w:r>
          </w:p>
        </w:tc>
        <w:tc>
          <w:tcPr>
            <w:tcW w:w="5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236</w:t>
            </w:r>
          </w:p>
        </w:tc>
        <w:tc>
          <w:tcPr>
            <w:tcW w:w="80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146,382</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146,382</w:t>
            </w:r>
          </w:p>
        </w:tc>
        <w:tc>
          <w:tcPr>
            <w:tcW w:w="0" w:type="dxa"/>
            <w:vAlign w:val="bottom"/>
          </w:tcPr>
          <w:p>
            <w:pPr>
              <w:spacing w:after="0"/>
              <w:rPr>
                <w:sz w:val="1"/>
                <w:szCs w:val="1"/>
                <w:color w:val="auto"/>
              </w:rPr>
            </w:pPr>
          </w:p>
        </w:tc>
      </w:tr>
      <w:tr>
        <w:trPr>
          <w:trHeight w:val="142"/>
        </w:trPr>
        <w:tc>
          <w:tcPr>
            <w:tcW w:w="1460" w:type="dxa"/>
            <w:vAlign w:val="bottom"/>
          </w:tcPr>
          <w:p>
            <w:pPr>
              <w:spacing w:after="0" w:line="143" w:lineRule="exact"/>
              <w:rPr>
                <w:sz w:val="20"/>
                <w:szCs w:val="20"/>
                <w:color w:val="auto"/>
              </w:rPr>
            </w:pPr>
            <w:r>
              <w:rPr>
                <w:rFonts w:ascii="Arial" w:cs="Arial" w:eastAsia="Arial" w:hAnsi="Arial"/>
                <w:sz w:val="13"/>
                <w:szCs w:val="13"/>
                <w:color w:val="auto"/>
              </w:rPr>
              <w:t>Debt instruments (c)</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w w:val="97"/>
              </w:rPr>
              <w:t>159,570</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365,201</w:t>
            </w: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7,420,019</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w w:val="96"/>
              </w:rPr>
              <w:t>7,944,790</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8,572,837</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8,921</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47,946</w:t>
            </w:r>
          </w:p>
        </w:tc>
        <w:tc>
          <w:tcPr>
            <w:tcW w:w="7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w w:val="95"/>
              </w:rPr>
              <w:t>11,817,933</w:t>
            </w:r>
          </w:p>
        </w:tc>
        <w:tc>
          <w:tcPr>
            <w:tcW w:w="8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w w:val="95"/>
              </w:rPr>
              <w:t>11,874,800</w:t>
            </w:r>
          </w:p>
        </w:tc>
        <w:tc>
          <w:tcPr>
            <w:tcW w:w="8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12,392,983</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329,150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1,663,064</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7,423,143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9,415,357</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10,049,889</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7"/>
              </w:rPr>
              <w:t>258,107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1,339,567</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11,818,169</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13,415,843</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13,934,677</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4" w:right="239" w:bottom="1440" w:gutter="0" w:footer="0" w:header="0"/>
        </w:sectPr>
      </w:pPr>
    </w:p>
    <w:bookmarkStart w:id="68" w:name="page69"/>
    <w:bookmarkEnd w:id="68"/>
    <w:p>
      <w:pPr>
        <w:ind w:left="281" w:hanging="281"/>
        <w:spacing w:after="0" w:line="269" w:lineRule="auto"/>
        <w:tabs>
          <w:tab w:leader="none" w:pos="281"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 December 31, 2018, and 2017, the Group has repurchase agreements secured with: (i) cash, see Note 5(a), and (ii) investments, see Note 6(b). This item consists of the following:</w:t>
      </w:r>
    </w:p>
    <w:p>
      <w:pPr>
        <w:spacing w:after="0" w:line="161"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Borders>
              <w:bottom w:val="single" w:sz="8" w:color="auto"/>
            </w:tcBorders>
            <w:gridSpan w:val="4"/>
          </w:tcPr>
          <w:p>
            <w:pPr>
              <w:ind w:left="780"/>
              <w:spacing w:after="0"/>
              <w:rPr>
                <w:sz w:val="20"/>
                <w:szCs w:val="20"/>
                <w:color w:val="auto"/>
              </w:rPr>
            </w:pPr>
            <w:r>
              <w:rPr>
                <w:rFonts w:ascii="Arial" w:cs="Arial" w:eastAsia="Arial" w:hAnsi="Arial"/>
                <w:sz w:val="13"/>
                <w:szCs w:val="13"/>
                <w:b w:val="1"/>
                <w:bCs w:val="1"/>
                <w:color w:val="auto"/>
              </w:rPr>
              <w:t>At December 31, 2018</w:t>
            </w:r>
          </w:p>
        </w:tc>
        <w:tc>
          <w:tcPr>
            <w:tcW w:w="100" w:type="dxa"/>
            <w:vAlign w:val="bottom"/>
            <w:tcBorders>
              <w:bottom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87"/>
              </w:rPr>
              <w:t>At December 31, 2017</w:t>
            </w:r>
          </w:p>
        </w:tc>
        <w:tc>
          <w:tcPr>
            <w:tcW w:w="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400" w:type="dxa"/>
            <w:vAlign w:val="bottom"/>
            <w:vMerge w:val="restart"/>
          </w:tcPr>
          <w:p>
            <w:pPr>
              <w:spacing w:after="0"/>
              <w:rPr>
                <w:sz w:val="20"/>
                <w:szCs w:val="20"/>
                <w:color w:val="auto"/>
              </w:rPr>
            </w:pPr>
            <w:r>
              <w:rPr>
                <w:rFonts w:ascii="Arial" w:cs="Arial" w:eastAsia="Arial" w:hAnsi="Arial"/>
                <w:sz w:val="13"/>
                <w:szCs w:val="13"/>
                <w:b w:val="1"/>
                <w:bCs w:val="1"/>
                <w:color w:val="auto"/>
              </w:rPr>
              <w:t>Counterparties</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right"/>
              <w:ind w:right="340"/>
              <w:spacing w:after="0" w:line="114"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right"/>
              <w:ind w:right="400"/>
              <w:spacing w:after="0" w:line="114"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Arial" w:cs="Arial" w:eastAsia="Arial" w:hAnsi="Arial"/>
                <w:sz w:val="13"/>
                <w:szCs w:val="13"/>
                <w:b w:val="1"/>
                <w:bCs w:val="1"/>
                <w:color w:val="auto"/>
              </w:rPr>
              <w:t>Currency</w:t>
            </w:r>
          </w:p>
        </w:tc>
        <w:tc>
          <w:tcPr>
            <w:tcW w:w="1600" w:type="dxa"/>
            <w:vAlign w:val="bottom"/>
            <w:gridSpan w:val="2"/>
          </w:tcPr>
          <w:p>
            <w:pPr>
              <w:ind w:left="440"/>
              <w:spacing w:after="0"/>
              <w:rPr>
                <w:sz w:val="20"/>
                <w:szCs w:val="20"/>
                <w:color w:val="auto"/>
              </w:rPr>
            </w:pPr>
            <w:r>
              <w:rPr>
                <w:rFonts w:ascii="Arial" w:cs="Arial" w:eastAsia="Arial" w:hAnsi="Arial"/>
                <w:sz w:val="13"/>
                <w:szCs w:val="13"/>
                <w:b w:val="1"/>
                <w:bCs w:val="1"/>
                <w:color w:val="auto"/>
              </w:rPr>
              <w:t>Maturity</w:t>
            </w:r>
          </w:p>
        </w:tc>
        <w:tc>
          <w:tcPr>
            <w:tcW w:w="1060" w:type="dxa"/>
            <w:vAlign w:val="bottom"/>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280" w:type="dxa"/>
            <w:vAlign w:val="bottom"/>
          </w:tcPr>
          <w:p>
            <w:pPr>
              <w:ind w:left="380"/>
              <w:spacing w:after="0"/>
              <w:rPr>
                <w:sz w:val="20"/>
                <w:szCs w:val="20"/>
                <w:color w:val="auto"/>
              </w:rPr>
            </w:pPr>
            <w:r>
              <w:rPr>
                <w:rFonts w:ascii="Arial" w:cs="Arial" w:eastAsia="Arial" w:hAnsi="Arial"/>
                <w:sz w:val="13"/>
                <w:szCs w:val="13"/>
                <w:b w:val="1"/>
                <w:bCs w:val="1"/>
                <w:color w:val="auto"/>
              </w:rPr>
              <w:t>Collateral</w:t>
            </w:r>
          </w:p>
        </w:tc>
        <w:tc>
          <w:tcPr>
            <w:tcW w:w="120" w:type="dxa"/>
            <w:vAlign w:val="bottom"/>
          </w:tcPr>
          <w:p>
            <w:pPr>
              <w:spacing w:after="0"/>
              <w:rPr>
                <w:sz w:val="13"/>
                <w:szCs w:val="13"/>
                <w:color w:val="auto"/>
              </w:rPr>
            </w:pPr>
          </w:p>
        </w:tc>
        <w:tc>
          <w:tcPr>
            <w:tcW w:w="1280" w:type="dxa"/>
            <w:vAlign w:val="bottom"/>
          </w:tcPr>
          <w:p>
            <w:pPr>
              <w:ind w:left="38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3"/>
                <w:szCs w:val="13"/>
                <w:color w:val="auto"/>
              </w:rPr>
            </w:pPr>
          </w:p>
        </w:tc>
        <w:tc>
          <w:tcPr>
            <w:tcW w:w="1120" w:type="dxa"/>
            <w:vAlign w:val="bottom"/>
            <w:gridSpan w:val="2"/>
          </w:tcPr>
          <w:p>
            <w:pPr>
              <w:ind w:left="2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c>
          <w:tcPr>
            <w:tcW w:w="1280" w:type="dxa"/>
            <w:vAlign w:val="bottom"/>
          </w:tcPr>
          <w:p>
            <w:pPr>
              <w:ind w:left="380"/>
              <w:spacing w:after="0"/>
              <w:rPr>
                <w:sz w:val="20"/>
                <w:szCs w:val="20"/>
                <w:color w:val="auto"/>
              </w:rPr>
            </w:pPr>
            <w:r>
              <w:rPr>
                <w:rFonts w:ascii="Arial" w:cs="Arial" w:eastAsia="Arial" w:hAnsi="Arial"/>
                <w:sz w:val="13"/>
                <w:szCs w:val="13"/>
                <w:b w:val="1"/>
                <w:bCs w:val="1"/>
                <w:color w:val="auto"/>
              </w:rPr>
              <w:t>Collateral</w:t>
            </w:r>
          </w:p>
        </w:tc>
        <w:tc>
          <w:tcPr>
            <w:tcW w:w="0" w:type="dxa"/>
            <w:vAlign w:val="bottom"/>
          </w:tcPr>
          <w:p>
            <w:pPr>
              <w:spacing w:after="0"/>
              <w:rPr>
                <w:sz w:val="1"/>
                <w:szCs w:val="1"/>
                <w:color w:val="auto"/>
              </w:rPr>
            </w:pPr>
          </w:p>
        </w:tc>
      </w:tr>
      <w:tr>
        <w:trPr>
          <w:trHeight w:val="122"/>
        </w:trPr>
        <w:tc>
          <w:tcPr>
            <w:tcW w:w="1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jc w:val="right"/>
              <w:ind w:right="177"/>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jc w:val="right"/>
              <w:ind w:right="177"/>
              <w:spacing w:after="0" w:line="123"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BCRP, Note 5(a)(i)</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3"/>
                <w:szCs w:val="13"/>
                <w:color w:val="auto"/>
              </w:rPr>
              <w:t>January 2019 /</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40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3"/>
                <w:szCs w:val="13"/>
                <w:color w:val="auto"/>
                <w:w w:val="92"/>
              </w:rPr>
              <w:t>January 2018 / October</w:t>
            </w: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3"/>
                <w:szCs w:val="13"/>
                <w:color w:val="auto"/>
              </w:rPr>
              <w:t>Soles</w:t>
            </w: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November 2019</w:t>
            </w:r>
          </w:p>
        </w:tc>
        <w:tc>
          <w:tcPr>
            <w:tcW w:w="9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2,948,500</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Cash with BCRP</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2020</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6,575,800</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Cash with BCRP</w:t>
            </w:r>
          </w:p>
        </w:tc>
        <w:tc>
          <w:tcPr>
            <w:tcW w:w="0" w:type="dxa"/>
            <w:vAlign w:val="bottom"/>
          </w:tcPr>
          <w:p>
            <w:pPr>
              <w:spacing w:after="0"/>
              <w:rPr>
                <w:sz w:val="1"/>
                <w:szCs w:val="1"/>
                <w:color w:val="auto"/>
              </w:rPr>
            </w:pPr>
          </w:p>
        </w:tc>
      </w:tr>
      <w:tr>
        <w:trPr>
          <w:trHeight w:val="114"/>
        </w:trPr>
        <w:tc>
          <w:tcPr>
            <w:tcW w:w="1400" w:type="dxa"/>
            <w:vAlign w:val="bottom"/>
          </w:tcPr>
          <w:p>
            <w:pPr>
              <w:spacing w:after="0" w:line="114" w:lineRule="exact"/>
              <w:rPr>
                <w:sz w:val="20"/>
                <w:szCs w:val="20"/>
                <w:color w:val="auto"/>
              </w:rPr>
            </w:pPr>
            <w:r>
              <w:rPr>
                <w:rFonts w:ascii="Arial" w:cs="Arial" w:eastAsia="Arial" w:hAnsi="Arial"/>
                <w:sz w:val="13"/>
                <w:szCs w:val="13"/>
                <w:color w:val="auto"/>
              </w:rPr>
              <w:t>BCRP</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6"/>
              </w:rPr>
              <w:t>FVOCI investments (*)</w:t>
            </w: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30"/>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January 2019 /</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and amortized cost</w:t>
            </w: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20"/>
              <w:spacing w:after="0" w:line="131" w:lineRule="exact"/>
              <w:rPr>
                <w:sz w:val="20"/>
                <w:szCs w:val="20"/>
                <w:color w:val="auto"/>
              </w:rPr>
            </w:pPr>
            <w:r>
              <w:rPr>
                <w:rFonts w:ascii="Arial" w:cs="Arial" w:eastAsia="Arial" w:hAnsi="Arial"/>
                <w:sz w:val="13"/>
                <w:szCs w:val="13"/>
                <w:color w:val="auto"/>
                <w:w w:val="88"/>
              </w:rPr>
              <w:t>investments and held-to-</w:t>
            </w: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12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Soles</w:t>
            </w:r>
          </w:p>
        </w:tc>
        <w:tc>
          <w:tcPr>
            <w:tcW w:w="16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November 2020</w:t>
            </w: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2,220,265</w:t>
            </w:r>
          </w:p>
        </w:tc>
        <w:tc>
          <w:tcPr>
            <w:tcW w:w="100" w:type="dxa"/>
            <w:vAlign w:val="bottom"/>
          </w:tcPr>
          <w:p>
            <w:pPr>
              <w:spacing w:after="0"/>
              <w:rPr>
                <w:sz w:val="12"/>
                <w:szCs w:val="12"/>
                <w:color w:val="auto"/>
              </w:rPr>
            </w:pPr>
          </w:p>
        </w:tc>
        <w:tc>
          <w:tcPr>
            <w:tcW w:w="13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investments</w:t>
            </w:r>
          </w:p>
        </w:tc>
        <w:tc>
          <w:tcPr>
            <w:tcW w:w="1400" w:type="dxa"/>
            <w:vAlign w:val="bottom"/>
            <w:gridSpan w:val="2"/>
          </w:tcPr>
          <w:p>
            <w:pPr>
              <w:ind w:left="120"/>
              <w:spacing w:after="0" w:line="146" w:lineRule="exact"/>
              <w:rPr>
                <w:sz w:val="20"/>
                <w:szCs w:val="20"/>
                <w:color w:val="auto"/>
              </w:rPr>
            </w:pPr>
            <w:r>
              <w:rPr>
                <w:rFonts w:ascii="Arial" w:cs="Arial" w:eastAsia="Arial" w:hAnsi="Arial"/>
                <w:sz w:val="13"/>
                <w:szCs w:val="13"/>
                <w:color w:val="auto"/>
                <w:w w:val="86"/>
              </w:rPr>
              <w:t>January 2018 / July 2020</w:t>
            </w:r>
          </w:p>
        </w:tc>
        <w:tc>
          <w:tcPr>
            <w:tcW w:w="122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2,710,232</w:t>
            </w:r>
          </w:p>
        </w:tc>
        <w:tc>
          <w:tcPr>
            <w:tcW w:w="130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maturity investments</w:t>
            </w: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Natixis S.A.</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3"/>
                <w:szCs w:val="13"/>
                <w:color w:val="auto"/>
              </w:rPr>
              <w:t>August 2020 / August</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3"/>
                <w:szCs w:val="13"/>
                <w:color w:val="auto"/>
              </w:rPr>
              <w:t>Amortized cost</w:t>
            </w:r>
          </w:p>
        </w:tc>
        <w:tc>
          <w:tcPr>
            <w:tcW w:w="140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3"/>
                <w:szCs w:val="13"/>
                <w:color w:val="auto"/>
              </w:rPr>
              <w:t>August 2020 / August</w:t>
            </w: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Held-to-maturity</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3"/>
                <w:szCs w:val="13"/>
                <w:color w:val="auto"/>
              </w:rPr>
              <w:t>Soles</w:t>
            </w: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2028</w:t>
            </w:r>
          </w:p>
        </w:tc>
        <w:tc>
          <w:tcPr>
            <w:tcW w:w="10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570,000</w:t>
            </w: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investments</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2028</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570,000</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4"/>
        </w:trPr>
        <w:tc>
          <w:tcPr>
            <w:tcW w:w="1400" w:type="dxa"/>
            <w:vAlign w:val="bottom"/>
          </w:tcPr>
          <w:p>
            <w:pPr>
              <w:spacing w:after="0" w:line="114" w:lineRule="exact"/>
              <w:rPr>
                <w:sz w:val="20"/>
                <w:szCs w:val="20"/>
                <w:color w:val="auto"/>
              </w:rPr>
            </w:pPr>
            <w:r>
              <w:rPr>
                <w:rFonts w:ascii="Arial" w:cs="Arial" w:eastAsia="Arial" w:hAnsi="Arial"/>
                <w:sz w:val="13"/>
                <w:szCs w:val="13"/>
                <w:color w:val="auto"/>
                <w:w w:val="91"/>
              </w:rPr>
              <w:t>Nomura International PLC</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2"/>
          </w:tcPr>
          <w:p>
            <w:pPr>
              <w:jc w:val="right"/>
              <w:ind w:right="220"/>
              <w:spacing w:after="0" w:line="114" w:lineRule="exact"/>
              <w:rPr>
                <w:sz w:val="20"/>
                <w:szCs w:val="20"/>
                <w:color w:val="auto"/>
              </w:rPr>
            </w:pPr>
            <w:r>
              <w:rPr>
                <w:rFonts w:ascii="Arial" w:cs="Arial" w:eastAsia="Arial" w:hAnsi="Arial"/>
                <w:sz w:val="13"/>
                <w:szCs w:val="13"/>
                <w:color w:val="auto"/>
                <w:w w:val="97"/>
              </w:rPr>
              <w:t>March 2019 / December</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ind w:left="100"/>
              <w:spacing w:after="0" w:line="114" w:lineRule="exact"/>
              <w:rPr>
                <w:sz w:val="20"/>
                <w:szCs w:val="20"/>
                <w:color w:val="auto"/>
              </w:rPr>
            </w:pPr>
            <w:r>
              <w:rPr>
                <w:rFonts w:ascii="Arial" w:cs="Arial" w:eastAsia="Arial" w:hAnsi="Arial"/>
                <w:sz w:val="13"/>
                <w:szCs w:val="13"/>
                <w:color w:val="auto"/>
              </w:rPr>
              <w:t>Amortized cost</w:t>
            </w:r>
          </w:p>
        </w:tc>
        <w:tc>
          <w:tcPr>
            <w:tcW w:w="1400" w:type="dxa"/>
            <w:vAlign w:val="bottom"/>
            <w:gridSpan w:val="2"/>
          </w:tcPr>
          <w:p>
            <w:pPr>
              <w:ind w:left="120"/>
              <w:spacing w:after="0" w:line="114" w:lineRule="exact"/>
              <w:rPr>
                <w:sz w:val="20"/>
                <w:szCs w:val="20"/>
                <w:color w:val="auto"/>
              </w:rPr>
            </w:pPr>
            <w:r>
              <w:rPr>
                <w:rFonts w:ascii="Arial" w:cs="Arial" w:eastAsia="Arial" w:hAnsi="Arial"/>
                <w:sz w:val="13"/>
                <w:szCs w:val="13"/>
                <w:color w:val="auto"/>
                <w:w w:val="90"/>
              </w:rPr>
              <w:t>March 2019 / December</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Held-to-maturity</w:t>
            </w:r>
          </w:p>
        </w:tc>
        <w:tc>
          <w:tcPr>
            <w:tcW w:w="0" w:type="dxa"/>
            <w:vAlign w:val="bottom"/>
          </w:tcPr>
          <w:p>
            <w:pPr>
              <w:spacing w:after="0"/>
              <w:rPr>
                <w:sz w:val="1"/>
                <w:szCs w:val="1"/>
                <w:color w:val="auto"/>
              </w:rPr>
            </w:pPr>
          </w:p>
        </w:tc>
      </w:tr>
      <w:tr>
        <w:trPr>
          <w:trHeight w:val="146"/>
        </w:trPr>
        <w:tc>
          <w:tcPr>
            <w:tcW w:w="1400" w:type="dxa"/>
            <w:vAlign w:val="bottom"/>
          </w:tcPr>
          <w:p>
            <w:pPr>
              <w:spacing w:after="0" w:line="146" w:lineRule="exact"/>
              <w:rPr>
                <w:sz w:val="20"/>
                <w:szCs w:val="20"/>
                <w:color w:val="auto"/>
              </w:rPr>
            </w:pPr>
            <w:r>
              <w:rPr>
                <w:rFonts w:ascii="Arial" w:cs="Arial" w:eastAsia="Arial" w:hAnsi="Arial"/>
                <w:sz w:val="13"/>
                <w:szCs w:val="13"/>
                <w:color w:val="auto"/>
              </w:rPr>
              <w:t>(i)</w:t>
            </w:r>
          </w:p>
        </w:tc>
        <w:tc>
          <w:tcPr>
            <w:tcW w:w="12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U.S. Dollar</w:t>
            </w:r>
          </w:p>
        </w:tc>
        <w:tc>
          <w:tcPr>
            <w:tcW w:w="16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2019</w:t>
            </w:r>
          </w:p>
        </w:tc>
        <w:tc>
          <w:tcPr>
            <w:tcW w:w="10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505,950</w:t>
            </w:r>
          </w:p>
        </w:tc>
        <w:tc>
          <w:tcPr>
            <w:tcW w:w="13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investments and cash</w:t>
            </w:r>
          </w:p>
        </w:tc>
        <w:tc>
          <w:tcPr>
            <w:tcW w:w="14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2019</w:t>
            </w:r>
          </w:p>
        </w:tc>
        <w:tc>
          <w:tcPr>
            <w:tcW w:w="122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486,150</w:t>
            </w:r>
          </w:p>
        </w:tc>
        <w:tc>
          <w:tcPr>
            <w:tcW w:w="130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investments and cash</w:t>
            </w: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Natixis</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3"/>
                <w:szCs w:val="13"/>
                <w:color w:val="auto"/>
                <w:w w:val="94"/>
              </w:rPr>
              <w:t>FVOCI investments (*),</w:t>
            </w: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30"/>
        </w:trPr>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3"/>
                <w:szCs w:val="13"/>
                <w:color w:val="auto"/>
              </w:rPr>
              <w:t>amortized cost</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color w:val="auto"/>
              </w:rPr>
              <w:t>investments and</w:t>
            </w:r>
          </w:p>
        </w:tc>
        <w:tc>
          <w:tcPr>
            <w:tcW w:w="0" w:type="dxa"/>
            <w:vAlign w:val="bottom"/>
          </w:tcPr>
          <w:p>
            <w:pPr>
              <w:spacing w:after="0"/>
              <w:rPr>
                <w:sz w:val="1"/>
                <w:szCs w:val="1"/>
                <w:color w:val="auto"/>
              </w:rPr>
            </w:pPr>
          </w:p>
        </w:tc>
      </w:tr>
      <w:tr>
        <w:trPr>
          <w:trHeight w:val="130"/>
        </w:trPr>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January 2019 / March</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3"/>
                <w:szCs w:val="13"/>
                <w:color w:val="auto"/>
                <w:w w:val="96"/>
              </w:rPr>
              <w:t>investments and FVPL</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color w:val="auto"/>
              </w:rPr>
              <w:t>held-to-maturity</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3"/>
                <w:szCs w:val="13"/>
                <w:color w:val="auto"/>
              </w:rPr>
              <w:t>U.S. Dollar</w:t>
            </w: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2019</w:t>
            </w:r>
          </w:p>
        </w:tc>
        <w:tc>
          <w:tcPr>
            <w:tcW w:w="10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566,962</w:t>
            </w: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investments</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w w:val="86"/>
              </w:rPr>
              <w:t>January 2018 / July 2018</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293,944</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4"/>
        </w:trPr>
        <w:tc>
          <w:tcPr>
            <w:tcW w:w="1400" w:type="dxa"/>
            <w:vAlign w:val="bottom"/>
          </w:tcPr>
          <w:p>
            <w:pPr>
              <w:spacing w:after="0" w:line="114" w:lineRule="exact"/>
              <w:rPr>
                <w:sz w:val="20"/>
                <w:szCs w:val="20"/>
                <w:color w:val="auto"/>
              </w:rPr>
            </w:pPr>
            <w:r>
              <w:rPr>
                <w:rFonts w:ascii="Arial" w:cs="Arial" w:eastAsia="Arial" w:hAnsi="Arial"/>
                <w:sz w:val="13"/>
                <w:szCs w:val="13"/>
                <w:color w:val="auto"/>
                <w:w w:val="91"/>
              </w:rPr>
              <w:t>Nomura International PLC</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ind w:left="100"/>
              <w:spacing w:after="0" w:line="114" w:lineRule="exact"/>
              <w:rPr>
                <w:sz w:val="20"/>
                <w:szCs w:val="20"/>
                <w:color w:val="auto"/>
              </w:rPr>
            </w:pPr>
            <w:r>
              <w:rPr>
                <w:rFonts w:ascii="Arial" w:cs="Arial" w:eastAsia="Arial" w:hAnsi="Arial"/>
                <w:sz w:val="13"/>
                <w:szCs w:val="13"/>
                <w:color w:val="auto"/>
              </w:rPr>
              <w:t>Amortized cost</w:t>
            </w: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Held-to-maturity</w:t>
            </w:r>
          </w:p>
        </w:tc>
        <w:tc>
          <w:tcPr>
            <w:tcW w:w="0" w:type="dxa"/>
            <w:vAlign w:val="bottom"/>
          </w:tcPr>
          <w:p>
            <w:pPr>
              <w:spacing w:after="0"/>
              <w:rPr>
                <w:sz w:val="1"/>
                <w:szCs w:val="1"/>
                <w:color w:val="auto"/>
              </w:rPr>
            </w:pPr>
          </w:p>
        </w:tc>
      </w:tr>
      <w:tr>
        <w:trPr>
          <w:trHeight w:val="146"/>
        </w:trPr>
        <w:tc>
          <w:tcPr>
            <w:tcW w:w="1400" w:type="dxa"/>
            <w:vAlign w:val="bottom"/>
          </w:tcPr>
          <w:p>
            <w:pPr>
              <w:spacing w:after="0" w:line="146" w:lineRule="exact"/>
              <w:rPr>
                <w:sz w:val="20"/>
                <w:szCs w:val="20"/>
                <w:color w:val="auto"/>
              </w:rPr>
            </w:pPr>
            <w:r>
              <w:rPr>
                <w:rFonts w:ascii="Arial" w:cs="Arial" w:eastAsia="Arial" w:hAnsi="Arial"/>
                <w:sz w:val="13"/>
                <w:szCs w:val="13"/>
                <w:color w:val="auto"/>
              </w:rPr>
              <w:t>(ii)</w:t>
            </w:r>
          </w:p>
        </w:tc>
        <w:tc>
          <w:tcPr>
            <w:tcW w:w="12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U.S. Dollar</w:t>
            </w:r>
          </w:p>
        </w:tc>
        <w:tc>
          <w:tcPr>
            <w:tcW w:w="16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August 2020</w:t>
            </w:r>
          </w:p>
        </w:tc>
        <w:tc>
          <w:tcPr>
            <w:tcW w:w="10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269,840</w:t>
            </w:r>
          </w:p>
        </w:tc>
        <w:tc>
          <w:tcPr>
            <w:tcW w:w="13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investments and cash</w:t>
            </w:r>
          </w:p>
        </w:tc>
        <w:tc>
          <w:tcPr>
            <w:tcW w:w="14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August 2020</w:t>
            </w:r>
          </w:p>
        </w:tc>
        <w:tc>
          <w:tcPr>
            <w:tcW w:w="122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259,280</w:t>
            </w:r>
          </w:p>
        </w:tc>
        <w:tc>
          <w:tcPr>
            <w:tcW w:w="130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investments and cash</w:t>
            </w: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1"/>
              </w:rPr>
              <w:t>Nomura International PLC</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3"/>
                <w:szCs w:val="13"/>
                <w:color w:val="auto"/>
              </w:rPr>
              <w:t>Amortized cost</w:t>
            </w: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Held-to-maturity</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(iii)</w:t>
            </w:r>
          </w:p>
        </w:tc>
        <w:tc>
          <w:tcPr>
            <w:tcW w:w="128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3"/>
                <w:szCs w:val="13"/>
                <w:color w:val="auto"/>
              </w:rPr>
              <w:t>U.S. Dollar</w:t>
            </w: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August 2020</w:t>
            </w:r>
          </w:p>
        </w:tc>
        <w:tc>
          <w:tcPr>
            <w:tcW w:w="10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236,110</w:t>
            </w: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investments and cash</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August 2020</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226,870</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investments and cash</w:t>
            </w:r>
          </w:p>
        </w:tc>
        <w:tc>
          <w:tcPr>
            <w:tcW w:w="0" w:type="dxa"/>
            <w:vAlign w:val="bottom"/>
          </w:tcPr>
          <w:p>
            <w:pPr>
              <w:spacing w:after="0"/>
              <w:rPr>
                <w:sz w:val="1"/>
                <w:szCs w:val="1"/>
                <w:color w:val="auto"/>
              </w:rPr>
            </w:pPr>
          </w:p>
        </w:tc>
      </w:tr>
      <w:tr>
        <w:trPr>
          <w:trHeight w:val="114"/>
        </w:trPr>
        <w:tc>
          <w:tcPr>
            <w:tcW w:w="1400" w:type="dxa"/>
            <w:vAlign w:val="bottom"/>
          </w:tcPr>
          <w:p>
            <w:pPr>
              <w:spacing w:after="0" w:line="114" w:lineRule="exact"/>
              <w:rPr>
                <w:sz w:val="20"/>
                <w:szCs w:val="20"/>
                <w:color w:val="auto"/>
              </w:rPr>
            </w:pPr>
            <w:r>
              <w:rPr>
                <w:rFonts w:ascii="Arial" w:cs="Arial" w:eastAsia="Arial" w:hAnsi="Arial"/>
                <w:sz w:val="13"/>
                <w:szCs w:val="13"/>
                <w:color w:val="auto"/>
                <w:w w:val="96"/>
              </w:rPr>
              <w:t>Citigroup Global Markets</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46"/>
        </w:trPr>
        <w:tc>
          <w:tcPr>
            <w:tcW w:w="1400" w:type="dxa"/>
            <w:vAlign w:val="bottom"/>
          </w:tcPr>
          <w:p>
            <w:pPr>
              <w:spacing w:after="0" w:line="146" w:lineRule="exact"/>
              <w:rPr>
                <w:sz w:val="20"/>
                <w:szCs w:val="20"/>
                <w:color w:val="auto"/>
              </w:rPr>
            </w:pPr>
            <w:r>
              <w:rPr>
                <w:rFonts w:ascii="Arial" w:cs="Arial" w:eastAsia="Arial" w:hAnsi="Arial"/>
                <w:sz w:val="13"/>
                <w:szCs w:val="13"/>
                <w:color w:val="auto"/>
              </w:rPr>
              <w:t>Limited (iv)</w:t>
            </w:r>
          </w:p>
        </w:tc>
        <w:tc>
          <w:tcPr>
            <w:tcW w:w="12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U.S. Dollar</w:t>
            </w:r>
          </w:p>
        </w:tc>
        <w:tc>
          <w:tcPr>
            <w:tcW w:w="16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August 2026</w:t>
            </w:r>
          </w:p>
        </w:tc>
        <w:tc>
          <w:tcPr>
            <w:tcW w:w="10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151,785</w:t>
            </w:r>
          </w:p>
        </w:tc>
        <w:tc>
          <w:tcPr>
            <w:tcW w:w="1380" w:type="dxa"/>
            <w:vAlign w:val="bottom"/>
            <w:gridSpan w:val="2"/>
          </w:tcPr>
          <w:p>
            <w:pPr>
              <w:ind w:left="100"/>
              <w:spacing w:after="0" w:line="146" w:lineRule="exact"/>
              <w:rPr>
                <w:sz w:val="20"/>
                <w:szCs w:val="20"/>
                <w:color w:val="auto"/>
              </w:rPr>
            </w:pPr>
            <w:r>
              <w:rPr>
                <w:rFonts w:ascii="Arial" w:cs="Arial" w:eastAsia="Arial" w:hAnsi="Arial"/>
                <w:sz w:val="13"/>
                <w:szCs w:val="13"/>
                <w:color w:val="auto"/>
                <w:w w:val="96"/>
              </w:rPr>
              <w:t>FVOCI investments (*)</w:t>
            </w:r>
          </w:p>
        </w:tc>
        <w:tc>
          <w:tcPr>
            <w:tcW w:w="14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August 2026</w:t>
            </w:r>
          </w:p>
        </w:tc>
        <w:tc>
          <w:tcPr>
            <w:tcW w:w="122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145,845</w:t>
            </w:r>
          </w:p>
        </w:tc>
        <w:tc>
          <w:tcPr>
            <w:tcW w:w="130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6"/>
              </w:rPr>
              <w:t>Citigroup Global Markets</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3"/>
                <w:szCs w:val="13"/>
                <w:color w:val="auto"/>
              </w:rPr>
              <w:t>Amortized cost</w:t>
            </w: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Held-to-maturity</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Limited</w:t>
            </w:r>
          </w:p>
        </w:tc>
        <w:tc>
          <w:tcPr>
            <w:tcW w:w="128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3"/>
                <w:szCs w:val="13"/>
                <w:color w:val="auto"/>
              </w:rPr>
              <w:t>Soles</w:t>
            </w: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August 2020</w:t>
            </w:r>
          </w:p>
        </w:tc>
        <w:tc>
          <w:tcPr>
            <w:tcW w:w="10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100,000</w:t>
            </w: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investments</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August 2020</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100,000</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30"/>
        </w:trPr>
        <w:tc>
          <w:tcPr>
            <w:tcW w:w="1400" w:type="dxa"/>
            <w:vAlign w:val="bottom"/>
          </w:tcPr>
          <w:p>
            <w:pPr>
              <w:spacing w:after="0" w:line="131" w:lineRule="exact"/>
              <w:rPr>
                <w:sz w:val="20"/>
                <w:szCs w:val="20"/>
                <w:color w:val="auto"/>
              </w:rPr>
            </w:pPr>
            <w:r>
              <w:rPr>
                <w:rFonts w:ascii="Arial" w:cs="Arial" w:eastAsia="Arial" w:hAnsi="Arial"/>
                <w:sz w:val="13"/>
                <w:szCs w:val="13"/>
                <w:color w:val="auto"/>
                <w:w w:val="96"/>
              </w:rPr>
              <w:t>Banco Central de Bolivia</w:t>
            </w:r>
          </w:p>
        </w:tc>
        <w:tc>
          <w:tcPr>
            <w:tcW w:w="1280" w:type="dxa"/>
            <w:vAlign w:val="bottom"/>
            <w:gridSpan w:val="3"/>
          </w:tcPr>
          <w:p>
            <w:pPr>
              <w:ind w:left="100"/>
              <w:spacing w:after="0" w:line="131" w:lineRule="exact"/>
              <w:rPr>
                <w:sz w:val="20"/>
                <w:szCs w:val="20"/>
                <w:color w:val="auto"/>
              </w:rPr>
            </w:pPr>
            <w:r>
              <w:rPr>
                <w:rFonts w:ascii="Arial" w:cs="Arial" w:eastAsia="Arial" w:hAnsi="Arial"/>
                <w:sz w:val="13"/>
                <w:szCs w:val="13"/>
                <w:color w:val="auto"/>
              </w:rPr>
              <w:t>Bolivianos</w:t>
            </w:r>
          </w:p>
        </w:tc>
        <w:tc>
          <w:tcPr>
            <w:tcW w:w="160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May 2019</w:t>
            </w:r>
          </w:p>
        </w:tc>
        <w:tc>
          <w:tcPr>
            <w:tcW w:w="106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89,941</w:t>
            </w:r>
          </w:p>
        </w:tc>
        <w:tc>
          <w:tcPr>
            <w:tcW w:w="138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Cash</w:t>
            </w:r>
          </w:p>
        </w:tc>
        <w:tc>
          <w:tcPr>
            <w:tcW w:w="140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January 2018</w:t>
            </w:r>
          </w:p>
        </w:tc>
        <w:tc>
          <w:tcPr>
            <w:tcW w:w="122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90,134</w:t>
            </w:r>
          </w:p>
        </w:tc>
        <w:tc>
          <w:tcPr>
            <w:tcW w:w="130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Cash</w:t>
            </w: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Banco Económico S.A.</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3"/>
                <w:szCs w:val="13"/>
                <w:color w:val="auto"/>
              </w:rPr>
              <w:t>Amortized cost</w:t>
            </w: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3"/>
                <w:szCs w:val="13"/>
                <w:color w:val="auto"/>
              </w:rPr>
              <w:t>Bolivianos</w:t>
            </w: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October 2033</w:t>
            </w:r>
          </w:p>
        </w:tc>
        <w:tc>
          <w:tcPr>
            <w:tcW w:w="10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15,437</w:t>
            </w: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investments</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400" w:type="dxa"/>
            <w:vAlign w:val="bottom"/>
          </w:tcPr>
          <w:p>
            <w:pPr>
              <w:spacing w:after="0" w:line="131" w:lineRule="exact"/>
              <w:rPr>
                <w:sz w:val="20"/>
                <w:szCs w:val="20"/>
                <w:color w:val="auto"/>
              </w:rPr>
            </w:pPr>
            <w:r>
              <w:rPr>
                <w:rFonts w:ascii="Arial" w:cs="Arial" w:eastAsia="Arial" w:hAnsi="Arial"/>
                <w:sz w:val="13"/>
                <w:szCs w:val="13"/>
                <w:color w:val="auto"/>
              </w:rPr>
              <w:t>Banco de la República</w:t>
            </w:r>
          </w:p>
        </w:tc>
        <w:tc>
          <w:tcPr>
            <w:tcW w:w="1280" w:type="dxa"/>
            <w:vAlign w:val="bottom"/>
            <w:gridSpan w:val="3"/>
          </w:tcPr>
          <w:p>
            <w:pPr>
              <w:ind w:left="100"/>
              <w:spacing w:after="0" w:line="131" w:lineRule="exact"/>
              <w:rPr>
                <w:sz w:val="20"/>
                <w:szCs w:val="20"/>
                <w:color w:val="auto"/>
              </w:rPr>
            </w:pPr>
            <w:r>
              <w:rPr>
                <w:rFonts w:ascii="Arial" w:cs="Arial" w:eastAsia="Arial" w:hAnsi="Arial"/>
                <w:sz w:val="13"/>
                <w:szCs w:val="13"/>
                <w:color w:val="auto"/>
              </w:rPr>
              <w:t>Colombian Pesos</w:t>
            </w:r>
          </w:p>
        </w:tc>
        <w:tc>
          <w:tcPr>
            <w:tcW w:w="160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January 2019</w:t>
            </w:r>
          </w:p>
        </w:tc>
        <w:tc>
          <w:tcPr>
            <w:tcW w:w="106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42,607</w:t>
            </w:r>
          </w:p>
        </w:tc>
        <w:tc>
          <w:tcPr>
            <w:tcW w:w="138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FVPL investments</w:t>
            </w:r>
          </w:p>
        </w:tc>
        <w:tc>
          <w:tcPr>
            <w:tcW w:w="140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w:t>
            </w:r>
          </w:p>
        </w:tc>
        <w:tc>
          <w:tcPr>
            <w:tcW w:w="122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UBS</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40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3"/>
                <w:szCs w:val="13"/>
                <w:color w:val="auto"/>
              </w:rPr>
              <w:t>January 2018 / March</w:t>
            </w: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Held-to-maturity</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3"/>
                <w:szCs w:val="13"/>
                <w:color w:val="auto"/>
              </w:rPr>
              <w:t>U.S. Dollar</w:t>
            </w: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February 2019</w:t>
            </w:r>
          </w:p>
        </w:tc>
        <w:tc>
          <w:tcPr>
            <w:tcW w:w="10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33,255</w:t>
            </w: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w w:val="96"/>
              </w:rPr>
              <w:t>FVOCI investments (*)</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2018</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83,921</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4"/>
        </w:trPr>
        <w:tc>
          <w:tcPr>
            <w:tcW w:w="1400" w:type="dxa"/>
            <w:vAlign w:val="bottom"/>
          </w:tcPr>
          <w:p>
            <w:pPr>
              <w:spacing w:after="0" w:line="114" w:lineRule="exact"/>
              <w:rPr>
                <w:sz w:val="20"/>
                <w:szCs w:val="20"/>
                <w:color w:val="auto"/>
              </w:rPr>
            </w:pPr>
            <w:r>
              <w:rPr>
                <w:rFonts w:ascii="Arial" w:cs="Arial" w:eastAsia="Arial" w:hAnsi="Arial"/>
                <w:sz w:val="13"/>
                <w:szCs w:val="13"/>
                <w:color w:val="auto"/>
              </w:rPr>
              <w:t>Natixis S.A. (v)</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12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U.S. Dollar</w:t>
            </w:r>
          </w:p>
        </w:tc>
        <w:tc>
          <w:tcPr>
            <w:tcW w:w="16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August 2026</w:t>
            </w:r>
          </w:p>
        </w:tc>
        <w:tc>
          <w:tcPr>
            <w:tcW w:w="10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84,325</w:t>
            </w:r>
          </w:p>
        </w:tc>
        <w:tc>
          <w:tcPr>
            <w:tcW w:w="1380" w:type="dxa"/>
            <w:vAlign w:val="bottom"/>
            <w:gridSpan w:val="2"/>
          </w:tcPr>
          <w:p>
            <w:pPr>
              <w:ind w:left="100"/>
              <w:spacing w:after="0" w:line="146" w:lineRule="exact"/>
              <w:rPr>
                <w:sz w:val="20"/>
                <w:szCs w:val="20"/>
                <w:color w:val="auto"/>
              </w:rPr>
            </w:pPr>
            <w:r>
              <w:rPr>
                <w:rFonts w:ascii="Arial" w:cs="Arial" w:eastAsia="Arial" w:hAnsi="Arial"/>
                <w:sz w:val="13"/>
                <w:szCs w:val="13"/>
                <w:color w:val="auto"/>
                <w:w w:val="96"/>
              </w:rPr>
              <w:t>FVOCI investments (*)</w:t>
            </w:r>
          </w:p>
        </w:tc>
        <w:tc>
          <w:tcPr>
            <w:tcW w:w="14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August 2026</w:t>
            </w:r>
          </w:p>
        </w:tc>
        <w:tc>
          <w:tcPr>
            <w:tcW w:w="122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81,025</w:t>
            </w:r>
          </w:p>
        </w:tc>
        <w:tc>
          <w:tcPr>
            <w:tcW w:w="130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7"/>
              </w:rPr>
              <w:t>Other below S/22 million</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40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3"/>
                <w:szCs w:val="13"/>
                <w:color w:val="auto"/>
              </w:rPr>
              <w:t>January 2018 /</w:t>
            </w: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January 2019</w:t>
            </w:r>
          </w:p>
        </w:tc>
        <w:tc>
          <w:tcPr>
            <w:tcW w:w="10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21,606</w:t>
            </w:r>
          </w:p>
        </w:tc>
        <w:tc>
          <w:tcPr>
            <w:tcW w:w="13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FVPL investments</w:t>
            </w:r>
          </w:p>
        </w:tc>
        <w:tc>
          <w:tcPr>
            <w:tcW w:w="14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December 2032</w:t>
            </w:r>
          </w:p>
        </w:tc>
        <w:tc>
          <w:tcPr>
            <w:tcW w:w="122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46,069</w:t>
            </w:r>
          </w:p>
        </w:tc>
        <w:tc>
          <w:tcPr>
            <w:tcW w:w="1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42"/>
        </w:trPr>
        <w:tc>
          <w:tcPr>
            <w:tcW w:w="1400" w:type="dxa"/>
            <w:vAlign w:val="bottom"/>
          </w:tcPr>
          <w:p>
            <w:pPr>
              <w:spacing w:after="0" w:line="143" w:lineRule="exact"/>
              <w:rPr>
                <w:sz w:val="20"/>
                <w:szCs w:val="20"/>
                <w:color w:val="auto"/>
              </w:rPr>
            </w:pPr>
            <w:r>
              <w:rPr>
                <w:rFonts w:ascii="Arial" w:cs="Arial" w:eastAsia="Arial" w:hAnsi="Arial"/>
                <w:sz w:val="13"/>
                <w:szCs w:val="13"/>
                <w:color w:val="auto"/>
              </w:rPr>
              <w:t>Accrued interest</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88,207</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gridSpan w:val="3"/>
          </w:tcPr>
          <w:p>
            <w:pPr>
              <w:jc w:val="right"/>
              <w:ind w:right="160"/>
              <w:spacing w:after="0" w:line="143" w:lineRule="exact"/>
              <w:rPr>
                <w:sz w:val="20"/>
                <w:szCs w:val="20"/>
                <w:color w:val="auto"/>
              </w:rPr>
            </w:pPr>
            <w:r>
              <w:rPr>
                <w:rFonts w:ascii="Arial" w:cs="Arial" w:eastAsia="Arial" w:hAnsi="Arial"/>
                <w:sz w:val="13"/>
                <w:szCs w:val="13"/>
                <w:color w:val="auto"/>
              </w:rPr>
              <w:t>205,530</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3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7,944,790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11,874,800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 This item includes investments at fair value through other comprehensive income</w:t>
      </w:r>
    </w:p>
    <w:p>
      <w:pPr>
        <w:spacing w:after="0" w:line="195" w:lineRule="exact"/>
        <w:rPr>
          <w:sz w:val="20"/>
          <w:szCs w:val="20"/>
          <w:color w:val="auto"/>
        </w:rPr>
      </w:pPr>
    </w:p>
    <w:p>
      <w:pPr>
        <w:jc w:val="both"/>
        <w:ind w:left="281"/>
        <w:spacing w:after="0" w:line="258" w:lineRule="auto"/>
        <w:rPr>
          <w:sz w:val="20"/>
          <w:szCs w:val="20"/>
          <w:color w:val="auto"/>
        </w:rPr>
      </w:pPr>
      <w:r>
        <w:rPr>
          <w:rFonts w:ascii="Arial" w:cs="Arial" w:eastAsia="Arial" w:hAnsi="Arial"/>
          <w:sz w:val="16"/>
          <w:szCs w:val="16"/>
          <w:color w:val="auto"/>
        </w:rPr>
        <w:t>At December 31, 2018, said operations accrue interest at fixed and variable rates between 0.09 percent and 7.20 percent and between Libor 3M + 0.35 percent and Libor 6M + 1.90 percent, respectively, (between 1.00 percent and 7.20 percent and between Libor 3M + 0.35 percent and Libor 6M + 1.90 percent, respectively, at December 31, 2017).</w:t>
      </w:r>
    </w:p>
    <w:p>
      <w:pPr>
        <w:spacing w:after="0" w:line="16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Certain repurchase agreements were hedged using interest rate swaps (IRS) and cross-currency swaps (CCS), as detailed below:</w:t>
      </w:r>
    </w:p>
    <w:p>
      <w:pPr>
        <w:spacing w:after="0" w:line="195" w:lineRule="exact"/>
        <w:rPr>
          <w:sz w:val="20"/>
          <w:szCs w:val="20"/>
          <w:color w:val="auto"/>
        </w:rPr>
      </w:pPr>
    </w:p>
    <w:p>
      <w:pPr>
        <w:ind w:left="561" w:hanging="276"/>
        <w:spacing w:after="0" w:line="258" w:lineRule="auto"/>
        <w:tabs>
          <w:tab w:leader="none" w:pos="561"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 December 31, 2018, the Group holds five IRS which were designated as cash flow hedges of certain repurchase agreements at variable rate for a notional amount of US$150.0 million, equivalent to S/506.0 million (US$150.0 million, equivalent to S/486.2 million, at December 31, 2017). By using these IRS, those repurchase agreements were economically converted to fixed interest rate; see Note 12(b).</w:t>
      </w:r>
    </w:p>
    <w:p>
      <w:pPr>
        <w:spacing w:after="0" w:line="165" w:lineRule="exact"/>
        <w:rPr>
          <w:rFonts w:ascii="Arial" w:cs="Arial" w:eastAsia="Arial" w:hAnsi="Arial"/>
          <w:sz w:val="16"/>
          <w:szCs w:val="16"/>
          <w:color w:val="auto"/>
        </w:rPr>
      </w:pPr>
    </w:p>
    <w:p>
      <w:pPr>
        <w:ind w:left="561" w:right="60" w:hanging="276"/>
        <w:spacing w:after="0" w:line="312" w:lineRule="auto"/>
        <w:tabs>
          <w:tab w:leader="none" w:pos="561" w:val="left"/>
        </w:tabs>
        <w:numPr>
          <w:ilvl w:val="0"/>
          <w:numId w:val="80"/>
        </w:numPr>
        <w:rPr>
          <w:rFonts w:ascii="Arial" w:cs="Arial" w:eastAsia="Arial" w:hAnsi="Arial"/>
          <w:sz w:val="14"/>
          <w:szCs w:val="14"/>
          <w:color w:val="auto"/>
        </w:rPr>
      </w:pPr>
      <w:r>
        <w:rPr>
          <w:rFonts w:ascii="Arial" w:cs="Arial" w:eastAsia="Arial" w:hAnsi="Arial"/>
          <w:sz w:val="14"/>
          <w:szCs w:val="14"/>
          <w:color w:val="auto"/>
        </w:rPr>
        <w:t>At December 31, 2018, the Group maintains an IRS and a CCS, which were together designated as a cash flow hedge of a repurchase agreement in U.S. dollars at variable interest rate for a notional amount of US$80.0 million, equivalent to S/269.8 million (US$80.0 million, equivalent to S/259.3 million, at December 31, 2017). By means of the IRS and the CCS, said repurchase agreement was economically converted to soles at a fixed interest rate, See Note 12(b).</w:t>
      </w:r>
    </w:p>
    <w:p>
      <w:pPr>
        <w:spacing w:after="0" w:line="130" w:lineRule="exact"/>
        <w:rPr>
          <w:rFonts w:ascii="Arial" w:cs="Arial" w:eastAsia="Arial" w:hAnsi="Arial"/>
          <w:sz w:val="14"/>
          <w:szCs w:val="14"/>
          <w:color w:val="auto"/>
        </w:rPr>
      </w:pPr>
    </w:p>
    <w:p>
      <w:pPr>
        <w:ind w:left="561" w:right="140" w:hanging="276"/>
        <w:spacing w:after="0" w:line="283" w:lineRule="auto"/>
        <w:tabs>
          <w:tab w:leader="none" w:pos="561" w:val="left"/>
        </w:tabs>
        <w:numPr>
          <w:ilvl w:val="0"/>
          <w:numId w:val="80"/>
        </w:numPr>
        <w:rPr>
          <w:rFonts w:ascii="Arial" w:cs="Arial" w:eastAsia="Arial" w:hAnsi="Arial"/>
          <w:sz w:val="15"/>
          <w:szCs w:val="15"/>
          <w:color w:val="auto"/>
        </w:rPr>
      </w:pPr>
      <w:r>
        <w:rPr>
          <w:rFonts w:ascii="Arial" w:cs="Arial" w:eastAsia="Arial" w:hAnsi="Arial"/>
          <w:sz w:val="15"/>
          <w:szCs w:val="15"/>
          <w:color w:val="auto"/>
        </w:rPr>
        <w:t>At December 31, 2018, the Group maintains a CCS which were designated as a cash flow hedge for a repurchase agreement in U.S. dollars at variable rate for a notional amount of US$70.0 million, equivalent to S/236.1million (approximately US$70.0 million, equivalent to S/226.9 million, at December 31, 2017). By means of the CCS, this repurchase agreement was economically converted to soles at a fixed interest rate. See Note 12(b).</w:t>
      </w:r>
    </w:p>
    <w:p>
      <w:pPr>
        <w:spacing w:after="0" w:line="148" w:lineRule="exact"/>
        <w:rPr>
          <w:rFonts w:ascii="Arial" w:cs="Arial" w:eastAsia="Arial" w:hAnsi="Arial"/>
          <w:sz w:val="15"/>
          <w:szCs w:val="15"/>
          <w:color w:val="auto"/>
        </w:rPr>
      </w:pPr>
    </w:p>
    <w:p>
      <w:pPr>
        <w:ind w:left="561" w:hanging="276"/>
        <w:spacing w:after="0" w:line="258" w:lineRule="auto"/>
        <w:tabs>
          <w:tab w:leader="none" w:pos="561"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December 31, 2018, the Group maintains two CCS which were designated as a cash flow hedge of two repurchase agreements in U.S. dollars at variable rate for a total notional amount of US$45.0 million, equivalent to S/151.8 million (approximately US$45.0 million, equivalent to S/145.8 million, at December 31, 2017). By means of the CCS, said repurchase agreements were economically converted to soles; see Note 12(b).</w:t>
      </w:r>
    </w:p>
    <w:p>
      <w:pPr>
        <w:spacing w:after="0" w:line="165" w:lineRule="exact"/>
        <w:rPr>
          <w:rFonts w:ascii="Arial" w:cs="Arial" w:eastAsia="Arial" w:hAnsi="Arial"/>
          <w:sz w:val="16"/>
          <w:szCs w:val="16"/>
          <w:color w:val="auto"/>
        </w:rPr>
      </w:pPr>
    </w:p>
    <w:p>
      <w:pPr>
        <w:ind w:left="561" w:right="80" w:hanging="276"/>
        <w:spacing w:after="0" w:line="283" w:lineRule="auto"/>
        <w:tabs>
          <w:tab w:leader="none" w:pos="561" w:val="left"/>
        </w:tabs>
        <w:numPr>
          <w:ilvl w:val="0"/>
          <w:numId w:val="80"/>
        </w:numPr>
        <w:rPr>
          <w:rFonts w:ascii="Arial" w:cs="Arial" w:eastAsia="Arial" w:hAnsi="Arial"/>
          <w:sz w:val="15"/>
          <w:szCs w:val="15"/>
          <w:color w:val="auto"/>
        </w:rPr>
      </w:pPr>
      <w:r>
        <w:rPr>
          <w:rFonts w:ascii="Arial" w:cs="Arial" w:eastAsia="Arial" w:hAnsi="Arial"/>
          <w:sz w:val="15"/>
          <w:szCs w:val="15"/>
          <w:color w:val="auto"/>
        </w:rPr>
        <w:t>At December 31, 2018, the Group maintains a CCS which were designated as a cash flow hedge of a repurchase agreement in U.S. dollars at variable rate for a notional amount of US$25.0 million, equivalent to S/84.3 million (approximately US$25.0 million, equivalent to S/81.0 million, at December 31, 2017). By means of the CCS, said repurchase agreement was economically converted to soles at a fixed interest rate; see Note 12(b).</w:t>
      </w:r>
    </w:p>
    <w:p>
      <w:pPr>
        <w:spacing w:after="0" w:line="338" w:lineRule="exact"/>
        <w:rPr>
          <w:rFonts w:ascii="Arial" w:cs="Arial" w:eastAsia="Arial" w:hAnsi="Arial"/>
          <w:sz w:val="15"/>
          <w:szCs w:val="15"/>
          <w:color w:val="auto"/>
        </w:rPr>
      </w:pPr>
    </w:p>
    <w:p>
      <w:pPr>
        <w:ind w:left="5361" w:hanging="91"/>
        <w:spacing w:after="0"/>
        <w:tabs>
          <w:tab w:leader="none" w:pos="5361" w:val="left"/>
        </w:tabs>
        <w:numPr>
          <w:ilvl w:val="1"/>
          <w:numId w:val="80"/>
        </w:numPr>
        <w:rPr>
          <w:rFonts w:ascii="Arial" w:cs="Arial" w:eastAsia="Arial" w:hAnsi="Arial"/>
          <w:sz w:val="16"/>
          <w:szCs w:val="16"/>
          <w:color w:val="auto"/>
        </w:rPr>
      </w:pPr>
      <w:r>
        <w:rPr>
          <w:rFonts w:ascii="Arial" w:cs="Arial" w:eastAsia="Arial" w:hAnsi="Arial"/>
          <w:sz w:val="16"/>
          <w:szCs w:val="16"/>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4" w:right="239" w:bottom="1440" w:gutter="0" w:footer="0" w:header="0"/>
        </w:sectPr>
      </w:pPr>
    </w:p>
    <w:bookmarkStart w:id="69" w:name="page70"/>
    <w:bookmarkEnd w:id="69"/>
    <w:p>
      <w:pPr>
        <w:ind w:left="285" w:hanging="285"/>
        <w:spacing w:after="0"/>
        <w:tabs>
          <w:tab w:leader="none" w:pos="285"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81"/>
        </w:numPr>
        <w:rPr>
          <w:rFonts w:ascii="Arial" w:cs="Arial" w:eastAsia="Arial" w:hAnsi="Arial"/>
          <w:sz w:val="16"/>
          <w:szCs w:val="16"/>
          <w:color w:val="auto"/>
        </w:rPr>
      </w:pPr>
      <w:r>
        <w:rPr>
          <w:rFonts w:ascii="Arial" w:cs="Arial" w:eastAsia="Arial" w:hAnsi="Arial"/>
          <w:sz w:val="16"/>
          <w:szCs w:val="16"/>
          <w:color w:val="auto"/>
        </w:rPr>
        <w:t>Investment at fair value through profit or loss consist of the following:</w:t>
      </w:r>
    </w:p>
    <w:p>
      <w:pPr>
        <w:spacing w:after="0" w:line="39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3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r>
      <w:tr>
        <w:trPr>
          <w:trHeight w:val="198"/>
        </w:trPr>
        <w:tc>
          <w:tcPr>
            <w:tcW w:w="75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7"/>
                <w:szCs w:val="17"/>
                <w:color w:val="auto"/>
              </w:rPr>
            </w:pPr>
          </w:p>
        </w:tc>
      </w:tr>
      <w:tr>
        <w:trPr>
          <w:trHeight w:val="175"/>
        </w:trPr>
        <w:tc>
          <w:tcPr>
            <w:tcW w:w="7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Government treasury bonds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1,318,311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1,174,613</w:t>
            </w:r>
          </w:p>
        </w:tc>
        <w:tc>
          <w:tcPr>
            <w:tcW w:w="10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Participation in RAL Fund (i)</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445,039</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Restricted mutual funds (ii)</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407,350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Investment funds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323,455</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mutual funds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310,265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52,380</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Multilateral organization bonds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223,777</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260,342</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Corporate and leasing bonds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160,006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205,819</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Listed shares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101,068</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122,398</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Subordinated bonds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94,413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27,789</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Hedge funds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44,335</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Negotiable certificates of deposit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29,496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74,086</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Certificates of deposit BCRP</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2,102,331</w:t>
            </w:r>
          </w:p>
        </w:tc>
        <w:tc>
          <w:tcPr>
            <w:tcW w:w="100" w:type="dxa"/>
            <w:vAlign w:val="bottom"/>
          </w:tcPr>
          <w:p>
            <w:pPr>
              <w:spacing w:after="0"/>
              <w:rPr>
                <w:sz w:val="16"/>
                <w:szCs w:val="16"/>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50,061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1,053</w:t>
            </w:r>
          </w:p>
        </w:tc>
      </w:tr>
      <w:tr>
        <w:trPr>
          <w:trHeight w:val="182"/>
        </w:trPr>
        <w:tc>
          <w:tcPr>
            <w:tcW w:w="7560" w:type="dxa"/>
            <w:vAlign w:val="bottom"/>
          </w:tcPr>
          <w:p>
            <w:pPr>
              <w:spacing w:after="0" w:line="181" w:lineRule="exact"/>
              <w:rPr>
                <w:sz w:val="20"/>
                <w:szCs w:val="20"/>
                <w:color w:val="auto"/>
              </w:rPr>
            </w:pPr>
            <w:r>
              <w:rPr>
                <w:rFonts w:ascii="Arial" w:cs="Arial" w:eastAsia="Arial" w:hAnsi="Arial"/>
                <w:sz w:val="16"/>
                <w:szCs w:val="16"/>
                <w:color w:val="auto"/>
              </w:rPr>
              <w:t>Balance before accrued interest</w:t>
            </w: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3,507,576</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4,020,811</w:t>
            </w:r>
          </w:p>
        </w:tc>
        <w:tc>
          <w:tcPr>
            <w:tcW w:w="100" w:type="dxa"/>
            <w:vAlign w:val="bottom"/>
          </w:tcPr>
          <w:p>
            <w:pPr>
              <w:spacing w:after="0"/>
              <w:rPr>
                <w:sz w:val="15"/>
                <w:szCs w:val="15"/>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4,869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3,926</w:t>
            </w:r>
          </w:p>
        </w:tc>
      </w:tr>
      <w:tr>
        <w:trPr>
          <w:trHeight w:val="193"/>
        </w:trPr>
        <w:tc>
          <w:tcPr>
            <w:tcW w:w="75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3,512,445</w:t>
            </w:r>
          </w:p>
        </w:tc>
        <w:tc>
          <w:tcPr>
            <w:tcW w:w="2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4,024,737</w:t>
            </w:r>
          </w:p>
        </w:tc>
        <w:tc>
          <w:tcPr>
            <w:tcW w:w="100" w:type="dxa"/>
            <w:vAlign w:val="bottom"/>
          </w:tcPr>
          <w:p>
            <w:pPr>
              <w:spacing w:after="0"/>
              <w:rPr>
                <w:sz w:val="16"/>
                <w:szCs w:val="16"/>
                <w:color w:val="auto"/>
              </w:rPr>
            </w:pPr>
          </w:p>
        </w:tc>
      </w:tr>
      <w:tr>
        <w:trPr>
          <w:trHeight w:val="20"/>
        </w:trPr>
        <w:tc>
          <w:tcPr>
            <w:tcW w:w="7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spacing w:after="0" w:line="269" w:lineRule="auto"/>
        <w:rPr>
          <w:sz w:val="20"/>
          <w:szCs w:val="20"/>
          <w:color w:val="auto"/>
        </w:rPr>
      </w:pPr>
      <w:r>
        <w:rPr>
          <w:rFonts w:ascii="Arial" w:cs="Arial" w:eastAsia="Arial" w:hAnsi="Arial"/>
          <w:sz w:val="16"/>
          <w:szCs w:val="16"/>
          <w:color w:val="auto"/>
        </w:rPr>
        <w:t>The balances as of December 31, 2018 have been prepared in accordance with IFRS 9; and are not comparable to the balances as of December 31, 2017, which were prepared in accordance with IAS 39, see Note 3(f).</w:t>
      </w:r>
    </w:p>
    <w:p>
      <w:pPr>
        <w:spacing w:after="0" w:line="157" w:lineRule="exact"/>
        <w:rPr>
          <w:sz w:val="20"/>
          <w:szCs w:val="20"/>
          <w:color w:val="auto"/>
        </w:rPr>
      </w:pPr>
    </w:p>
    <w:p>
      <w:pPr>
        <w:ind w:left="845" w:right="160" w:hanging="276"/>
        <w:spacing w:after="0" w:line="258" w:lineRule="auto"/>
        <w:tabs>
          <w:tab w:leader="none" w:pos="84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At December 31, 2018, these funds total approximately S/174.3 million in bolivianos and S/270.7 million in U.S. dollars and comprise the investments made by the Group in the Central Bank of Bolivia as collateral for deposits received from the public. These funds have restrictions for their use and are required from all banks in Bolivia.</w:t>
      </w:r>
    </w:p>
    <w:p>
      <w:pPr>
        <w:spacing w:after="0" w:line="165" w:lineRule="exact"/>
        <w:rPr>
          <w:rFonts w:ascii="Arial" w:cs="Arial" w:eastAsia="Arial" w:hAnsi="Arial"/>
          <w:sz w:val="16"/>
          <w:szCs w:val="16"/>
          <w:color w:val="auto"/>
        </w:rPr>
      </w:pPr>
    </w:p>
    <w:p>
      <w:pPr>
        <w:ind w:left="845" w:right="320" w:hanging="276"/>
        <w:spacing w:after="0" w:line="303" w:lineRule="auto"/>
        <w:tabs>
          <w:tab w:leader="none" w:pos="845"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restricted mutual funds comprise the participation quotas in the private pension funds managed by the Group, and are maintained in compliance with the legal regulations in Peru. Their availability is restricted and the yield received is the same as that received by the private pension funds managed.</w:t>
      </w:r>
    </w:p>
    <w:p>
      <w:pPr>
        <w:spacing w:after="0" w:line="323" w:lineRule="exact"/>
        <w:rPr>
          <w:rFonts w:ascii="Arial" w:cs="Arial" w:eastAsia="Arial" w:hAnsi="Arial"/>
          <w:sz w:val="15"/>
          <w:szCs w:val="15"/>
          <w:color w:val="auto"/>
        </w:rPr>
      </w:pPr>
    </w:p>
    <w:p>
      <w:pPr>
        <w:ind w:left="5645" w:hanging="91"/>
        <w:spacing w:after="0"/>
        <w:tabs>
          <w:tab w:leader="none" w:pos="5645" w:val="left"/>
        </w:tabs>
        <w:numPr>
          <w:ilvl w:val="1"/>
          <w:numId w:val="82"/>
        </w:numPr>
        <w:rPr>
          <w:rFonts w:ascii="Arial" w:cs="Arial" w:eastAsia="Arial" w:hAnsi="Arial"/>
          <w:sz w:val="16"/>
          <w:szCs w:val="16"/>
          <w:color w:val="auto"/>
        </w:rPr>
      </w:pPr>
      <w:r>
        <w:rPr>
          <w:rFonts w:ascii="Arial" w:cs="Arial" w:eastAsia="Arial" w:hAnsi="Arial"/>
          <w:sz w:val="16"/>
          <w:szCs w:val="16"/>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1" w:right="219" w:bottom="1440" w:gutter="0" w:footer="0" w:header="0"/>
        </w:sectPr>
      </w:pPr>
    </w:p>
    <w:bookmarkStart w:id="70" w:name="page71"/>
    <w:bookmarkEnd w:id="70"/>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Investments at fair value through other comprehensive income consist of the following:</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Amortized</w:t>
            </w:r>
          </w:p>
        </w:tc>
        <w:tc>
          <w:tcPr>
            <w:tcW w:w="2780" w:type="dxa"/>
            <w:vAlign w:val="bottom"/>
            <w:gridSpan w:val="5"/>
          </w:tcPr>
          <w:p>
            <w:pPr>
              <w:jc w:val="center"/>
              <w:ind w:right="141"/>
              <w:spacing w:after="0"/>
              <w:rPr>
                <w:sz w:val="20"/>
                <w:szCs w:val="20"/>
                <w:color w:val="auto"/>
              </w:rPr>
            </w:pPr>
            <w:r>
              <w:rPr>
                <w:rFonts w:ascii="Arial" w:cs="Arial" w:eastAsia="Arial" w:hAnsi="Arial"/>
                <w:sz w:val="16"/>
                <w:szCs w:val="16"/>
                <w:b w:val="1"/>
                <w:bCs w:val="1"/>
                <w:color w:val="auto"/>
                <w:w w:val="87"/>
              </w:rPr>
              <w:t>Unrealized gross amount</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8"/>
              </w:rPr>
              <w:t>Estimated</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78"/>
              </w:rPr>
              <w:t>cost</w:t>
            </w:r>
          </w:p>
        </w:tc>
        <w:tc>
          <w:tcPr>
            <w:tcW w:w="1600" w:type="dxa"/>
            <w:vAlign w:val="bottom"/>
            <w:gridSpan w:val="3"/>
          </w:tcPr>
          <w:p>
            <w:pPr>
              <w:ind w:left="360"/>
              <w:spacing w:after="0"/>
              <w:rPr>
                <w:sz w:val="20"/>
                <w:szCs w:val="20"/>
                <w:color w:val="auto"/>
              </w:rPr>
            </w:pPr>
            <w:r>
              <w:rPr>
                <w:rFonts w:ascii="Arial" w:cs="Arial" w:eastAsia="Arial" w:hAnsi="Arial"/>
                <w:sz w:val="16"/>
                <w:szCs w:val="16"/>
                <w:b w:val="1"/>
                <w:bCs w:val="1"/>
                <w:color w:val="auto"/>
              </w:rPr>
              <w:t>Profits</w:t>
            </w:r>
          </w:p>
        </w:tc>
        <w:tc>
          <w:tcPr>
            <w:tcW w:w="1180" w:type="dxa"/>
            <w:vAlign w:val="bottom"/>
            <w:gridSpan w:val="2"/>
          </w:tcPr>
          <w:p>
            <w:pPr>
              <w:jc w:val="right"/>
              <w:ind w:right="501"/>
              <w:spacing w:after="0"/>
              <w:rPr>
                <w:sz w:val="20"/>
                <w:szCs w:val="20"/>
                <w:color w:val="auto"/>
              </w:rPr>
            </w:pPr>
            <w:r>
              <w:rPr>
                <w:rFonts w:ascii="Arial" w:cs="Arial" w:eastAsia="Arial" w:hAnsi="Arial"/>
                <w:sz w:val="16"/>
                <w:szCs w:val="16"/>
                <w:b w:val="1"/>
                <w:bCs w:val="1"/>
                <w:color w:val="auto"/>
              </w:rPr>
              <w:t>Losses</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198"/>
        </w:trPr>
        <w:tc>
          <w:tcPr>
            <w:tcW w:w="522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Debts instruments: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Corporate, leasing and subordinated bonds (i)</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8,478,834</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212,549</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(185,603)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8,505,780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Certificates of deposit BCRP (ii)</w:t>
            </w:r>
          </w:p>
        </w:tc>
        <w:tc>
          <w:tcPr>
            <w:tcW w:w="1180" w:type="dxa"/>
            <w:vAlign w:val="bottom"/>
          </w:tcPr>
          <w:p>
            <w:pPr>
              <w:jc w:val="right"/>
              <w:spacing w:after="0"/>
              <w:rPr>
                <w:sz w:val="20"/>
                <w:szCs w:val="20"/>
                <w:color w:val="auto"/>
              </w:rPr>
            </w:pPr>
            <w:r>
              <w:rPr>
                <w:rFonts w:ascii="Arial" w:cs="Arial" w:eastAsia="Arial" w:hAnsi="Arial"/>
                <w:sz w:val="16"/>
                <w:szCs w:val="16"/>
                <w:color w:val="auto"/>
              </w:rPr>
              <w:t>9,833,776</w:t>
            </w:r>
          </w:p>
        </w:tc>
        <w:tc>
          <w:tcPr>
            <w:tcW w:w="2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189</w:t>
            </w:r>
          </w:p>
        </w:tc>
        <w:tc>
          <w:tcPr>
            <w:tcW w:w="200" w:type="dxa"/>
            <w:vAlign w:val="bottom"/>
          </w:tcPr>
          <w:p>
            <w:pPr>
              <w:spacing w:after="0"/>
              <w:rPr>
                <w:sz w:val="16"/>
                <w:szCs w:val="16"/>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6"/>
                <w:szCs w:val="16"/>
                <w:color w:val="auto"/>
              </w:rPr>
              <w:t>(4,381)</w:t>
            </w:r>
          </w:p>
        </w:tc>
        <w:tc>
          <w:tcPr>
            <w:tcW w:w="1160" w:type="dxa"/>
            <w:vAlign w:val="bottom"/>
          </w:tcPr>
          <w:p>
            <w:pPr>
              <w:jc w:val="right"/>
              <w:spacing w:after="0"/>
              <w:rPr>
                <w:sz w:val="20"/>
                <w:szCs w:val="20"/>
                <w:color w:val="auto"/>
              </w:rPr>
            </w:pPr>
            <w:r>
              <w:rPr>
                <w:rFonts w:ascii="Arial" w:cs="Arial" w:eastAsia="Arial" w:hAnsi="Arial"/>
                <w:sz w:val="16"/>
                <w:szCs w:val="16"/>
                <w:color w:val="auto"/>
              </w:rPr>
              <w:t>9,829,584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Government treasury bonds (iii)</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4,977,422</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260,939</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(47,613)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5,190,748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Securitization instruments (iv)</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505,976</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22,492</w:t>
            </w:r>
          </w:p>
        </w:tc>
        <w:tc>
          <w:tcPr>
            <w:tcW w:w="200" w:type="dxa"/>
            <w:vAlign w:val="bottom"/>
          </w:tcPr>
          <w:p>
            <w:pPr>
              <w:spacing w:after="0"/>
              <w:rPr>
                <w:sz w:val="16"/>
                <w:szCs w:val="16"/>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6"/>
                <w:szCs w:val="16"/>
                <w:color w:val="auto"/>
              </w:rPr>
              <w:t>(9,980)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518,488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Negotiable certificates of deposit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280,828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2,981</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(250)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283,559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20" w:type="dxa"/>
            <w:vAlign w:val="bottom"/>
          </w:tcPr>
          <w:p>
            <w:pPr>
              <w:spacing w:after="0"/>
              <w:rPr>
                <w:sz w:val="20"/>
                <w:szCs w:val="20"/>
                <w:color w:val="auto"/>
              </w:rPr>
            </w:pPr>
            <w:r>
              <w:rPr>
                <w:rFonts w:ascii="Arial" w:cs="Arial" w:eastAsia="Arial" w:hAnsi="Arial"/>
                <w:sz w:val="16"/>
                <w:szCs w:val="16"/>
                <w:color w:val="auto"/>
              </w:rPr>
              <w:t>Others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3,384</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3,384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24,080,220</w:t>
            </w:r>
          </w:p>
        </w:tc>
        <w:tc>
          <w:tcPr>
            <w:tcW w:w="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499,150</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(247,827)</w:t>
            </w: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24,331,543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b w:val="1"/>
                <w:bCs w:val="1"/>
                <w:color w:val="auto"/>
              </w:rPr>
              <w:t>Equity instruments designated at the initial recognition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b w:val="1"/>
                <w:bCs w:val="1"/>
                <w:color w:val="auto"/>
              </w:rPr>
              <w:t>Shares issued by:</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Alicorp S.A.A.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12,198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218,994</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231,192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Inversiones Centenario</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112,647</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236,063</w:t>
            </w:r>
          </w:p>
        </w:tc>
        <w:tc>
          <w:tcPr>
            <w:tcW w:w="200" w:type="dxa"/>
            <w:vAlign w:val="bottom"/>
          </w:tcPr>
          <w:p>
            <w:pPr>
              <w:spacing w:after="0"/>
              <w:rPr>
                <w:sz w:val="16"/>
                <w:szCs w:val="16"/>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348,710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Bolsa de Valores de Lima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19,698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9,363</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29,061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Bolsa de Comercio de Santiago</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8,808</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5,360</w:t>
            </w:r>
          </w:p>
        </w:tc>
        <w:tc>
          <w:tcPr>
            <w:tcW w:w="200" w:type="dxa"/>
            <w:vAlign w:val="bottom"/>
          </w:tcPr>
          <w:p>
            <w:pPr>
              <w:spacing w:after="0"/>
              <w:rPr>
                <w:sz w:val="16"/>
                <w:szCs w:val="16"/>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14,168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Compañía Universal Textil S.A.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9,597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(3,397)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Bolsa de Valores de Colombia</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4,585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6"/>
                <w:szCs w:val="16"/>
                <w:color w:val="auto"/>
              </w:rPr>
              <w:t>(211)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4,374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12,099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3,418</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2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179,632</w:t>
            </w:r>
          </w:p>
        </w:tc>
        <w:tc>
          <w:tcPr>
            <w:tcW w:w="2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473,446</w:t>
            </w:r>
          </w:p>
        </w:tc>
        <w:tc>
          <w:tcPr>
            <w:tcW w:w="2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(3,608</w:t>
            </w:r>
          </w:p>
        </w:tc>
        <w:tc>
          <w:tcPr>
            <w:tcW w:w="220" w:type="dxa"/>
            <w:vAlign w:val="bottom"/>
            <w:tcBorders>
              <w:bottom w:val="single" w:sz="8" w:color="CCEEFF"/>
            </w:tcBorders>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649,470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b w:val="1"/>
                <w:bCs w:val="1"/>
                <w:color w:val="auto"/>
              </w:rPr>
              <w:t>Balance before accrued interest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24,259,852</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972,596</w:t>
            </w:r>
          </w:p>
        </w:tc>
        <w:tc>
          <w:tcPr>
            <w:tcW w:w="200" w:type="dxa"/>
            <w:vAlign w:val="bottom"/>
          </w:tcPr>
          <w:p>
            <w:pPr>
              <w:spacing w:after="0"/>
              <w:rPr>
                <w:sz w:val="16"/>
                <w:szCs w:val="16"/>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6"/>
                <w:szCs w:val="16"/>
                <w:color w:val="auto"/>
              </w:rPr>
              <w:t>(251,435)</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24,981,013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214,822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25,195,835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right="40"/>
        <w:spacing w:after="0" w:line="273" w:lineRule="auto"/>
        <w:rPr>
          <w:sz w:val="20"/>
          <w:szCs w:val="20"/>
          <w:color w:val="auto"/>
        </w:rPr>
      </w:pPr>
      <w:r>
        <w:rPr>
          <w:rFonts w:ascii="Arial" w:cs="Arial" w:eastAsia="Arial" w:hAnsi="Arial"/>
          <w:sz w:val="15"/>
          <w:szCs w:val="15"/>
          <w:color w:val="auto"/>
        </w:rPr>
        <w:t>The Management of Credicorp has determined that the unrealized losses on investment at fair value through other comprehensive income at December 31, 2018 are of a temporary nature, considering factors such as intended strategy in relation to the identified security or portfolio, its underlying collateral and credit rating of the issuers. During 2018, as a result of the impairment of its investments at fair value through other comprehensive income, the Group recorded an expected loss of S/2.4 million, which is shown in “Net gain on securities” in the consolidated statement of income. Also, Management has decided and has the ability to hold each investment for a period of time sufficient to allow for an anticipated recovery in fair value, until the earlier of its anticipated recovery or maturity.</w:t>
      </w:r>
    </w:p>
    <w:p>
      <w:pPr>
        <w:spacing w:after="0" w:line="157" w:lineRule="exact"/>
        <w:rPr>
          <w:sz w:val="20"/>
          <w:szCs w:val="20"/>
          <w:color w:val="auto"/>
        </w:rPr>
      </w:pPr>
    </w:p>
    <w:p>
      <w:pPr>
        <w:ind w:left="280"/>
        <w:spacing w:after="0" w:line="269" w:lineRule="auto"/>
        <w:rPr>
          <w:sz w:val="20"/>
          <w:szCs w:val="20"/>
          <w:color w:val="auto"/>
        </w:rPr>
      </w:pPr>
      <w:r>
        <w:rPr>
          <w:rFonts w:ascii="Arial" w:cs="Arial" w:eastAsia="Arial" w:hAnsi="Arial"/>
          <w:sz w:val="16"/>
          <w:szCs w:val="16"/>
          <w:color w:val="auto"/>
        </w:rPr>
        <w:t>The movement of the “Reserve for investments at fair value through other comprehensive income, net of deferred income tax and non-controlling interest, is shown in Note 17(c).</w:t>
      </w:r>
    </w:p>
    <w:p>
      <w:pPr>
        <w:spacing w:after="0" w:line="157" w:lineRule="exact"/>
        <w:rPr>
          <w:sz w:val="20"/>
          <w:szCs w:val="20"/>
          <w:color w:val="auto"/>
        </w:rPr>
      </w:pPr>
    </w:p>
    <w:p>
      <w:pPr>
        <w:ind w:left="280" w:right="220"/>
        <w:spacing w:after="0" w:line="269" w:lineRule="auto"/>
        <w:rPr>
          <w:sz w:val="20"/>
          <w:szCs w:val="20"/>
          <w:color w:val="auto"/>
        </w:rPr>
      </w:pPr>
      <w:r>
        <w:rPr>
          <w:rFonts w:ascii="Arial" w:cs="Arial" w:eastAsia="Arial" w:hAnsi="Arial"/>
          <w:sz w:val="16"/>
          <w:szCs w:val="16"/>
          <w:color w:val="auto"/>
        </w:rPr>
        <w:t>During 2018, the Group has not reclassified instruments from the portfolio of investments at fair value through other comprehensive income to investments at amortized cost.</w:t>
      </w:r>
    </w:p>
    <w:p>
      <w:pPr>
        <w:spacing w:after="0" w:line="34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0"/>
          </w:cols>
          <w:pgMar w:left="520" w:top="815" w:right="219" w:bottom="1440" w:gutter="0" w:footer="0" w:header="0"/>
        </w:sectPr>
      </w:pPr>
    </w:p>
    <w:bookmarkStart w:id="71" w:name="page72"/>
    <w:bookmarkEnd w:id="71"/>
    <w:p>
      <w:pPr>
        <w:jc w:val="both"/>
        <w:ind w:right="80"/>
        <w:spacing w:after="0" w:line="258" w:lineRule="auto"/>
        <w:rPr>
          <w:sz w:val="20"/>
          <w:szCs w:val="20"/>
          <w:color w:val="auto"/>
        </w:rPr>
      </w:pPr>
      <w:r>
        <w:rPr>
          <w:rFonts w:ascii="Arial" w:cs="Arial" w:eastAsia="Arial" w:hAnsi="Arial"/>
          <w:sz w:val="16"/>
          <w:szCs w:val="16"/>
          <w:color w:val="auto"/>
        </w:rPr>
        <w:t>At December 31, 2018, the Group maintains IRS, which have been designated as fair value hedges of certain bonds at a fixed rate in US dollars, issued by Government, corporate and international financial entities, for a nominal amount of S/923.9 million, see Note 12(b); through these IRS these bonds were economically converted to a variable rate.</w:t>
      </w:r>
    </w:p>
    <w:p>
      <w:pPr>
        <w:spacing w:after="0" w:line="165" w:lineRule="exact"/>
        <w:rPr>
          <w:sz w:val="20"/>
          <w:szCs w:val="20"/>
          <w:color w:val="auto"/>
        </w:rPr>
      </w:pPr>
    </w:p>
    <w:p>
      <w:pPr>
        <w:ind w:right="340"/>
        <w:spacing w:after="0" w:line="312" w:lineRule="auto"/>
        <w:rPr>
          <w:sz w:val="20"/>
          <w:szCs w:val="20"/>
          <w:color w:val="auto"/>
        </w:rPr>
      </w:pPr>
      <w:r>
        <w:rPr>
          <w:rFonts w:ascii="Arial" w:cs="Arial" w:eastAsia="Arial" w:hAnsi="Arial"/>
          <w:sz w:val="14"/>
          <w:szCs w:val="14"/>
          <w:color w:val="auto"/>
        </w:rPr>
        <w:t>Likewise, at the end of the same year, the Group entered into repurchase agreement transactions for corporate bonds, multilateral organization bonds and foreign government bonds classified as investments at fair value through other comprehensive income, for an estimated fair value of S/2,138.9 million, of which the related liability is presented in “Payables from repurchase agreements and securities lending” of the consolidated statement of financial position, see Note 5(c).</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and annual market rates of investments at fair value through other comprehensive income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0" w:type="dxa"/>
            <w:vAlign w:val="bottom"/>
          </w:tcPr>
          <w:p>
            <w:pPr>
              <w:spacing w:after="0"/>
              <w:rPr>
                <w:sz w:val="17"/>
                <w:szCs w:val="17"/>
                <w:color w:val="auto"/>
              </w:rPr>
            </w:pPr>
          </w:p>
        </w:tc>
        <w:tc>
          <w:tcPr>
            <w:tcW w:w="1620" w:type="dxa"/>
            <w:vAlign w:val="bottom"/>
            <w:gridSpan w:val="3"/>
          </w:tcPr>
          <w:p>
            <w:pPr>
              <w:ind w:left="360"/>
              <w:spacing w:after="0"/>
              <w:rPr>
                <w:sz w:val="20"/>
                <w:szCs w:val="20"/>
                <w:color w:val="auto"/>
              </w:rPr>
            </w:pPr>
            <w:r>
              <w:rPr>
                <w:rFonts w:ascii="Arial" w:cs="Arial" w:eastAsia="Arial" w:hAnsi="Arial"/>
                <w:sz w:val="16"/>
                <w:szCs w:val="16"/>
                <w:b w:val="1"/>
                <w:bCs w:val="1"/>
                <w:color w:val="auto"/>
              </w:rPr>
              <w:t>Maturities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w w:val="91"/>
              </w:rPr>
              <w:t>Annual effective interest rate</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30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940"/>
              <w:spacing w:after="0"/>
              <w:rPr>
                <w:sz w:val="20"/>
                <w:szCs w:val="20"/>
                <w:color w:val="auto"/>
              </w:rPr>
            </w:pPr>
            <w:r>
              <w:rPr>
                <w:rFonts w:ascii="Arial" w:cs="Arial" w:eastAsia="Arial" w:hAnsi="Arial"/>
                <w:sz w:val="16"/>
                <w:szCs w:val="16"/>
                <w:b w:val="1"/>
                <w:bCs w:val="1"/>
                <w:color w:val="auto"/>
                <w:w w:val="79"/>
              </w:rPr>
              <w:t>S/</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US$</w:t>
            </w: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jc w:val="right"/>
              <w:ind w:right="281"/>
              <w:spacing w:after="0"/>
              <w:rPr>
                <w:sz w:val="20"/>
                <w:szCs w:val="20"/>
                <w:color w:val="auto"/>
              </w:rPr>
            </w:pPr>
            <w:r>
              <w:rPr>
                <w:rFonts w:ascii="Arial" w:cs="Arial" w:eastAsia="Arial" w:hAnsi="Arial"/>
                <w:sz w:val="16"/>
                <w:szCs w:val="16"/>
                <w:b w:val="1"/>
                <w:bCs w:val="1"/>
                <w:color w:val="auto"/>
              </w:rPr>
              <w:t>Other currencies</w:t>
            </w:r>
          </w:p>
        </w:tc>
        <w:tc>
          <w:tcPr>
            <w:tcW w:w="100" w:type="dxa"/>
            <w:vAlign w:val="bottom"/>
          </w:tcPr>
          <w:p>
            <w:pPr>
              <w:spacing w:after="0"/>
              <w:rPr>
                <w:sz w:val="16"/>
                <w:szCs w:val="16"/>
                <w:color w:val="auto"/>
              </w:rPr>
            </w:pPr>
          </w:p>
        </w:tc>
      </w:tr>
      <w:tr>
        <w:trPr>
          <w:trHeight w:val="165"/>
        </w:trPr>
        <w:tc>
          <w:tcPr>
            <w:tcW w:w="3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tcPr>
          <w:p>
            <w:pPr>
              <w:jc w:val="right"/>
              <w:ind w:right="201"/>
              <w:spacing w:after="0" w:line="165" w:lineRule="exact"/>
              <w:rPr>
                <w:sz w:val="20"/>
                <w:szCs w:val="20"/>
                <w:color w:val="auto"/>
              </w:rPr>
            </w:pPr>
            <w:r>
              <w:rPr>
                <w:rFonts w:ascii="Arial" w:cs="Arial" w:eastAsia="Arial" w:hAnsi="Arial"/>
                <w:sz w:val="16"/>
                <w:szCs w:val="16"/>
                <w:b w:val="1"/>
                <w:bCs w:val="1"/>
                <w:color w:val="auto"/>
              </w:rPr>
              <w:t>Min</w:t>
            </w:r>
          </w:p>
        </w:tc>
        <w:tc>
          <w:tcPr>
            <w:tcW w:w="1000" w:type="dxa"/>
            <w:vAlign w:val="bottom"/>
            <w:tcBorders>
              <w:top w:val="single" w:sz="8" w:color="auto"/>
            </w:tcBorders>
          </w:tcPr>
          <w:p>
            <w:pPr>
              <w:jc w:val="right"/>
              <w:ind w:right="181"/>
              <w:spacing w:after="0" w:line="165" w:lineRule="exact"/>
              <w:rPr>
                <w:sz w:val="20"/>
                <w:szCs w:val="20"/>
                <w:color w:val="auto"/>
              </w:rPr>
            </w:pPr>
            <w:r>
              <w:rPr>
                <w:rFonts w:ascii="Arial" w:cs="Arial" w:eastAsia="Arial" w:hAnsi="Arial"/>
                <w:sz w:val="16"/>
                <w:szCs w:val="16"/>
                <w:b w:val="1"/>
                <w:bCs w:val="1"/>
                <w:color w:val="auto"/>
              </w:rPr>
              <w:t>Max</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jc w:val="right"/>
              <w:ind w:right="541"/>
              <w:spacing w:after="0" w:line="165" w:lineRule="exact"/>
              <w:rPr>
                <w:sz w:val="20"/>
                <w:szCs w:val="20"/>
                <w:color w:val="auto"/>
              </w:rPr>
            </w:pPr>
            <w:r>
              <w:rPr>
                <w:rFonts w:ascii="Arial" w:cs="Arial" w:eastAsia="Arial" w:hAnsi="Arial"/>
                <w:sz w:val="16"/>
                <w:szCs w:val="16"/>
                <w:b w:val="1"/>
                <w:bCs w:val="1"/>
                <w:color w:val="auto"/>
              </w:rPr>
              <w:t>Min</w:t>
            </w:r>
          </w:p>
        </w:tc>
        <w:tc>
          <w:tcPr>
            <w:tcW w:w="680" w:type="dxa"/>
            <w:vAlign w:val="bottom"/>
            <w:tcBorders>
              <w:top w:val="single" w:sz="8" w:color="auto"/>
            </w:tcBorders>
          </w:tcPr>
          <w:p>
            <w:pPr>
              <w:jc w:val="right"/>
              <w:ind w:right="181"/>
              <w:spacing w:after="0" w:line="165" w:lineRule="exact"/>
              <w:rPr>
                <w:sz w:val="20"/>
                <w:szCs w:val="20"/>
                <w:color w:val="auto"/>
              </w:rPr>
            </w:pPr>
            <w:r>
              <w:rPr>
                <w:rFonts w:ascii="Arial" w:cs="Arial" w:eastAsia="Arial" w:hAnsi="Arial"/>
                <w:sz w:val="16"/>
                <w:szCs w:val="16"/>
                <w:b w:val="1"/>
                <w:bCs w:val="1"/>
                <w:color w:val="auto"/>
              </w:rPr>
              <w:t>Max</w:t>
            </w:r>
          </w:p>
        </w:tc>
        <w:tc>
          <w:tcPr>
            <w:tcW w:w="200" w:type="dxa"/>
            <w:vAlign w:val="bottom"/>
          </w:tcPr>
          <w:p>
            <w:pPr>
              <w:spacing w:after="0"/>
              <w:rPr>
                <w:sz w:val="14"/>
                <w:szCs w:val="14"/>
                <w:color w:val="auto"/>
              </w:rPr>
            </w:pPr>
          </w:p>
        </w:tc>
        <w:tc>
          <w:tcPr>
            <w:tcW w:w="1040" w:type="dxa"/>
            <w:vAlign w:val="bottom"/>
            <w:tcBorders>
              <w:top w:val="single" w:sz="8" w:color="auto"/>
            </w:tcBorders>
          </w:tcPr>
          <w:p>
            <w:pPr>
              <w:jc w:val="right"/>
              <w:ind w:right="421"/>
              <w:spacing w:after="0" w:line="165" w:lineRule="exact"/>
              <w:rPr>
                <w:sz w:val="20"/>
                <w:szCs w:val="20"/>
                <w:color w:val="auto"/>
              </w:rPr>
            </w:pPr>
            <w:r>
              <w:rPr>
                <w:rFonts w:ascii="Arial" w:cs="Arial" w:eastAsia="Arial" w:hAnsi="Arial"/>
                <w:sz w:val="16"/>
                <w:szCs w:val="16"/>
                <w:b w:val="1"/>
                <w:bCs w:val="1"/>
                <w:color w:val="auto"/>
              </w:rPr>
              <w:t>Min</w:t>
            </w:r>
          </w:p>
        </w:tc>
        <w:tc>
          <w:tcPr>
            <w:tcW w:w="800" w:type="dxa"/>
            <w:vAlign w:val="bottom"/>
            <w:tcBorders>
              <w:top w:val="single" w:sz="8" w:color="auto"/>
            </w:tcBorders>
          </w:tcPr>
          <w:p>
            <w:pPr>
              <w:jc w:val="right"/>
              <w:ind w:right="181"/>
              <w:spacing w:after="0" w:line="165" w:lineRule="exact"/>
              <w:rPr>
                <w:sz w:val="20"/>
                <w:szCs w:val="20"/>
                <w:color w:val="auto"/>
              </w:rPr>
            </w:pPr>
            <w:r>
              <w:rPr>
                <w:rFonts w:ascii="Arial" w:cs="Arial" w:eastAsia="Arial" w:hAnsi="Arial"/>
                <w:sz w:val="16"/>
                <w:szCs w:val="16"/>
                <w:b w:val="1"/>
                <w:bCs w:val="1"/>
                <w:color w:val="auto"/>
              </w:rPr>
              <w:t>Max</w:t>
            </w:r>
          </w:p>
        </w:tc>
        <w:tc>
          <w:tcPr>
            <w:tcW w:w="100" w:type="dxa"/>
            <w:vAlign w:val="bottom"/>
          </w:tcPr>
          <w:p>
            <w:pPr>
              <w:spacing w:after="0"/>
              <w:rPr>
                <w:sz w:val="14"/>
                <w:szCs w:val="14"/>
                <w:color w:val="auto"/>
              </w:rPr>
            </w:pPr>
          </w:p>
        </w:tc>
      </w:tr>
      <w:tr>
        <w:trPr>
          <w:trHeight w:val="205"/>
        </w:trPr>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56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r>
      <w:tr>
        <w:trPr>
          <w:trHeight w:val="190"/>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w w:val="97"/>
              </w:rPr>
              <w:t>Corporate, leasing and subordinated bonds</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9"/>
              </w:rPr>
              <w:t>Jan-2019 / Feb-2065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11.90</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1.16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11.39</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0.94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w:t>
            </w:r>
          </w:p>
        </w:tc>
      </w:tr>
      <w:tr>
        <w:trPr>
          <w:trHeight w:val="190"/>
        </w:trPr>
        <w:tc>
          <w:tcPr>
            <w:tcW w:w="3000" w:type="dxa"/>
            <w:vAlign w:val="bottom"/>
          </w:tcPr>
          <w:p>
            <w:pPr>
              <w:spacing w:after="0"/>
              <w:rPr>
                <w:sz w:val="20"/>
                <w:szCs w:val="20"/>
                <w:color w:val="auto"/>
              </w:rPr>
            </w:pPr>
            <w:r>
              <w:rPr>
                <w:rFonts w:ascii="Arial" w:cs="Arial" w:eastAsia="Arial" w:hAnsi="Arial"/>
                <w:sz w:val="16"/>
                <w:szCs w:val="16"/>
                <w:color w:val="auto"/>
              </w:rPr>
              <w:t>Certificates of deposit BCRP</w:t>
            </w:r>
          </w:p>
        </w:tc>
        <w:tc>
          <w:tcPr>
            <w:tcW w:w="1620" w:type="dxa"/>
            <w:vAlign w:val="bottom"/>
            <w:gridSpan w:val="3"/>
          </w:tcPr>
          <w:p>
            <w:pPr>
              <w:ind w:left="120"/>
              <w:spacing w:after="0"/>
              <w:rPr>
                <w:sz w:val="20"/>
                <w:szCs w:val="20"/>
                <w:color w:val="auto"/>
              </w:rPr>
            </w:pPr>
            <w:r>
              <w:rPr>
                <w:rFonts w:ascii="Arial" w:cs="Arial" w:eastAsia="Arial" w:hAnsi="Arial"/>
                <w:sz w:val="16"/>
                <w:szCs w:val="16"/>
                <w:color w:val="auto"/>
              </w:rPr>
              <w:t>Jan-2019 / Jun-2020</w:t>
            </w:r>
          </w:p>
        </w:tc>
        <w:tc>
          <w:tcPr>
            <w:tcW w:w="840" w:type="dxa"/>
            <w:vAlign w:val="bottom"/>
          </w:tcPr>
          <w:p>
            <w:pPr>
              <w:jc w:val="right"/>
              <w:spacing w:after="0"/>
              <w:rPr>
                <w:sz w:val="20"/>
                <w:szCs w:val="20"/>
                <w:color w:val="auto"/>
              </w:rPr>
            </w:pPr>
            <w:r>
              <w:rPr>
                <w:rFonts w:ascii="Arial" w:cs="Arial" w:eastAsia="Arial" w:hAnsi="Arial"/>
                <w:sz w:val="16"/>
                <w:szCs w:val="16"/>
                <w:color w:val="auto"/>
              </w:rPr>
              <w:t>2.59</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3.04</w:t>
            </w:r>
          </w:p>
        </w:tc>
        <w:tc>
          <w:tcPr>
            <w:tcW w:w="1280" w:type="dxa"/>
            <w:vAlign w:val="bottom"/>
            <w:gridSpan w:val="2"/>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Government treasury bonds</w:t>
            </w:r>
          </w:p>
        </w:tc>
        <w:tc>
          <w:tcPr>
            <w:tcW w:w="7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6"/>
              </w:rPr>
              <w:t>Jan-2019</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Feb-2055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6.50</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1.22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7.07</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0.60</w:t>
            </w:r>
          </w:p>
        </w:tc>
      </w:tr>
      <w:tr>
        <w:trPr>
          <w:trHeight w:val="190"/>
        </w:trPr>
        <w:tc>
          <w:tcPr>
            <w:tcW w:w="3000" w:type="dxa"/>
            <w:vAlign w:val="bottom"/>
          </w:tcPr>
          <w:p>
            <w:pPr>
              <w:spacing w:after="0"/>
              <w:rPr>
                <w:sz w:val="20"/>
                <w:szCs w:val="20"/>
                <w:color w:val="auto"/>
              </w:rPr>
            </w:pPr>
            <w:r>
              <w:rPr>
                <w:rFonts w:ascii="Arial" w:cs="Arial" w:eastAsia="Arial" w:hAnsi="Arial"/>
                <w:sz w:val="16"/>
                <w:szCs w:val="16"/>
                <w:color w:val="auto"/>
              </w:rPr>
              <w:t>Securitization instruments</w:t>
            </w:r>
          </w:p>
        </w:tc>
        <w:tc>
          <w:tcPr>
            <w:tcW w:w="720" w:type="dxa"/>
            <w:vAlign w:val="bottom"/>
          </w:tcPr>
          <w:p>
            <w:pPr>
              <w:ind w:left="100"/>
              <w:spacing w:after="0"/>
              <w:rPr>
                <w:sz w:val="20"/>
                <w:szCs w:val="20"/>
                <w:color w:val="auto"/>
              </w:rPr>
            </w:pPr>
            <w:r>
              <w:rPr>
                <w:rFonts w:ascii="Arial" w:cs="Arial" w:eastAsia="Arial" w:hAnsi="Arial"/>
                <w:sz w:val="16"/>
                <w:szCs w:val="16"/>
                <w:color w:val="auto"/>
                <w:w w:val="89"/>
              </w:rPr>
              <w:t>Jun-2019</w:t>
            </w:r>
          </w:p>
        </w:tc>
        <w:tc>
          <w:tcPr>
            <w:tcW w:w="900" w:type="dxa"/>
            <w:vAlign w:val="bottom"/>
            <w:gridSpan w:val="2"/>
          </w:tcPr>
          <w:p>
            <w:pPr>
              <w:ind w:left="20"/>
              <w:spacing w:after="0"/>
              <w:rPr>
                <w:sz w:val="20"/>
                <w:szCs w:val="20"/>
                <w:color w:val="auto"/>
              </w:rPr>
            </w:pPr>
            <w:r>
              <w:rPr>
                <w:rFonts w:ascii="Arial" w:cs="Arial" w:eastAsia="Arial" w:hAnsi="Arial"/>
                <w:sz w:val="16"/>
                <w:szCs w:val="16"/>
                <w:color w:val="auto"/>
              </w:rPr>
              <w:t>/ Sep-2045</w:t>
            </w:r>
          </w:p>
        </w:tc>
        <w:tc>
          <w:tcPr>
            <w:tcW w:w="840" w:type="dxa"/>
            <w:vAlign w:val="bottom"/>
          </w:tcPr>
          <w:p>
            <w:pPr>
              <w:jc w:val="right"/>
              <w:spacing w:after="0"/>
              <w:rPr>
                <w:sz w:val="20"/>
                <w:szCs w:val="20"/>
                <w:color w:val="auto"/>
              </w:rPr>
            </w:pPr>
            <w:r>
              <w:rPr>
                <w:rFonts w:ascii="Arial" w:cs="Arial" w:eastAsia="Arial" w:hAnsi="Arial"/>
                <w:sz w:val="16"/>
                <w:szCs w:val="16"/>
                <w:color w:val="auto"/>
              </w:rPr>
              <w:t>3.40</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14.81</w:t>
            </w:r>
          </w:p>
        </w:tc>
        <w:tc>
          <w:tcPr>
            <w:tcW w:w="1280" w:type="dxa"/>
            <w:vAlign w:val="bottom"/>
            <w:gridSpan w:val="2"/>
          </w:tcPr>
          <w:p>
            <w:pPr>
              <w:jc w:val="right"/>
              <w:ind w:right="261"/>
              <w:spacing w:after="0"/>
              <w:rPr>
                <w:sz w:val="20"/>
                <w:szCs w:val="20"/>
                <w:color w:val="auto"/>
              </w:rPr>
            </w:pPr>
            <w:r>
              <w:rPr>
                <w:rFonts w:ascii="Arial" w:cs="Arial" w:eastAsia="Arial" w:hAnsi="Arial"/>
                <w:sz w:val="16"/>
                <w:szCs w:val="16"/>
                <w:color w:val="auto"/>
              </w:rPr>
              <w:t>4.56</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6.85</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1.68</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6.00</w:t>
            </w:r>
          </w:p>
        </w:tc>
      </w:tr>
      <w:tr>
        <w:trPr>
          <w:trHeight w:val="190"/>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Negotiable certificates of deposits</w:t>
            </w:r>
          </w:p>
        </w:tc>
        <w:tc>
          <w:tcPr>
            <w:tcW w:w="16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Jan-2019 / Dec-2026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4.54</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w:t>
            </w:r>
          </w:p>
        </w:tc>
      </w:tr>
    </w:tbl>
    <w:p>
      <w:pPr>
        <w:spacing w:after="0" w:line="177" w:lineRule="exact"/>
        <w:rPr>
          <w:sz w:val="20"/>
          <w:szCs w:val="20"/>
          <w:color w:val="auto"/>
        </w:rPr>
      </w:pPr>
    </w:p>
    <w:p>
      <w:pPr>
        <w:ind w:left="280" w:hanging="276"/>
        <w:spacing w:after="0"/>
        <w:tabs>
          <w:tab w:leader="none" w:pos="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At December 31, 2018 the most significant individual unrealized loss amounted to approximately S/8.2 million.</w:t>
      </w:r>
    </w:p>
    <w:p>
      <w:pPr>
        <w:spacing w:after="0" w:line="195" w:lineRule="exact"/>
        <w:rPr>
          <w:rFonts w:ascii="Arial" w:cs="Arial" w:eastAsia="Arial" w:hAnsi="Arial"/>
          <w:sz w:val="16"/>
          <w:szCs w:val="16"/>
          <w:color w:val="auto"/>
        </w:rPr>
      </w:pPr>
    </w:p>
    <w:p>
      <w:pPr>
        <w:ind w:left="280"/>
        <w:spacing w:after="0" w:line="269" w:lineRule="auto"/>
        <w:rPr>
          <w:rFonts w:ascii="Arial" w:cs="Arial" w:eastAsia="Arial" w:hAnsi="Arial"/>
          <w:sz w:val="16"/>
          <w:szCs w:val="16"/>
          <w:color w:val="auto"/>
        </w:rPr>
      </w:pPr>
      <w:r>
        <w:rPr>
          <w:rFonts w:ascii="Arial" w:cs="Arial" w:eastAsia="Arial" w:hAnsi="Arial"/>
          <w:sz w:val="16"/>
          <w:szCs w:val="16"/>
          <w:color w:val="auto"/>
        </w:rPr>
        <w:t>Likewise, the Group maintains CCS, which were designated as cash flow hedges of certain corporate bonds for a nominal amount of S/136.1million, see Note 12(b); by means of said CCS, the bonds were economically converted to soles at a fixed rate.</w:t>
      </w:r>
    </w:p>
    <w:p>
      <w:pPr>
        <w:spacing w:after="0" w:line="156" w:lineRule="exact"/>
        <w:rPr>
          <w:rFonts w:ascii="Arial" w:cs="Arial" w:eastAsia="Arial" w:hAnsi="Arial"/>
          <w:sz w:val="16"/>
          <w:szCs w:val="16"/>
          <w:color w:val="auto"/>
        </w:rPr>
      </w:pPr>
    </w:p>
    <w:p>
      <w:pPr>
        <w:ind w:left="280" w:right="500"/>
        <w:spacing w:after="0" w:line="269" w:lineRule="auto"/>
        <w:rPr>
          <w:rFonts w:ascii="Arial" w:cs="Arial" w:eastAsia="Arial" w:hAnsi="Arial"/>
          <w:sz w:val="16"/>
          <w:szCs w:val="16"/>
          <w:color w:val="auto"/>
        </w:rPr>
      </w:pPr>
      <w:r>
        <w:rPr>
          <w:rFonts w:ascii="Arial" w:cs="Arial" w:eastAsia="Arial" w:hAnsi="Arial"/>
          <w:sz w:val="16"/>
          <w:szCs w:val="16"/>
          <w:color w:val="auto"/>
        </w:rPr>
        <w:t>In December 2018, according to the foreign exchange exposure strategy, the Group discontinued the cash flow hedge of a certain corporate bond through the liquidation of the CCS whose notional amount at that date amounted to US$13.0 million, equivalent to S/43.8 million.</w:t>
      </w:r>
    </w:p>
    <w:p>
      <w:pPr>
        <w:spacing w:after="0" w:line="156" w:lineRule="exact"/>
        <w:rPr>
          <w:rFonts w:ascii="Arial" w:cs="Arial" w:eastAsia="Arial" w:hAnsi="Arial"/>
          <w:sz w:val="16"/>
          <w:szCs w:val="16"/>
          <w:color w:val="auto"/>
        </w:rPr>
      </w:pPr>
    </w:p>
    <w:p>
      <w:pPr>
        <w:ind w:left="280" w:right="160" w:hanging="276"/>
        <w:spacing w:after="0" w:line="269" w:lineRule="auto"/>
        <w:tabs>
          <w:tab w:leader="none" w:pos="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Group maintains 99,587 BCRP certificates of deposit of the Central Reserve Bank of Peru, which are instruments issued at a discount through public auction, traded on the Peruvian secondary market and payable in soles.</w:t>
      </w:r>
    </w:p>
    <w:p>
      <w:pPr>
        <w:spacing w:after="0" w:line="346" w:lineRule="exact"/>
        <w:rPr>
          <w:rFonts w:ascii="Arial" w:cs="Arial" w:eastAsia="Arial" w:hAnsi="Arial"/>
          <w:sz w:val="16"/>
          <w:szCs w:val="16"/>
          <w:color w:val="auto"/>
        </w:rPr>
      </w:pPr>
    </w:p>
    <w:p>
      <w:pPr>
        <w:ind w:left="5080" w:hanging="91"/>
        <w:spacing w:after="0"/>
        <w:tabs>
          <w:tab w:leader="none" w:pos="50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700"/>
          </w:cols>
          <w:pgMar w:left="800" w:top="815" w:right="3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1"/>
        </w:trPr>
        <w:tc>
          <w:tcPr>
            <w:tcW w:w="9140" w:type="dxa"/>
            <w:vAlign w:val="bottom"/>
            <w:gridSpan w:val="2"/>
          </w:tcPr>
          <w:p>
            <w:pPr>
              <w:spacing w:after="0"/>
              <w:rPr>
                <w:sz w:val="20"/>
                <w:szCs w:val="20"/>
                <w:color w:val="auto"/>
              </w:rPr>
            </w:pPr>
            <w:r>
              <w:rPr>
                <w:rFonts w:ascii="Arial" w:cs="Arial" w:eastAsia="Arial" w:hAnsi="Arial"/>
                <w:sz w:val="16"/>
                <w:szCs w:val="16"/>
                <w:color w:val="auto"/>
              </w:rPr>
              <w:t>(iii) At December 31, 2018, the balance includes the following Government Treasury Bonds: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Peruvian sovereign bonds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4,706,121</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color w:val="auto"/>
              </w:rPr>
              <w:t>Colombian sovereign bonds</w:t>
            </w:r>
          </w:p>
        </w:tc>
        <w:tc>
          <w:tcPr>
            <w:tcW w:w="1340" w:type="dxa"/>
            <w:vAlign w:val="bottom"/>
          </w:tcPr>
          <w:p>
            <w:pPr>
              <w:jc w:val="right"/>
              <w:spacing w:after="0"/>
              <w:rPr>
                <w:sz w:val="20"/>
                <w:szCs w:val="20"/>
                <w:color w:val="auto"/>
              </w:rPr>
            </w:pPr>
            <w:r>
              <w:rPr>
                <w:rFonts w:ascii="Arial" w:cs="Arial" w:eastAsia="Arial" w:hAnsi="Arial"/>
                <w:sz w:val="16"/>
                <w:szCs w:val="16"/>
                <w:color w:val="auto"/>
              </w:rPr>
              <w:t>137,936</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Chilean sovereign bonds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119,517</w:t>
            </w:r>
          </w:p>
        </w:tc>
      </w:tr>
      <w:tr>
        <w:trPr>
          <w:trHeight w:val="190"/>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color w:val="auto"/>
              </w:rPr>
              <w:t>Bolivian sovereign bonds</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90,370</w:t>
            </w:r>
          </w:p>
        </w:tc>
      </w:tr>
      <w:tr>
        <w:trPr>
          <w:trHeight w:val="202"/>
        </w:trPr>
        <w:tc>
          <w:tcPr>
            <w:tcW w:w="28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136,804</w:t>
            </w:r>
          </w:p>
        </w:tc>
        <w:tc>
          <w:tcPr>
            <w:tcW w:w="100" w:type="dxa"/>
            <w:vAlign w:val="bottom"/>
            <w:shd w:val="clear" w:color="auto" w:fill="CCEEFF"/>
          </w:tcPr>
          <w:p>
            <w:pPr>
              <w:spacing w:after="0"/>
              <w:rPr>
                <w:sz w:val="17"/>
                <w:szCs w:val="17"/>
                <w:color w:val="auto"/>
              </w:rPr>
            </w:pPr>
          </w:p>
        </w:tc>
      </w:tr>
      <w:tr>
        <w:trPr>
          <w:trHeight w:val="193"/>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5,190,748</w:t>
            </w:r>
          </w:p>
        </w:tc>
        <w:tc>
          <w:tcPr>
            <w:tcW w:w="10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line="269" w:lineRule="auto"/>
        <w:rPr>
          <w:sz w:val="20"/>
          <w:szCs w:val="20"/>
          <w:color w:val="auto"/>
        </w:rPr>
      </w:pPr>
      <w:r>
        <w:rPr>
          <w:rFonts w:ascii="Arial" w:cs="Arial" w:eastAsia="Arial" w:hAnsi="Arial"/>
          <w:sz w:val="16"/>
          <w:szCs w:val="16"/>
          <w:color w:val="auto"/>
        </w:rPr>
        <w:t>The Group maintains CCS, which were designated as cash flow hedges of certain government treasury bonds for a nominal amount of S/77.8 million, see Note 12(b); by means of said CCS, the bonds were economically converted to soles at a fixed rate.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140" w:type="dxa"/>
            <w:vAlign w:val="bottom"/>
            <w:gridSpan w:val="2"/>
          </w:tcPr>
          <w:p>
            <w:pPr>
              <w:spacing w:after="0"/>
              <w:rPr>
                <w:sz w:val="20"/>
                <w:szCs w:val="20"/>
                <w:color w:val="auto"/>
              </w:rPr>
            </w:pPr>
            <w:r>
              <w:rPr>
                <w:rFonts w:ascii="Arial" w:cs="Arial" w:eastAsia="Arial" w:hAnsi="Arial"/>
                <w:sz w:val="16"/>
                <w:szCs w:val="16"/>
                <w:color w:val="auto"/>
              </w:rPr>
              <w:t>(iv) At December 31, 2018, the balance of securitization instruments includes the following:</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Inmuebles Panamericana</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153,953</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color w:val="auto"/>
              </w:rPr>
              <w:t>Abengoa Transmisión del Norte</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80,948</w:t>
            </w:r>
          </w:p>
        </w:tc>
      </w:tr>
      <w:tr>
        <w:trPr>
          <w:trHeight w:val="190"/>
        </w:trPr>
        <w:tc>
          <w:tcPr>
            <w:tcW w:w="280" w:type="dxa"/>
            <w:vAlign w:val="bottom"/>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Industrias de Aceite S.A.</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48,231</w:t>
            </w:r>
          </w:p>
        </w:tc>
      </w:tr>
      <w:tr>
        <w:trPr>
          <w:trHeight w:val="190"/>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color w:val="auto"/>
              </w:rPr>
              <w:t>Homecenters Peruanos S.A.</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32,520</w:t>
            </w:r>
          </w:p>
        </w:tc>
      </w:tr>
      <w:tr>
        <w:trPr>
          <w:trHeight w:val="202"/>
        </w:trPr>
        <w:tc>
          <w:tcPr>
            <w:tcW w:w="28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202,836</w:t>
            </w:r>
          </w:p>
        </w:tc>
        <w:tc>
          <w:tcPr>
            <w:tcW w:w="100" w:type="dxa"/>
            <w:vAlign w:val="bottom"/>
            <w:shd w:val="clear" w:color="auto" w:fill="CCEEFF"/>
          </w:tcPr>
          <w:p>
            <w:pPr>
              <w:spacing w:after="0"/>
              <w:rPr>
                <w:sz w:val="17"/>
                <w:szCs w:val="17"/>
                <w:color w:val="auto"/>
              </w:rPr>
            </w:pPr>
          </w:p>
        </w:tc>
      </w:tr>
      <w:tr>
        <w:trPr>
          <w:trHeight w:val="193"/>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518,488</w:t>
            </w:r>
          </w:p>
        </w:tc>
        <w:tc>
          <w:tcPr>
            <w:tcW w:w="10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right="60"/>
        <w:spacing w:after="0" w:line="277" w:lineRule="auto"/>
        <w:rPr>
          <w:sz w:val="20"/>
          <w:szCs w:val="20"/>
          <w:color w:val="auto"/>
        </w:rPr>
      </w:pPr>
      <w:r>
        <w:rPr>
          <w:rFonts w:ascii="Arial" w:cs="Arial" w:eastAsia="Arial" w:hAnsi="Arial"/>
          <w:sz w:val="15"/>
          <w:szCs w:val="15"/>
          <w:color w:val="auto"/>
        </w:rPr>
        <w:t>The bonds have semiannual payments until 2045.The pool of underlying assets consists mainly of accounts receivable from income, revenues for services and from maintenance and marketing contributions (Inmuebles Panamericana), accounts receivable for electrical transmission services from the Carhuamayo - Cajamarca line (Abengoa Transmisión Norte), accounts receivable for the transformation and commercialization of agribusiness products (Industrias de Aceite S.A.) and accounts receivable for commercialization of construction products (Homecenters Peruanos S.A.).</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760"/>
          </w:cols>
          <w:pgMar w:left="800" w:top="815" w:right="339" w:bottom="1440" w:gutter="0" w:footer="0" w:header="0"/>
        </w:sectPr>
      </w:pPr>
    </w:p>
    <w:bookmarkStart w:id="73" w:name="page74"/>
    <w:bookmarkEnd w:id="73"/>
    <w:p>
      <w:pPr>
        <w:ind w:left="281" w:hanging="281"/>
        <w:spacing w:after="0"/>
        <w:tabs>
          <w:tab w:leader="none" w:pos="281"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Investments available-for-sale consist of the following:</w:t>
      </w:r>
    </w:p>
    <w:p>
      <w:pPr>
        <w:spacing w:after="0" w:line="203" w:lineRule="exact"/>
        <w:rPr>
          <w:sz w:val="20"/>
          <w:szCs w:val="20"/>
          <w:color w:val="auto"/>
        </w:rPr>
      </w:pPr>
    </w:p>
    <w:tbl>
      <w:tblPr>
        <w:tblLayout w:type="fixed"/>
        <w:tblInd w:w="281" w:type="dxa"/>
        <w:tblCellMar>
          <w:top w:w="0" w:type="dxa"/>
          <w:left w:w="0" w:type="dxa"/>
          <w:bottom w:w="0" w:type="dxa"/>
          <w:right w:w="0" w:type="dxa"/>
        </w:tblCellMar>
      </w:tblPr>
      <w:tr>
        <w:trPr>
          <w:trHeight w:val="205"/>
        </w:trPr>
        <w:tc>
          <w:tcPr>
            <w:tcW w:w="5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Amortized</w:t>
            </w:r>
          </w:p>
        </w:tc>
        <w:tc>
          <w:tcPr>
            <w:tcW w:w="268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Unrealized gross amount</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8"/>
              </w:rPr>
              <w:t>Estimated</w:t>
            </w:r>
          </w:p>
        </w:tc>
        <w:tc>
          <w:tcPr>
            <w:tcW w:w="0" w:type="dxa"/>
            <w:vAlign w:val="bottom"/>
          </w:tcPr>
          <w:p>
            <w:pPr>
              <w:spacing w:after="0"/>
              <w:rPr>
                <w:sz w:val="1"/>
                <w:szCs w:val="1"/>
                <w:color w:val="auto"/>
              </w:rPr>
            </w:pPr>
          </w:p>
        </w:tc>
      </w:tr>
      <w:tr>
        <w:trPr>
          <w:trHeight w:val="153"/>
        </w:trPr>
        <w:tc>
          <w:tcPr>
            <w:tcW w:w="506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6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78"/>
              </w:rPr>
              <w:t>cost</w:t>
            </w:r>
          </w:p>
        </w:tc>
        <w:tc>
          <w:tcPr>
            <w:tcW w:w="154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Profits</w:t>
            </w: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Losses</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198"/>
        </w:trPr>
        <w:tc>
          <w:tcPr>
            <w:tcW w:w="506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Corporate, leasing and subordinated bonds (i)</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7,919,202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460,826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(22,838)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8,357,190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color w:val="auto"/>
              </w:rPr>
              <w:t>Certificates of deposit BCRP (ii)</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7,906,747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16,960</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7,923,707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Government treasury bonds (iii)</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4,308,507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336,561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4,640,548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color w:val="auto"/>
              </w:rPr>
              <w:t>Participation in RAL Fund (iv)</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527,405</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527,405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Securitization instruments (v)</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478,921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35,747</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508,103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color w:val="auto"/>
              </w:rPr>
              <w:t>Restricted mutual funds (vi)</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186,407</w:t>
            </w:r>
          </w:p>
        </w:tc>
        <w:tc>
          <w:tcPr>
            <w:tcW w:w="1140" w:type="dxa"/>
            <w:vAlign w:val="bottom"/>
          </w:tcPr>
          <w:p>
            <w:pPr>
              <w:jc w:val="right"/>
              <w:spacing w:after="0"/>
              <w:rPr>
                <w:sz w:val="20"/>
                <w:szCs w:val="20"/>
                <w:color w:val="auto"/>
              </w:rPr>
            </w:pPr>
            <w:r>
              <w:rPr>
                <w:rFonts w:ascii="Arial" w:cs="Arial" w:eastAsia="Arial" w:hAnsi="Arial"/>
                <w:sz w:val="16"/>
                <w:szCs w:val="16"/>
                <w:color w:val="auto"/>
              </w:rPr>
              <w:t>230,289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416,696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mutual funds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398,308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409,566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color w:val="auto"/>
              </w:rPr>
              <w:t>Negotiable certificates of deposit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285,493</w:t>
            </w:r>
          </w:p>
        </w:tc>
        <w:tc>
          <w:tcPr>
            <w:tcW w:w="1140" w:type="dxa"/>
            <w:vAlign w:val="bottom"/>
          </w:tcPr>
          <w:p>
            <w:pPr>
              <w:jc w:val="right"/>
              <w:spacing w:after="0"/>
              <w:rPr>
                <w:sz w:val="20"/>
                <w:szCs w:val="20"/>
                <w:color w:val="auto"/>
              </w:rPr>
            </w:pPr>
            <w:r>
              <w:rPr>
                <w:rFonts w:ascii="Arial" w:cs="Arial" w:eastAsia="Arial" w:hAnsi="Arial"/>
                <w:sz w:val="16"/>
                <w:szCs w:val="16"/>
                <w:color w:val="auto"/>
              </w:rPr>
              <w:t>5,036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(346)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290,183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Multilateral organization bonds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165,830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13,897</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179,503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color w:val="auto"/>
              </w:rPr>
              <w:t>Certificates of Central Bank of Bolivia (vii)</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94,692</w:t>
            </w: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94,725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Investment funds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34,703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25,013</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59,621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color w:val="auto"/>
              </w:rPr>
              <w:t>Collateralized mortgage obligation</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17,116</w:t>
            </w:r>
          </w:p>
        </w:tc>
        <w:tc>
          <w:tcPr>
            <w:tcW w:w="1140" w:type="dxa"/>
            <w:vAlign w:val="bottom"/>
          </w:tcPr>
          <w:p>
            <w:pPr>
              <w:jc w:val="right"/>
              <w:spacing w:after="0"/>
              <w:rPr>
                <w:sz w:val="20"/>
                <w:szCs w:val="20"/>
                <w:color w:val="auto"/>
              </w:rPr>
            </w:pPr>
            <w:r>
              <w:rPr>
                <w:rFonts w:ascii="Arial" w:cs="Arial" w:eastAsia="Arial" w:hAnsi="Arial"/>
                <w:sz w:val="16"/>
                <w:szCs w:val="16"/>
                <w:color w:val="auto"/>
              </w:rPr>
              <w:t>7,048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24,158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Commercial paper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5,185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5,185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color w:val="auto"/>
              </w:rPr>
              <w:t>Hedge funds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48</w:t>
            </w:r>
          </w:p>
        </w:tc>
        <w:tc>
          <w:tcPr>
            <w:tcW w:w="1140" w:type="dxa"/>
            <w:vAlign w:val="bottom"/>
          </w:tcPr>
          <w:p>
            <w:pPr>
              <w:jc w:val="right"/>
              <w:spacing w:after="0"/>
              <w:rPr>
                <w:sz w:val="20"/>
                <w:szCs w:val="20"/>
                <w:color w:val="auto"/>
              </w:rPr>
            </w:pPr>
            <w:r>
              <w:rPr>
                <w:rFonts w:ascii="Arial" w:cs="Arial" w:eastAsia="Arial" w:hAnsi="Arial"/>
                <w:sz w:val="16"/>
                <w:szCs w:val="16"/>
                <w:color w:val="auto"/>
              </w:rPr>
              <w:t>1,014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U.S. Federal agency bonds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22,329,363</w:t>
            </w:r>
          </w:p>
        </w:tc>
        <w:tc>
          <w:tcPr>
            <w:tcW w:w="200" w:type="dxa"/>
            <w:vAlign w:val="bottom"/>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1,143,962</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(34,794)</w:t>
            </w:r>
          </w:p>
        </w:tc>
        <w:tc>
          <w:tcPr>
            <w:tcW w:w="180" w:type="dxa"/>
            <w:vAlign w:val="bottom"/>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23,438,531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6"/>
                <w:szCs w:val="16"/>
                <w:b w:val="1"/>
                <w:bCs w:val="1"/>
                <w:color w:val="auto"/>
              </w:rPr>
              <w:t>Shares -</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Listed (viii)</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254,931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496,737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749,731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60" w:type="dxa"/>
            <w:vAlign w:val="bottom"/>
          </w:tcPr>
          <w:p>
            <w:pPr>
              <w:spacing w:after="0"/>
              <w:rPr>
                <w:sz w:val="20"/>
                <w:szCs w:val="20"/>
                <w:color w:val="auto"/>
              </w:rPr>
            </w:pPr>
            <w:r>
              <w:rPr>
                <w:rFonts w:ascii="Arial" w:cs="Arial" w:eastAsia="Arial" w:hAnsi="Arial"/>
                <w:sz w:val="16"/>
                <w:szCs w:val="16"/>
                <w:color w:val="auto"/>
              </w:rPr>
              <w:t>Non-listed</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14,770</w:t>
            </w:r>
          </w:p>
        </w:tc>
        <w:tc>
          <w:tcPr>
            <w:tcW w:w="1140" w:type="dxa"/>
            <w:vAlign w:val="bottom"/>
          </w:tcPr>
          <w:p>
            <w:pPr>
              <w:jc w:val="right"/>
              <w:spacing w:after="0"/>
              <w:rPr>
                <w:sz w:val="20"/>
                <w:szCs w:val="20"/>
                <w:color w:val="auto"/>
              </w:rPr>
            </w:pPr>
            <w:r>
              <w:rPr>
                <w:rFonts w:ascii="Arial" w:cs="Arial" w:eastAsia="Arial" w:hAnsi="Arial"/>
                <w:sz w:val="16"/>
                <w:szCs w:val="16"/>
                <w:color w:val="auto"/>
              </w:rPr>
              <w:t>1,093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15,863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0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269,701</w:t>
            </w: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497,830</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(1,937</w:t>
            </w:r>
          </w:p>
        </w:tc>
        <w:tc>
          <w:tcPr>
            <w:tcW w:w="18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765,594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line="181" w:lineRule="exact"/>
              <w:rPr>
                <w:sz w:val="20"/>
                <w:szCs w:val="20"/>
                <w:color w:val="auto"/>
              </w:rPr>
            </w:pPr>
            <w:r>
              <w:rPr>
                <w:rFonts w:ascii="Arial" w:cs="Arial" w:eastAsia="Arial" w:hAnsi="Arial"/>
                <w:sz w:val="16"/>
                <w:szCs w:val="16"/>
                <w:color w:val="auto"/>
              </w:rPr>
              <w:t>Balance before accrued interest</w:t>
            </w: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22,599,064</w:t>
            </w:r>
          </w:p>
        </w:tc>
        <w:tc>
          <w:tcPr>
            <w:tcW w:w="20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1,641,792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(36,731)</w:t>
            </w:r>
          </w:p>
        </w:tc>
        <w:tc>
          <w:tcPr>
            <w:tcW w:w="18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24,204,125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219,766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24,423,891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1"/>
        <w:spacing w:after="0" w:line="254" w:lineRule="auto"/>
        <w:rPr>
          <w:sz w:val="20"/>
          <w:szCs w:val="20"/>
          <w:color w:val="auto"/>
        </w:rPr>
      </w:pPr>
      <w:r>
        <w:rPr>
          <w:rFonts w:ascii="Arial" w:cs="Arial" w:eastAsia="Arial" w:hAnsi="Arial"/>
          <w:sz w:val="16"/>
          <w:szCs w:val="16"/>
          <w:color w:val="auto"/>
        </w:rPr>
        <w:t>The Management of Credicorp has determined that the unrealized losses of available-for-sale investments at December 31, 2017 were of a temporary nature, considering factors such as intended strategy in relation to the identified security or portfolio, its underlying collateral and credit rating of the issuers. During 2017, as a result of the impairment assessment of its available-for-sale investments, the Group recorded an impairment loss of S/0.8 million, which is shown in “Net gain on securities” in the consolidated statement of income.</w:t>
      </w:r>
    </w:p>
    <w:p>
      <w:pPr>
        <w:spacing w:after="0" w:line="169" w:lineRule="exact"/>
        <w:rPr>
          <w:sz w:val="20"/>
          <w:szCs w:val="20"/>
          <w:color w:val="auto"/>
        </w:rPr>
      </w:pPr>
    </w:p>
    <w:p>
      <w:pPr>
        <w:ind w:left="281"/>
        <w:spacing w:after="0"/>
        <w:rPr>
          <w:sz w:val="20"/>
          <w:szCs w:val="20"/>
          <w:color w:val="auto"/>
        </w:rPr>
      </w:pPr>
      <w:r>
        <w:rPr>
          <w:rFonts w:ascii="Arial" w:cs="Arial" w:eastAsia="Arial" w:hAnsi="Arial"/>
          <w:sz w:val="16"/>
          <w:szCs w:val="16"/>
          <w:color w:val="auto"/>
        </w:rPr>
        <w:t>The movement of available-for-sale investment reserves, net of deferred income tax and non-controlling interest, is shown in Note 17(c).</w:t>
      </w:r>
    </w:p>
    <w:p>
      <w:pPr>
        <w:spacing w:after="0" w:line="195" w:lineRule="exact"/>
        <w:rPr>
          <w:sz w:val="20"/>
          <w:szCs w:val="20"/>
          <w:color w:val="auto"/>
        </w:rPr>
      </w:pPr>
    </w:p>
    <w:p>
      <w:pPr>
        <w:ind w:left="281"/>
        <w:spacing w:after="0" w:line="312" w:lineRule="auto"/>
        <w:rPr>
          <w:sz w:val="20"/>
          <w:szCs w:val="20"/>
          <w:color w:val="auto"/>
        </w:rPr>
      </w:pPr>
      <w:r>
        <w:rPr>
          <w:rFonts w:ascii="Arial" w:cs="Arial" w:eastAsia="Arial" w:hAnsi="Arial"/>
          <w:sz w:val="14"/>
          <w:szCs w:val="14"/>
          <w:color w:val="auto"/>
        </w:rPr>
        <w:t>During 2017, the Group had not reclassified instruments from the portfolio of available-for-sale investments to investments held to maturity. During the year 2017, S/2.1 million was amortized from unrealized results which were recorded in equity, and were transferred to caption “Net gain on securities” of the consolidated statement of income. At December 31, 2017, an unrealized gain amounting to S/0.02 million was held in equity, corresponding to the investments that were reclassified.</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61"/>
          </w:cols>
          <w:pgMar w:left="519" w:top="815" w:right="419" w:bottom="1440" w:gutter="0" w:footer="0" w:header="0"/>
        </w:sectPr>
      </w:pPr>
    </w:p>
    <w:bookmarkStart w:id="74" w:name="page75"/>
    <w:bookmarkEnd w:id="74"/>
    <w:p>
      <w:pPr>
        <w:ind w:right="160"/>
        <w:spacing w:after="0" w:line="258" w:lineRule="auto"/>
        <w:rPr>
          <w:sz w:val="20"/>
          <w:szCs w:val="20"/>
          <w:color w:val="auto"/>
        </w:rPr>
      </w:pPr>
      <w:r>
        <w:rPr>
          <w:rFonts w:ascii="Arial" w:cs="Arial" w:eastAsia="Arial" w:hAnsi="Arial"/>
          <w:sz w:val="16"/>
          <w:szCs w:val="16"/>
          <w:color w:val="auto"/>
        </w:rPr>
        <w:t>At December 31, 2017, the Group maintains IRS, which were designated as fair value hedges of certain bonds at a fixed rate in US dollars, issued by Government, corporate and international financial entities, for a nominal amount of S/659.5 million, see Note 12(b); through these IRS these bonds were economically converted to a variable rate.</w:t>
      </w:r>
    </w:p>
    <w:p>
      <w:pPr>
        <w:spacing w:after="0" w:line="165" w:lineRule="exact"/>
        <w:rPr>
          <w:sz w:val="20"/>
          <w:szCs w:val="20"/>
          <w:color w:val="auto"/>
        </w:rPr>
      </w:pPr>
    </w:p>
    <w:p>
      <w:pPr>
        <w:ind w:right="300"/>
        <w:spacing w:after="0" w:line="312" w:lineRule="auto"/>
        <w:rPr>
          <w:sz w:val="20"/>
          <w:szCs w:val="20"/>
          <w:color w:val="auto"/>
        </w:rPr>
      </w:pPr>
      <w:r>
        <w:rPr>
          <w:rFonts w:ascii="Arial" w:cs="Arial" w:eastAsia="Arial" w:hAnsi="Arial"/>
          <w:sz w:val="14"/>
          <w:szCs w:val="14"/>
          <w:color w:val="auto"/>
        </w:rPr>
        <w:t>Similarly, at the end of the same year, the Group entered into repurchase agreement transactions for corporate bonds, multilateral organization bonds and foreign government bonds classified as investments at fair value through other comprehensive for an estimated fair value of S/2,691.8 million, of which the related liability is presented in “Payables from repurchase agreements and securities lending” of the consolidated statement of financial position, see Note 5(c).</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and annual market rates of investments at fair value through other comprehensive income during 2017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Maturities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w w:val="91"/>
              </w:rPr>
              <w:t>Annual effective interest rate</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29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S/</w:t>
            </w: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US$</w:t>
            </w:r>
          </w:p>
        </w:tc>
        <w:tc>
          <w:tcPr>
            <w:tcW w:w="6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2"/>
          </w:tcPr>
          <w:p>
            <w:pPr>
              <w:jc w:val="right"/>
              <w:ind w:right="281"/>
              <w:spacing w:after="0"/>
              <w:rPr>
                <w:sz w:val="20"/>
                <w:szCs w:val="20"/>
                <w:color w:val="auto"/>
              </w:rPr>
            </w:pPr>
            <w:r>
              <w:rPr>
                <w:rFonts w:ascii="Arial" w:cs="Arial" w:eastAsia="Arial" w:hAnsi="Arial"/>
                <w:sz w:val="16"/>
                <w:szCs w:val="16"/>
                <w:b w:val="1"/>
                <w:bCs w:val="1"/>
                <w:color w:val="auto"/>
              </w:rPr>
              <w:t>Other currencies</w:t>
            </w:r>
          </w:p>
        </w:tc>
        <w:tc>
          <w:tcPr>
            <w:tcW w:w="100" w:type="dxa"/>
            <w:vAlign w:val="bottom"/>
          </w:tcPr>
          <w:p>
            <w:pPr>
              <w:spacing w:after="0"/>
              <w:rPr>
                <w:sz w:val="16"/>
                <w:szCs w:val="16"/>
                <w:color w:val="auto"/>
              </w:rPr>
            </w:pPr>
          </w:p>
        </w:tc>
      </w:tr>
      <w:tr>
        <w:trPr>
          <w:trHeight w:val="165"/>
        </w:trPr>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01"/>
              <w:spacing w:after="0" w:line="165" w:lineRule="exact"/>
              <w:rPr>
                <w:sz w:val="20"/>
                <w:szCs w:val="20"/>
                <w:color w:val="auto"/>
              </w:rPr>
            </w:pPr>
            <w:r>
              <w:rPr>
                <w:rFonts w:ascii="Arial" w:cs="Arial" w:eastAsia="Arial" w:hAnsi="Arial"/>
                <w:sz w:val="16"/>
                <w:szCs w:val="16"/>
                <w:b w:val="1"/>
                <w:bCs w:val="1"/>
                <w:color w:val="auto"/>
              </w:rPr>
              <w:t>Min</w:t>
            </w:r>
          </w:p>
        </w:tc>
        <w:tc>
          <w:tcPr>
            <w:tcW w:w="700" w:type="dxa"/>
            <w:vAlign w:val="bottom"/>
          </w:tcPr>
          <w:p>
            <w:pPr>
              <w:jc w:val="right"/>
              <w:ind w:right="181"/>
              <w:spacing w:after="0" w:line="165" w:lineRule="exact"/>
              <w:rPr>
                <w:sz w:val="20"/>
                <w:szCs w:val="20"/>
                <w:color w:val="auto"/>
              </w:rPr>
            </w:pPr>
            <w:r>
              <w:rPr>
                <w:rFonts w:ascii="Arial" w:cs="Arial" w:eastAsia="Arial" w:hAnsi="Arial"/>
                <w:sz w:val="16"/>
                <w:szCs w:val="16"/>
                <w:b w:val="1"/>
                <w:bCs w:val="1"/>
                <w:color w:val="auto"/>
              </w:rPr>
              <w:t>Max</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541"/>
              <w:spacing w:after="0" w:line="165" w:lineRule="exact"/>
              <w:rPr>
                <w:sz w:val="20"/>
                <w:szCs w:val="20"/>
                <w:color w:val="auto"/>
              </w:rPr>
            </w:pPr>
            <w:r>
              <w:rPr>
                <w:rFonts w:ascii="Arial" w:cs="Arial" w:eastAsia="Arial" w:hAnsi="Arial"/>
                <w:sz w:val="16"/>
                <w:szCs w:val="16"/>
                <w:b w:val="1"/>
                <w:bCs w:val="1"/>
                <w:color w:val="auto"/>
              </w:rPr>
              <w:t>Min</w:t>
            </w:r>
          </w:p>
        </w:tc>
        <w:tc>
          <w:tcPr>
            <w:tcW w:w="680" w:type="dxa"/>
            <w:vAlign w:val="bottom"/>
          </w:tcPr>
          <w:p>
            <w:pPr>
              <w:jc w:val="right"/>
              <w:ind w:right="181"/>
              <w:spacing w:after="0" w:line="165" w:lineRule="exact"/>
              <w:rPr>
                <w:sz w:val="20"/>
                <w:szCs w:val="20"/>
                <w:color w:val="auto"/>
              </w:rPr>
            </w:pPr>
            <w:r>
              <w:rPr>
                <w:rFonts w:ascii="Arial" w:cs="Arial" w:eastAsia="Arial" w:hAnsi="Arial"/>
                <w:sz w:val="16"/>
                <w:szCs w:val="16"/>
                <w:b w:val="1"/>
                <w:bCs w:val="1"/>
                <w:color w:val="auto"/>
              </w:rPr>
              <w:t>Max</w:t>
            </w:r>
          </w:p>
        </w:tc>
        <w:tc>
          <w:tcPr>
            <w:tcW w:w="200" w:type="dxa"/>
            <w:vAlign w:val="bottom"/>
          </w:tcPr>
          <w:p>
            <w:pPr>
              <w:spacing w:after="0"/>
              <w:rPr>
                <w:sz w:val="14"/>
                <w:szCs w:val="14"/>
                <w:color w:val="auto"/>
              </w:rPr>
            </w:pPr>
          </w:p>
        </w:tc>
        <w:tc>
          <w:tcPr>
            <w:tcW w:w="1040" w:type="dxa"/>
            <w:vAlign w:val="bottom"/>
          </w:tcPr>
          <w:p>
            <w:pPr>
              <w:jc w:val="right"/>
              <w:ind w:right="421"/>
              <w:spacing w:after="0" w:line="165" w:lineRule="exact"/>
              <w:rPr>
                <w:sz w:val="20"/>
                <w:szCs w:val="20"/>
                <w:color w:val="auto"/>
              </w:rPr>
            </w:pPr>
            <w:r>
              <w:rPr>
                <w:rFonts w:ascii="Arial" w:cs="Arial" w:eastAsia="Arial" w:hAnsi="Arial"/>
                <w:sz w:val="16"/>
                <w:szCs w:val="16"/>
                <w:b w:val="1"/>
                <w:bCs w:val="1"/>
                <w:color w:val="auto"/>
              </w:rPr>
              <w:t>Min</w:t>
            </w:r>
          </w:p>
        </w:tc>
        <w:tc>
          <w:tcPr>
            <w:tcW w:w="800" w:type="dxa"/>
            <w:vAlign w:val="bottom"/>
          </w:tcPr>
          <w:p>
            <w:pPr>
              <w:jc w:val="right"/>
              <w:ind w:right="181"/>
              <w:spacing w:after="0" w:line="165" w:lineRule="exact"/>
              <w:rPr>
                <w:sz w:val="20"/>
                <w:szCs w:val="20"/>
                <w:color w:val="auto"/>
              </w:rPr>
            </w:pPr>
            <w:r>
              <w:rPr>
                <w:rFonts w:ascii="Arial" w:cs="Arial" w:eastAsia="Arial" w:hAnsi="Arial"/>
                <w:sz w:val="16"/>
                <w:szCs w:val="16"/>
                <w:b w:val="1"/>
                <w:bCs w:val="1"/>
                <w:color w:val="auto"/>
              </w:rPr>
              <w:t>Max</w:t>
            </w:r>
          </w:p>
        </w:tc>
        <w:tc>
          <w:tcPr>
            <w:tcW w:w="100" w:type="dxa"/>
            <w:vAlign w:val="bottom"/>
          </w:tcPr>
          <w:p>
            <w:pPr>
              <w:spacing w:after="0"/>
              <w:rPr>
                <w:sz w:val="14"/>
                <w:szCs w:val="14"/>
                <w:color w:val="auto"/>
              </w:rPr>
            </w:pPr>
          </w:p>
        </w:tc>
      </w:tr>
      <w:tr>
        <w:trPr>
          <w:trHeight w:val="205"/>
        </w:trPr>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54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56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w w:val="95"/>
              </w:rPr>
              <w:t>Corporate, leasing and subordinated bonds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Jan-2018 / Feb-2065</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1.37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9.20</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0.24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7.55</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0.17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7.83</w:t>
            </w:r>
          </w:p>
        </w:tc>
      </w:tr>
      <w:tr>
        <w:trPr>
          <w:trHeight w:val="190"/>
        </w:trPr>
        <w:tc>
          <w:tcPr>
            <w:tcW w:w="2940" w:type="dxa"/>
            <w:vAlign w:val="bottom"/>
          </w:tcPr>
          <w:p>
            <w:pPr>
              <w:spacing w:after="0"/>
              <w:rPr>
                <w:sz w:val="20"/>
                <w:szCs w:val="20"/>
                <w:color w:val="auto"/>
              </w:rPr>
            </w:pPr>
            <w:r>
              <w:rPr>
                <w:rFonts w:ascii="Arial" w:cs="Arial" w:eastAsia="Arial" w:hAnsi="Arial"/>
                <w:sz w:val="16"/>
                <w:szCs w:val="16"/>
                <w:color w:val="auto"/>
              </w:rPr>
              <w:t>Certificates of deposit BCRP</w:t>
            </w: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Jan-2018 / Apr-2019</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3.08</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3.17</w:t>
            </w:r>
          </w:p>
        </w:tc>
        <w:tc>
          <w:tcPr>
            <w:tcW w:w="1280" w:type="dxa"/>
            <w:vAlign w:val="bottom"/>
            <w:gridSpan w:val="2"/>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Government treasury bonds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7"/>
              </w:rPr>
              <w:t>Feb-2018 / Feb-2055</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1.32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6.25</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1.27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6.25</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2940" w:type="dxa"/>
            <w:vAlign w:val="bottom"/>
          </w:tcPr>
          <w:p>
            <w:pPr>
              <w:spacing w:after="0"/>
              <w:rPr>
                <w:sz w:val="20"/>
                <w:szCs w:val="20"/>
                <w:color w:val="auto"/>
              </w:rPr>
            </w:pPr>
            <w:r>
              <w:rPr>
                <w:rFonts w:ascii="Arial" w:cs="Arial" w:eastAsia="Arial" w:hAnsi="Arial"/>
                <w:sz w:val="16"/>
                <w:szCs w:val="16"/>
                <w:color w:val="auto"/>
              </w:rPr>
              <w:t>Securitization instruments</w:t>
            </w: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Jan-2018 / Sep-2045</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4.09</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11.75</w:t>
            </w:r>
          </w:p>
        </w:tc>
        <w:tc>
          <w:tcPr>
            <w:tcW w:w="1280" w:type="dxa"/>
            <w:vAlign w:val="bottom"/>
            <w:gridSpan w:val="2"/>
          </w:tcPr>
          <w:p>
            <w:pPr>
              <w:jc w:val="right"/>
              <w:ind w:right="261"/>
              <w:spacing w:after="0"/>
              <w:rPr>
                <w:sz w:val="20"/>
                <w:szCs w:val="20"/>
                <w:color w:val="auto"/>
              </w:rPr>
            </w:pPr>
            <w:r>
              <w:rPr>
                <w:rFonts w:ascii="Arial" w:cs="Arial" w:eastAsia="Arial" w:hAnsi="Arial"/>
                <w:sz w:val="16"/>
                <w:szCs w:val="16"/>
                <w:color w:val="auto"/>
              </w:rPr>
              <w:t>3.06</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6.16</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1.68</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6.00</w:t>
            </w:r>
          </w:p>
        </w:tc>
      </w:tr>
      <w:tr>
        <w:trPr>
          <w:trHeight w:val="177"/>
        </w:trPr>
        <w:tc>
          <w:tcPr>
            <w:tcW w:w="29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Certificates deposits of Central Bank of</w:t>
            </w: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Bolivia</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7"/>
              </w:rPr>
              <w:t>Jan-2018 / Sep-2018</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w:t>
            </w:r>
          </w:p>
        </w:tc>
      </w:tr>
      <w:tr>
        <w:trPr>
          <w:trHeight w:val="190"/>
        </w:trPr>
        <w:tc>
          <w:tcPr>
            <w:tcW w:w="2940" w:type="dxa"/>
            <w:vAlign w:val="bottom"/>
          </w:tcPr>
          <w:p>
            <w:pPr>
              <w:spacing w:after="0"/>
              <w:rPr>
                <w:sz w:val="20"/>
                <w:szCs w:val="20"/>
                <w:color w:val="auto"/>
              </w:rPr>
            </w:pPr>
            <w:r>
              <w:rPr>
                <w:rFonts w:ascii="Arial" w:cs="Arial" w:eastAsia="Arial" w:hAnsi="Arial"/>
                <w:sz w:val="16"/>
                <w:szCs w:val="16"/>
                <w:color w:val="auto"/>
              </w:rPr>
              <w:t>Negotiable certificates of deposits</w:t>
            </w: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Jan-2018 / Mar-2033</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0.49</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4.33</w:t>
            </w:r>
          </w:p>
        </w:tc>
        <w:tc>
          <w:tcPr>
            <w:tcW w:w="1280" w:type="dxa"/>
            <w:vAlign w:val="bottom"/>
            <w:gridSpan w:val="2"/>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1.18</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4.90</w:t>
            </w: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Multilateral organization bonds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7"/>
              </w:rPr>
              <w:t>Mar-2018 / Feb-2044</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2.13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7.04</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1.83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2.44</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2940" w:type="dxa"/>
            <w:vAlign w:val="bottom"/>
          </w:tcPr>
          <w:p>
            <w:pPr>
              <w:spacing w:after="0"/>
              <w:rPr>
                <w:sz w:val="20"/>
                <w:szCs w:val="20"/>
                <w:color w:val="auto"/>
              </w:rPr>
            </w:pPr>
            <w:r>
              <w:rPr>
                <w:rFonts w:ascii="Arial" w:cs="Arial" w:eastAsia="Arial" w:hAnsi="Arial"/>
                <w:sz w:val="16"/>
                <w:szCs w:val="16"/>
                <w:color w:val="auto"/>
              </w:rPr>
              <w:t>Collateralized mortgage obligations</w:t>
            </w: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Aug-2020 / Dec-2036</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1"/>
              <w:spacing w:after="0"/>
              <w:rPr>
                <w:sz w:val="20"/>
                <w:szCs w:val="20"/>
                <w:color w:val="auto"/>
              </w:rPr>
            </w:pPr>
            <w:r>
              <w:rPr>
                <w:rFonts w:ascii="Arial" w:cs="Arial" w:eastAsia="Arial" w:hAnsi="Arial"/>
                <w:sz w:val="16"/>
                <w:szCs w:val="16"/>
                <w:color w:val="auto"/>
              </w:rPr>
              <w:t>2.23</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9.40</w:t>
            </w: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U.S. Federal agency bonds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Aug-2035</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1.66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1.66</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77" w:lineRule="exact"/>
        <w:rPr>
          <w:sz w:val="20"/>
          <w:szCs w:val="20"/>
          <w:color w:val="auto"/>
        </w:rPr>
      </w:pPr>
    </w:p>
    <w:p>
      <w:pPr>
        <w:ind w:left="280" w:hanging="276"/>
        <w:spacing w:after="0"/>
        <w:tabs>
          <w:tab w:leader="none" w:pos="2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At December 31, 2017 the most significant individual unrealized loss amounted to approximately S/2.2 million.</w:t>
      </w:r>
    </w:p>
    <w:p>
      <w:pPr>
        <w:spacing w:after="0" w:line="195" w:lineRule="exact"/>
        <w:rPr>
          <w:rFonts w:ascii="Arial" w:cs="Arial" w:eastAsia="Arial" w:hAnsi="Arial"/>
          <w:sz w:val="16"/>
          <w:szCs w:val="16"/>
          <w:color w:val="auto"/>
        </w:rPr>
      </w:pPr>
    </w:p>
    <w:p>
      <w:pPr>
        <w:ind w:left="280" w:right="40"/>
        <w:spacing w:after="0" w:line="269" w:lineRule="auto"/>
        <w:rPr>
          <w:rFonts w:ascii="Arial" w:cs="Arial" w:eastAsia="Arial" w:hAnsi="Arial"/>
          <w:sz w:val="16"/>
          <w:szCs w:val="16"/>
          <w:color w:val="auto"/>
        </w:rPr>
      </w:pPr>
      <w:r>
        <w:rPr>
          <w:rFonts w:ascii="Arial" w:cs="Arial" w:eastAsia="Arial" w:hAnsi="Arial"/>
          <w:sz w:val="16"/>
          <w:szCs w:val="16"/>
          <w:color w:val="auto"/>
        </w:rPr>
        <w:t>Likewise, the Group maintains CCS, which were designated as cash flow hedges of certain corporate bonds for a nominal amount of S/228.8 million, see Note 12(b); by means of said CCS, the bonds were economically converted to soles at a fixed rate.</w:t>
      </w:r>
    </w:p>
    <w:p>
      <w:pPr>
        <w:spacing w:after="0" w:line="156" w:lineRule="exact"/>
        <w:rPr>
          <w:rFonts w:ascii="Arial" w:cs="Arial" w:eastAsia="Arial" w:hAnsi="Arial"/>
          <w:sz w:val="16"/>
          <w:szCs w:val="16"/>
          <w:color w:val="auto"/>
        </w:rPr>
      </w:pPr>
    </w:p>
    <w:p>
      <w:pPr>
        <w:ind w:left="280" w:hanging="276"/>
        <w:spacing w:after="0" w:line="269" w:lineRule="auto"/>
        <w:tabs>
          <w:tab w:leader="none" w:pos="2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Group maintains 79,901 certificates of deposits of the Central Reserve Bank of Peru, which are instruments issued at a discount through public auction, traded on the Peruvian secondary market and payable in soles.</w:t>
      </w:r>
    </w:p>
    <w:p>
      <w:pPr>
        <w:spacing w:after="0" w:line="346" w:lineRule="exact"/>
        <w:rPr>
          <w:rFonts w:ascii="Arial" w:cs="Arial" w:eastAsia="Arial" w:hAnsi="Arial"/>
          <w:sz w:val="16"/>
          <w:szCs w:val="16"/>
          <w:color w:val="auto"/>
        </w:rPr>
      </w:pPr>
    </w:p>
    <w:p>
      <w:pPr>
        <w:ind w:left="5080" w:hanging="91"/>
        <w:spacing w:after="0"/>
        <w:tabs>
          <w:tab w:leader="none" w:pos="50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780"/>
          </w:cols>
          <w:pgMar w:left="800" w:top="815"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1"/>
        </w:trPr>
        <w:tc>
          <w:tcPr>
            <w:tcW w:w="9140" w:type="dxa"/>
            <w:vAlign w:val="bottom"/>
            <w:gridSpan w:val="2"/>
          </w:tcPr>
          <w:p>
            <w:pPr>
              <w:spacing w:after="0"/>
              <w:rPr>
                <w:sz w:val="20"/>
                <w:szCs w:val="20"/>
                <w:color w:val="auto"/>
              </w:rPr>
            </w:pPr>
            <w:r>
              <w:rPr>
                <w:rFonts w:ascii="Arial" w:cs="Arial" w:eastAsia="Arial" w:hAnsi="Arial"/>
                <w:sz w:val="16"/>
                <w:szCs w:val="16"/>
                <w:color w:val="auto"/>
              </w:rPr>
              <w:t>(iii)  At December 31, 2017, the balance includes the following Government Treasury Bonds: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Peruvian sovereign bonds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4,364,172</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color w:val="auto"/>
              </w:rPr>
              <w:t>Bolivian sovereign bonds</w:t>
            </w:r>
          </w:p>
        </w:tc>
        <w:tc>
          <w:tcPr>
            <w:tcW w:w="1340" w:type="dxa"/>
            <w:vAlign w:val="bottom"/>
          </w:tcPr>
          <w:p>
            <w:pPr>
              <w:jc w:val="right"/>
              <w:spacing w:after="0"/>
              <w:rPr>
                <w:sz w:val="20"/>
                <w:szCs w:val="20"/>
                <w:color w:val="auto"/>
              </w:rPr>
            </w:pPr>
            <w:r>
              <w:rPr>
                <w:rFonts w:ascii="Arial" w:cs="Arial" w:eastAsia="Arial" w:hAnsi="Arial"/>
                <w:sz w:val="16"/>
                <w:szCs w:val="16"/>
                <w:color w:val="auto"/>
              </w:rPr>
              <w:t>106,461</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Colombian sovereign bonds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58,381</w:t>
            </w:r>
          </w:p>
        </w:tc>
      </w:tr>
      <w:tr>
        <w:trPr>
          <w:trHeight w:val="190"/>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color w:val="auto"/>
              </w:rPr>
              <w:t>U.S. Federal agency bonds</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55,875</w:t>
            </w:r>
          </w:p>
        </w:tc>
      </w:tr>
      <w:tr>
        <w:trPr>
          <w:trHeight w:val="202"/>
        </w:trPr>
        <w:tc>
          <w:tcPr>
            <w:tcW w:w="28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55,659</w:t>
            </w:r>
          </w:p>
        </w:tc>
      </w:tr>
      <w:tr>
        <w:trPr>
          <w:trHeight w:val="193"/>
        </w:trPr>
        <w:tc>
          <w:tcPr>
            <w:tcW w:w="2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4,640,548</w:t>
            </w:r>
          </w:p>
        </w:tc>
        <w:tc>
          <w:tcPr>
            <w:tcW w:w="10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right="100"/>
        <w:spacing w:after="0" w:line="269" w:lineRule="auto"/>
        <w:rPr>
          <w:sz w:val="20"/>
          <w:szCs w:val="20"/>
          <w:color w:val="auto"/>
        </w:rPr>
      </w:pPr>
      <w:r>
        <w:rPr>
          <w:rFonts w:ascii="Arial" w:cs="Arial" w:eastAsia="Arial" w:hAnsi="Arial"/>
          <w:sz w:val="16"/>
          <w:szCs w:val="16"/>
          <w:color w:val="auto"/>
        </w:rPr>
        <w:t>At December 31, 2017, the Group maintains CCS, which were designated as cash flow hedges of certain government treasury bonds for a nominal amount of S/55.1 million, see Note 12(b); by means of said CCS, the bonds were economically converted to soles at a fixed rate.</w:t>
      </w:r>
    </w:p>
    <w:p>
      <w:pPr>
        <w:spacing w:after="0" w:line="157" w:lineRule="exact"/>
        <w:rPr>
          <w:sz w:val="20"/>
          <w:szCs w:val="20"/>
          <w:color w:val="auto"/>
        </w:rPr>
      </w:pPr>
    </w:p>
    <w:p>
      <w:pPr>
        <w:ind w:left="280" w:hanging="276"/>
        <w:spacing w:after="0" w:line="269" w:lineRule="auto"/>
        <w:tabs>
          <w:tab w:leader="none" w:pos="2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Comprise the investments made by the Group in the Central Bank of Bolivia as collateral for deposits received from the public. These funds have restrictions for their use and are required from all banks in Bolivia.</w:t>
      </w:r>
    </w:p>
    <w:p>
      <w:pPr>
        <w:spacing w:after="0" w:line="156" w:lineRule="exact"/>
        <w:rPr>
          <w:rFonts w:ascii="Arial" w:cs="Arial" w:eastAsia="Arial" w:hAnsi="Arial"/>
          <w:sz w:val="16"/>
          <w:szCs w:val="16"/>
          <w:color w:val="auto"/>
        </w:rPr>
      </w:pPr>
    </w:p>
    <w:p>
      <w:pPr>
        <w:ind w:left="280" w:hanging="276"/>
        <w:spacing w:after="0"/>
        <w:tabs>
          <w:tab w:leader="none" w:pos="2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December 31, 2017, the balance of securitization instruments includes the following:</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r>
      <w:tr>
        <w:trPr>
          <w:trHeight w:val="183"/>
        </w:trPr>
        <w:tc>
          <w:tcPr>
            <w:tcW w:w="886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r>
      <w:tr>
        <w:trPr>
          <w:trHeight w:val="190"/>
        </w:trPr>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Inmuebles Panamericana</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156,186</w:t>
            </w:r>
          </w:p>
        </w:tc>
        <w:tc>
          <w:tcPr>
            <w:tcW w:w="100" w:type="dxa"/>
            <w:vAlign w:val="bottom"/>
            <w:shd w:val="clear" w:color="auto" w:fill="CCEEFF"/>
          </w:tcPr>
          <w:p>
            <w:pPr>
              <w:spacing w:after="0"/>
              <w:rPr>
                <w:sz w:val="16"/>
                <w:szCs w:val="16"/>
                <w:color w:val="auto"/>
              </w:rPr>
            </w:pPr>
          </w:p>
        </w:tc>
      </w:tr>
      <w:tr>
        <w:trPr>
          <w:trHeight w:val="190"/>
        </w:trPr>
        <w:tc>
          <w:tcPr>
            <w:tcW w:w="8860" w:type="dxa"/>
            <w:vAlign w:val="bottom"/>
          </w:tcPr>
          <w:p>
            <w:pPr>
              <w:spacing w:after="0"/>
              <w:rPr>
                <w:sz w:val="20"/>
                <w:szCs w:val="20"/>
                <w:color w:val="auto"/>
              </w:rPr>
            </w:pPr>
            <w:r>
              <w:rPr>
                <w:rFonts w:ascii="Arial" w:cs="Arial" w:eastAsia="Arial" w:hAnsi="Arial"/>
                <w:sz w:val="16"/>
                <w:szCs w:val="16"/>
                <w:color w:val="auto"/>
              </w:rPr>
              <w:t>Abengoa Transmisión del Norte</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82,492</w:t>
            </w:r>
          </w:p>
        </w:tc>
      </w:tr>
      <w:tr>
        <w:trPr>
          <w:trHeight w:val="190"/>
        </w:trPr>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Concesionaria La Chira S.A.</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30,182</w:t>
            </w:r>
          </w:p>
        </w:tc>
      </w:tr>
      <w:tr>
        <w:trPr>
          <w:trHeight w:val="190"/>
        </w:trPr>
        <w:tc>
          <w:tcPr>
            <w:tcW w:w="8860" w:type="dxa"/>
            <w:vAlign w:val="bottom"/>
          </w:tcPr>
          <w:p>
            <w:pPr>
              <w:spacing w:after="0"/>
              <w:rPr>
                <w:sz w:val="20"/>
                <w:szCs w:val="20"/>
                <w:color w:val="auto"/>
              </w:rPr>
            </w:pPr>
            <w:r>
              <w:rPr>
                <w:rFonts w:ascii="Arial" w:cs="Arial" w:eastAsia="Arial" w:hAnsi="Arial"/>
                <w:sz w:val="16"/>
                <w:szCs w:val="16"/>
                <w:color w:val="auto"/>
              </w:rPr>
              <w:t>Hunt Oil Company</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23,244</w:t>
            </w:r>
          </w:p>
        </w:tc>
      </w:tr>
      <w:tr>
        <w:trPr>
          <w:trHeight w:val="202"/>
        </w:trPr>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215,999</w:t>
            </w:r>
          </w:p>
        </w:tc>
        <w:tc>
          <w:tcPr>
            <w:tcW w:w="100" w:type="dxa"/>
            <w:vAlign w:val="bottom"/>
            <w:shd w:val="clear" w:color="auto" w:fill="CCEEFF"/>
          </w:tcPr>
          <w:p>
            <w:pPr>
              <w:spacing w:after="0"/>
              <w:rPr>
                <w:sz w:val="17"/>
                <w:szCs w:val="17"/>
                <w:color w:val="auto"/>
              </w:rPr>
            </w:pPr>
          </w:p>
        </w:tc>
      </w:tr>
      <w:tr>
        <w:trPr>
          <w:trHeight w:val="193"/>
        </w:trPr>
        <w:tc>
          <w:tcPr>
            <w:tcW w:w="88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508,103</w:t>
            </w:r>
          </w:p>
        </w:tc>
        <w:tc>
          <w:tcPr>
            <w:tcW w:w="100" w:type="dxa"/>
            <w:vAlign w:val="bottom"/>
          </w:tcPr>
          <w:p>
            <w:pPr>
              <w:spacing w:after="0"/>
              <w:rPr>
                <w:sz w:val="16"/>
                <w:szCs w:val="16"/>
                <w:color w:val="auto"/>
              </w:rPr>
            </w:pPr>
          </w:p>
        </w:tc>
      </w:tr>
      <w:tr>
        <w:trPr>
          <w:trHeight w:val="20"/>
        </w:trPr>
        <w:tc>
          <w:tcPr>
            <w:tcW w:w="8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right="80"/>
        <w:spacing w:after="0" w:line="254" w:lineRule="auto"/>
        <w:rPr>
          <w:sz w:val="20"/>
          <w:szCs w:val="20"/>
          <w:color w:val="auto"/>
        </w:rPr>
      </w:pPr>
      <w:r>
        <w:rPr>
          <w:rFonts w:ascii="Arial" w:cs="Arial" w:eastAsia="Arial" w:hAnsi="Arial"/>
          <w:sz w:val="16"/>
          <w:szCs w:val="16"/>
          <w:color w:val="auto"/>
        </w:rPr>
        <w:t>The bonds have semiannual payments until 2045.The pool of underlying assets mainly consists of accounts receivable from income, revenues for services and from maintenance and marketing contributions (Inmuebles Panamericana), accounts receivable for electrical transmission services from the Carhuamayo - Cajamarca line (Abengoa Transmisión Norte), accounts receivable for collection via banking channels of water and sanitation service bills (Concesionaria La Chira) and accounts receivable for the sale of hydrocarbons in Peru (Hunt Oil Company).</w:t>
      </w:r>
    </w:p>
    <w:p>
      <w:pPr>
        <w:spacing w:after="0" w:line="169" w:lineRule="exact"/>
        <w:rPr>
          <w:sz w:val="20"/>
          <w:szCs w:val="20"/>
          <w:color w:val="auto"/>
        </w:rPr>
      </w:pPr>
    </w:p>
    <w:p>
      <w:pPr>
        <w:ind w:left="280" w:right="220" w:hanging="276"/>
        <w:spacing w:after="0" w:line="303" w:lineRule="auto"/>
        <w:tabs>
          <w:tab w:leader="none" w:pos="2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restricted mutual funds comprise the participation quotas in the private pension funds managed by the Group, and are maintained in compliance with the legal regulations in Peru. Their availability is restricted and the yield received is the same as that received by the private pension funds managed.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(vii)At December 31, 2017, certificates of deposit issued by the Central Bank of Bolivia are mainly denominated in Bolivianos.</w:t>
      </w:r>
    </w:p>
    <w:p>
      <w:pPr>
        <w:spacing w:after="0" w:line="195" w:lineRule="exact"/>
        <w:rPr>
          <w:sz w:val="20"/>
          <w:szCs w:val="20"/>
          <w:color w:val="auto"/>
        </w:rPr>
      </w:pPr>
    </w:p>
    <w:p>
      <w:pPr>
        <w:ind w:left="320" w:right="200" w:hanging="319"/>
        <w:spacing w:after="0" w:line="258" w:lineRule="auto"/>
        <w:rPr>
          <w:sz w:val="20"/>
          <w:szCs w:val="20"/>
          <w:color w:val="auto"/>
        </w:rPr>
      </w:pPr>
      <w:r>
        <w:rPr>
          <w:rFonts w:ascii="Arial" w:cs="Arial" w:eastAsia="Arial" w:hAnsi="Arial"/>
          <w:sz w:val="16"/>
          <w:szCs w:val="16"/>
          <w:color w:val="auto"/>
        </w:rPr>
        <w:t>(viii)Between the years 2016 and 2017, the Group sold through Credicorp Capital Corredores de Bolsa, 100.0 percent of the shares that it held of Banco de Crédito e Inversiones de Chile (hereinafter “BCI Chile”) and 100.0 percent of the shares that it held of Enel Distribución Perú S.A.A. (formerly Edelnor S.A.A.) We present below the sales made:</w:t>
      </w:r>
    </w:p>
    <w:p>
      <w:pPr>
        <w:spacing w:after="0" w:line="35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780"/>
          </w:cols>
          <w:pgMar w:left="800" w:top="814" w:right="319" w:bottom="1440" w:gutter="0" w:footer="0" w:header="0"/>
        </w:sectPr>
      </w:pPr>
    </w:p>
    <w:bookmarkStart w:id="76" w:name="page77"/>
    <w:bookmarkEnd w:id="76"/>
    <w:p>
      <w:pPr>
        <w:ind w:left="860" w:right="700" w:hanging="292"/>
        <w:spacing w:after="0" w:line="269" w:lineRule="auto"/>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March 7, 2016, Credicorp signed a Memorandum of Understanding (MOU) with BCI Chile, in which, as a minority shareholder with a 4.06 percent participation in BCI Chile, it stated its intention to sell up to 50.0 percent of said shares.</w:t>
      </w:r>
    </w:p>
    <w:p>
      <w:pPr>
        <w:spacing w:after="0" w:line="156" w:lineRule="exact"/>
        <w:rPr>
          <w:rFonts w:ascii="Arial" w:cs="Arial" w:eastAsia="Arial" w:hAnsi="Arial"/>
          <w:sz w:val="16"/>
          <w:szCs w:val="16"/>
          <w:color w:val="auto"/>
        </w:rPr>
      </w:pPr>
    </w:p>
    <w:p>
      <w:pPr>
        <w:ind w:left="860" w:right="180"/>
        <w:spacing w:after="0" w:line="342" w:lineRule="auto"/>
        <w:rPr>
          <w:rFonts w:ascii="Arial" w:cs="Arial" w:eastAsia="Arial" w:hAnsi="Arial"/>
          <w:sz w:val="16"/>
          <w:szCs w:val="16"/>
          <w:color w:val="auto"/>
        </w:rPr>
      </w:pPr>
      <w:r>
        <w:rPr>
          <w:rFonts w:ascii="Arial" w:cs="Arial" w:eastAsia="Arial" w:hAnsi="Arial"/>
          <w:sz w:val="14"/>
          <w:szCs w:val="14"/>
          <w:color w:val="auto"/>
        </w:rPr>
        <w:t>Credicorp undertook not to sell the remaining 50.0 percent of its shares in BCI Chile during the period of 180 calendar days subsequent to the expiry date of the preferred option of BCI Chile which forms part of the applicable regulations in Chile. The preferred subscription period began on March 21, 2016.</w:t>
      </w:r>
    </w:p>
    <w:p>
      <w:pPr>
        <w:spacing w:after="0" w:line="110" w:lineRule="exact"/>
        <w:rPr>
          <w:rFonts w:ascii="Arial" w:cs="Arial" w:eastAsia="Arial" w:hAnsi="Arial"/>
          <w:sz w:val="16"/>
          <w:szCs w:val="16"/>
          <w:color w:val="auto"/>
        </w:rPr>
      </w:pPr>
    </w:p>
    <w:p>
      <w:pPr>
        <w:ind w:left="860" w:right="20"/>
        <w:spacing w:after="0" w:line="258" w:lineRule="auto"/>
        <w:rPr>
          <w:rFonts w:ascii="Arial" w:cs="Arial" w:eastAsia="Arial" w:hAnsi="Arial"/>
          <w:sz w:val="16"/>
          <w:szCs w:val="16"/>
          <w:color w:val="auto"/>
        </w:rPr>
      </w:pPr>
      <w:r>
        <w:rPr>
          <w:rFonts w:ascii="Arial" w:cs="Arial" w:eastAsia="Arial" w:hAnsi="Arial"/>
          <w:sz w:val="16"/>
          <w:szCs w:val="16"/>
          <w:color w:val="auto"/>
        </w:rPr>
        <w:t>Accordingly, on April 22, 2016, Credicorp sold 50.0 percent of the shares which it held in BCI Chile (2,248,593 shares), at a price of CLP 27,500 (US$41.6) per share, generating cash for approximately US$94.0 million, equivalent to S/302 million. Said sale generated a profit, net of commissions, of approximately S/124.7 million.</w:t>
      </w:r>
    </w:p>
    <w:p>
      <w:pPr>
        <w:spacing w:after="0" w:line="165" w:lineRule="exact"/>
        <w:rPr>
          <w:rFonts w:ascii="Arial" w:cs="Arial" w:eastAsia="Arial" w:hAnsi="Arial"/>
          <w:sz w:val="16"/>
          <w:szCs w:val="16"/>
          <w:color w:val="auto"/>
        </w:rPr>
      </w:pPr>
    </w:p>
    <w:p>
      <w:pPr>
        <w:ind w:left="860" w:right="100" w:hanging="292"/>
        <w:spacing w:after="0" w:line="258" w:lineRule="auto"/>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September 15, 2017, Credicorp sold the remaining 50.0 percent of shares which it held in BCI Chile (2,286,328 shares), at a price of CLP 39,000 (US$62.3) per share, generating cash for approximately US$142.4 million, equivalent to S/462.8 million. Said sale generated a profit, net of commissions, of approximately S/281.1 million.</w:t>
      </w:r>
    </w:p>
    <w:p>
      <w:pPr>
        <w:spacing w:after="0" w:line="165" w:lineRule="exact"/>
        <w:rPr>
          <w:rFonts w:ascii="Arial" w:cs="Arial" w:eastAsia="Arial" w:hAnsi="Arial"/>
          <w:sz w:val="16"/>
          <w:szCs w:val="16"/>
          <w:color w:val="auto"/>
        </w:rPr>
      </w:pPr>
    </w:p>
    <w:p>
      <w:pPr>
        <w:ind w:left="860" w:hanging="292"/>
        <w:spacing w:after="0" w:line="342" w:lineRule="auto"/>
        <w:tabs>
          <w:tab w:leader="none" w:pos="8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 October 4, 2017, Credicorp sold in the Lima Stock Exchange all of its position in the shares of Enel Distribución Perú S.A.A. (43,554,445 shares), at a price of S/5.5 per share, generating cash for approximately S/239.5 million. The operation generated a profit, net of commissions, of approximately S/163.7 million.</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At December 31, 2017, the Group recorded the gain on the sale of these investments in the caption "Net gain on securities" in the consolidated statement of income.</w:t>
      </w:r>
    </w:p>
    <w:p>
      <w:pPr>
        <w:spacing w:after="0" w:line="218" w:lineRule="exact"/>
        <w:rPr>
          <w:sz w:val="20"/>
          <w:szCs w:val="20"/>
          <w:color w:val="auto"/>
        </w:rPr>
      </w:pPr>
    </w:p>
    <w:p>
      <w:pPr>
        <w:ind w:left="560" w:right="260"/>
        <w:spacing w:after="0" w:line="269" w:lineRule="auto"/>
        <w:rPr>
          <w:sz w:val="20"/>
          <w:szCs w:val="20"/>
          <w:color w:val="auto"/>
        </w:rPr>
      </w:pPr>
      <w:r>
        <w:rPr>
          <w:rFonts w:ascii="Arial" w:cs="Arial" w:eastAsia="Arial" w:hAnsi="Arial"/>
          <w:sz w:val="16"/>
          <w:szCs w:val="16"/>
          <w:color w:val="auto"/>
        </w:rPr>
        <w:t>At December 31, 2017 the unrealized gain on listed shares arises mainly from investment in Alicorp S.A.A. and Inversiones Centenario S.A.A. and totaled S/234.1 million, and S/226.5 million,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40" w:type="dxa"/>
            <w:vAlign w:val="bottom"/>
            <w:gridSpan w:val="2"/>
          </w:tcPr>
          <w:p>
            <w:pPr>
              <w:spacing w:after="0"/>
              <w:rPr>
                <w:sz w:val="20"/>
                <w:szCs w:val="20"/>
                <w:color w:val="auto"/>
              </w:rPr>
            </w:pPr>
            <w:r>
              <w:rPr>
                <w:rFonts w:ascii="Arial" w:cs="Arial" w:eastAsia="Arial" w:hAnsi="Arial"/>
                <w:sz w:val="16"/>
                <w:szCs w:val="16"/>
                <w:color w:val="auto"/>
              </w:rPr>
              <w:t>d)  Amortized cost investments consist of the following:</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2018</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28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840" w:type="dxa"/>
            <w:vAlign w:val="bottom"/>
            <w:gridSpan w:val="3"/>
          </w:tcPr>
          <w:p>
            <w:pPr>
              <w:jc w:val="center"/>
              <w:ind w:right="460"/>
              <w:spacing w:after="0" w:line="178" w:lineRule="exact"/>
              <w:rPr>
                <w:sz w:val="20"/>
                <w:szCs w:val="20"/>
                <w:color w:val="auto"/>
              </w:rPr>
            </w:pPr>
            <w:r>
              <w:rPr>
                <w:rFonts w:ascii="Arial" w:cs="Arial" w:eastAsia="Arial" w:hAnsi="Arial"/>
                <w:sz w:val="16"/>
                <w:szCs w:val="16"/>
                <w:b w:val="1"/>
                <w:bCs w:val="1"/>
                <w:color w:val="auto"/>
                <w:w w:val="94"/>
              </w:rPr>
              <w:t>Carrying</w:t>
            </w:r>
          </w:p>
        </w:tc>
        <w:tc>
          <w:tcPr>
            <w:tcW w:w="1140" w:type="dxa"/>
            <w:vAlign w:val="bottom"/>
          </w:tcPr>
          <w:p>
            <w:pPr>
              <w:jc w:val="center"/>
              <w:ind w:right="161"/>
              <w:spacing w:after="0" w:line="17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5"/>
                <w:szCs w:val="15"/>
                <w:color w:val="auto"/>
              </w:rPr>
            </w:pPr>
          </w:p>
        </w:tc>
      </w:tr>
      <w:tr>
        <w:trPr>
          <w:trHeight w:val="205"/>
        </w:trPr>
        <w:tc>
          <w:tcPr>
            <w:tcW w:w="2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84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amount</w:t>
            </w: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value</w:t>
            </w:r>
          </w:p>
        </w:tc>
      </w:tr>
      <w:tr>
        <w:trPr>
          <w:trHeight w:val="198"/>
        </w:trPr>
        <w:tc>
          <w:tcPr>
            <w:tcW w:w="2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Peruvian sovereign bonds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3,166,639</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3,168,202</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Foreign government bonds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347,749</w:t>
            </w:r>
          </w:p>
        </w:tc>
        <w:tc>
          <w:tcPr>
            <w:tcW w:w="2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347,427</w:t>
            </w:r>
          </w:p>
        </w:tc>
      </w:tr>
      <w:tr>
        <w:trPr>
          <w:trHeight w:val="190"/>
        </w:trPr>
        <w:tc>
          <w:tcPr>
            <w:tcW w:w="28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Peruvian treasury bonds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215,751</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215,769</w:t>
            </w:r>
          </w:p>
        </w:tc>
      </w:tr>
      <w:tr>
        <w:trPr>
          <w:trHeight w:val="190"/>
        </w:trPr>
        <w:tc>
          <w:tcPr>
            <w:tcW w:w="28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Corporate bonds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220,203</w:t>
            </w:r>
          </w:p>
        </w:tc>
        <w:tc>
          <w:tcPr>
            <w:tcW w:w="2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217,993</w:t>
            </w:r>
          </w:p>
        </w:tc>
      </w:tr>
      <w:tr>
        <w:trPr>
          <w:trHeight w:val="202"/>
        </w:trPr>
        <w:tc>
          <w:tcPr>
            <w:tcW w:w="2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Certificates of payment on work progress (CRPAO) (*)</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117,139</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117,175</w:t>
            </w:r>
          </w:p>
        </w:tc>
      </w:tr>
      <w:tr>
        <w:trPr>
          <w:trHeight w:val="182"/>
        </w:trPr>
        <w:tc>
          <w:tcPr>
            <w:tcW w:w="28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4,067,481</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4,066,566</w:t>
            </w:r>
          </w:p>
        </w:tc>
        <w:tc>
          <w:tcPr>
            <w:tcW w:w="100" w:type="dxa"/>
            <w:vAlign w:val="bottom"/>
          </w:tcPr>
          <w:p>
            <w:pPr>
              <w:spacing w:after="0"/>
              <w:rPr>
                <w:sz w:val="15"/>
                <w:szCs w:val="15"/>
                <w:color w:val="auto"/>
              </w:rPr>
            </w:pPr>
          </w:p>
        </w:tc>
      </w:tr>
      <w:tr>
        <w:trPr>
          <w:trHeight w:val="202"/>
        </w:trPr>
        <w:tc>
          <w:tcPr>
            <w:tcW w:w="2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87,357</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87,357</w:t>
            </w:r>
          </w:p>
        </w:tc>
      </w:tr>
      <w:tr>
        <w:trPr>
          <w:trHeight w:val="193"/>
        </w:trPr>
        <w:tc>
          <w:tcPr>
            <w:tcW w:w="28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b w:val="1"/>
                <w:bCs w:val="1"/>
                <w:color w:val="auto"/>
              </w:rPr>
              <w:t>Total investments at amortized cost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4,154,838</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4,153,923</w:t>
            </w:r>
          </w:p>
        </w:tc>
        <w:tc>
          <w:tcPr>
            <w:tcW w:w="10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December 31, 2018, the expected credit loss of investments at amortized cost amounts to S/1.5 million.</w:t>
      </w:r>
    </w:p>
    <w:p>
      <w:pPr>
        <w:spacing w:after="0" w:line="195" w:lineRule="exact"/>
        <w:rPr>
          <w:sz w:val="20"/>
          <w:szCs w:val="20"/>
          <w:color w:val="auto"/>
        </w:rPr>
      </w:pPr>
    </w:p>
    <w:p>
      <w:pPr>
        <w:ind w:left="280" w:right="20"/>
        <w:spacing w:after="0" w:line="269" w:lineRule="auto"/>
        <w:rPr>
          <w:sz w:val="20"/>
          <w:szCs w:val="20"/>
          <w:color w:val="auto"/>
        </w:rPr>
      </w:pPr>
      <w:r>
        <w:rPr>
          <w:rFonts w:ascii="Arial" w:cs="Arial" w:eastAsia="Arial" w:hAnsi="Arial"/>
          <w:sz w:val="16"/>
          <w:szCs w:val="16"/>
          <w:color w:val="auto"/>
        </w:rPr>
        <w:t>At December 31, 2018, said bonds have maturities between January 2019 and February 2042, accruing interest at an annual effective interest rate between 3.15 percent and 6.24 percent on bonds denominated in soles and between 1.22 percent and 5.56 percent on bonds in U.S. dollar.</w:t>
      </w:r>
    </w:p>
    <w:p>
      <w:pPr>
        <w:spacing w:after="0" w:line="34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0"/>
          </w:cols>
          <w:pgMar w:left="520" w:top="814" w:right="239" w:bottom="1440" w:gutter="0" w:footer="0" w:header="0"/>
        </w:sectPr>
      </w:pPr>
    </w:p>
    <w:bookmarkStart w:id="77" w:name="page78"/>
    <w:bookmarkEnd w:id="77"/>
    <w:p>
      <w:pPr>
        <w:ind w:left="281" w:right="160"/>
        <w:spacing w:after="0" w:line="269" w:lineRule="auto"/>
        <w:rPr>
          <w:sz w:val="20"/>
          <w:szCs w:val="20"/>
          <w:color w:val="auto"/>
        </w:rPr>
      </w:pPr>
      <w:r>
        <w:rPr>
          <w:rFonts w:ascii="Arial" w:cs="Arial" w:eastAsia="Arial" w:hAnsi="Arial"/>
          <w:sz w:val="16"/>
          <w:szCs w:val="16"/>
          <w:color w:val="auto"/>
        </w:rPr>
        <w:t>Likewise, Credicorp Management has determined that the difference between amortized cost and the fair value of these investments is temporary in nature and Credicorp has the intention and ability to hold each of these investments until its maturity.</w:t>
      </w:r>
    </w:p>
    <w:p>
      <w:pPr>
        <w:spacing w:after="0" w:line="157" w:lineRule="exact"/>
        <w:rPr>
          <w:sz w:val="20"/>
          <w:szCs w:val="20"/>
          <w:color w:val="auto"/>
        </w:rPr>
      </w:pPr>
    </w:p>
    <w:p>
      <w:pPr>
        <w:ind w:left="281" w:right="240"/>
        <w:spacing w:after="0" w:line="258" w:lineRule="auto"/>
        <w:rPr>
          <w:sz w:val="20"/>
          <w:szCs w:val="20"/>
          <w:color w:val="auto"/>
        </w:rPr>
      </w:pPr>
      <w:r>
        <w:rPr>
          <w:rFonts w:ascii="Arial" w:cs="Arial" w:eastAsia="Arial" w:hAnsi="Arial"/>
          <w:sz w:val="16"/>
          <w:szCs w:val="16"/>
          <w:color w:val="auto"/>
        </w:rPr>
        <w:t>At December 31, 2018, the Group has repurchase agreement transactions for investments at amortized cost for an estimated fair value of S/2,953.3 million, the related liability for which is presented in the caption “Payables from repurchase agreements and securities lending” of the consolidated statement of financial position, see Note 5(c).</w:t>
      </w:r>
    </w:p>
    <w:p>
      <w:pPr>
        <w:spacing w:after="0" w:line="165" w:lineRule="exact"/>
        <w:rPr>
          <w:sz w:val="20"/>
          <w:szCs w:val="20"/>
          <w:color w:val="auto"/>
        </w:rPr>
      </w:pPr>
    </w:p>
    <w:p>
      <w:pPr>
        <w:ind w:left="561" w:right="320" w:hanging="276"/>
        <w:spacing w:after="0" w:line="277" w:lineRule="auto"/>
        <w:tabs>
          <w:tab w:leader="none" w:pos="561" w:val="left"/>
        </w:tabs>
        <w:numPr>
          <w:ilvl w:val="1"/>
          <w:numId w:val="89"/>
        </w:numPr>
        <w:rPr>
          <w:rFonts w:ascii="Arial" w:cs="Arial" w:eastAsia="Arial" w:hAnsi="Arial"/>
          <w:sz w:val="15"/>
          <w:szCs w:val="15"/>
          <w:color w:val="auto"/>
        </w:rPr>
      </w:pPr>
      <w:r>
        <w:rPr>
          <w:rFonts w:ascii="Arial" w:cs="Arial" w:eastAsia="Arial" w:hAnsi="Arial"/>
          <w:sz w:val="15"/>
          <w:szCs w:val="15"/>
          <w:color w:val="auto"/>
        </w:rPr>
        <w:t>At December 31, there are 185 certificates of Annual Recognition of Payment for Work Progress (CRPAO from Spanish acronym), respectively, issued by the Peruvian Government to finance projects and concessions. Said issuance is a mechanism established in the concession agreement signed between the State and the concessionaire, which allows the latter to obtain financing to continue with the work undertaken. Said investment matures between January 2019 and April 2026, accruing interest at an annual effective rate between 4.72 percent and 6.02 percent.</w:t>
      </w:r>
    </w:p>
    <w:p>
      <w:pPr>
        <w:spacing w:after="0" w:line="151" w:lineRule="exact"/>
        <w:rPr>
          <w:rFonts w:ascii="Arial" w:cs="Arial" w:eastAsia="Arial" w:hAnsi="Arial"/>
          <w:sz w:val="15"/>
          <w:szCs w:val="15"/>
          <w:color w:val="auto"/>
        </w:rPr>
      </w:pPr>
    </w:p>
    <w:p>
      <w:pPr>
        <w:ind w:left="281" w:hanging="281"/>
        <w:spacing w:after="0"/>
        <w:tabs>
          <w:tab w:leader="none" w:pos="281" w:val="left"/>
        </w:tabs>
        <w:numPr>
          <w:ilvl w:val="0"/>
          <w:numId w:val="89"/>
        </w:numPr>
        <w:rPr>
          <w:rFonts w:ascii="Arial" w:cs="Arial" w:eastAsia="Arial" w:hAnsi="Arial"/>
          <w:sz w:val="16"/>
          <w:szCs w:val="16"/>
          <w:color w:val="auto"/>
        </w:rPr>
      </w:pPr>
      <w:r>
        <w:rPr>
          <w:rFonts w:ascii="Arial" w:cs="Arial" w:eastAsia="Arial" w:hAnsi="Arial"/>
          <w:sz w:val="16"/>
          <w:szCs w:val="16"/>
          <w:color w:val="auto"/>
        </w:rPr>
        <w:t>Held-to-maturity investments consist of the following:</w:t>
      </w:r>
    </w:p>
    <w:p>
      <w:pPr>
        <w:spacing w:after="0" w:line="203" w:lineRule="exact"/>
        <w:rPr>
          <w:sz w:val="20"/>
          <w:szCs w:val="20"/>
          <w:color w:val="auto"/>
        </w:rPr>
      </w:pPr>
    </w:p>
    <w:tbl>
      <w:tblPr>
        <w:tblLayout w:type="fixed"/>
        <w:tblInd w:w="281"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7560" w:type="dxa"/>
            <w:vAlign w:val="bottom"/>
          </w:tcPr>
          <w:p>
            <w:pPr>
              <w:spacing w:after="0"/>
              <w:rPr>
                <w:sz w:val="15"/>
                <w:szCs w:val="15"/>
                <w:color w:val="auto"/>
              </w:rPr>
            </w:pPr>
          </w:p>
        </w:tc>
        <w:tc>
          <w:tcPr>
            <w:tcW w:w="1840" w:type="dxa"/>
            <w:vAlign w:val="bottom"/>
            <w:gridSpan w:val="3"/>
          </w:tcPr>
          <w:p>
            <w:pPr>
              <w:jc w:val="center"/>
              <w:ind w:right="460"/>
              <w:spacing w:after="0" w:line="178" w:lineRule="exact"/>
              <w:rPr>
                <w:sz w:val="20"/>
                <w:szCs w:val="20"/>
                <w:color w:val="auto"/>
              </w:rPr>
            </w:pPr>
            <w:r>
              <w:rPr>
                <w:rFonts w:ascii="Arial" w:cs="Arial" w:eastAsia="Arial" w:hAnsi="Arial"/>
                <w:sz w:val="16"/>
                <w:szCs w:val="16"/>
                <w:b w:val="1"/>
                <w:bCs w:val="1"/>
                <w:color w:val="auto"/>
                <w:w w:val="94"/>
              </w:rPr>
              <w:t>Carrying</w:t>
            </w:r>
          </w:p>
        </w:tc>
        <w:tc>
          <w:tcPr>
            <w:tcW w:w="1140" w:type="dxa"/>
            <w:vAlign w:val="bottom"/>
          </w:tcPr>
          <w:p>
            <w:pPr>
              <w:jc w:val="center"/>
              <w:ind w:right="161"/>
              <w:spacing w:after="0" w:line="17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5"/>
                <w:szCs w:val="15"/>
                <w:color w:val="auto"/>
              </w:rPr>
            </w:pPr>
          </w:p>
        </w:tc>
      </w:tr>
      <w:tr>
        <w:trPr>
          <w:trHeight w:val="205"/>
        </w:trPr>
        <w:tc>
          <w:tcPr>
            <w:tcW w:w="7560" w:type="dxa"/>
            <w:vAlign w:val="bottom"/>
          </w:tcPr>
          <w:p>
            <w:pPr>
              <w:spacing w:after="0"/>
              <w:rPr>
                <w:sz w:val="17"/>
                <w:szCs w:val="17"/>
                <w:color w:val="auto"/>
              </w:rPr>
            </w:pPr>
          </w:p>
        </w:tc>
        <w:tc>
          <w:tcPr>
            <w:tcW w:w="184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amount</w:t>
            </w: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value</w:t>
            </w:r>
          </w:p>
        </w:tc>
      </w:tr>
      <w:tr>
        <w:trPr>
          <w:trHeight w:val="198"/>
        </w:trPr>
        <w:tc>
          <w:tcPr>
            <w:tcW w:w="756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7"/>
                <w:szCs w:val="17"/>
                <w:color w:val="auto"/>
              </w:rPr>
            </w:pPr>
          </w:p>
        </w:tc>
      </w:tr>
      <w:tr>
        <w:trPr>
          <w:trHeight w:val="175"/>
        </w:trPr>
        <w:tc>
          <w:tcPr>
            <w:tcW w:w="7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Peruvian sovereign bonds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3,378,046</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3,700,535</w:t>
            </w:r>
          </w:p>
        </w:tc>
        <w:tc>
          <w:tcPr>
            <w:tcW w:w="10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Foreign government bonds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352,205</w:t>
            </w:r>
          </w:p>
        </w:tc>
        <w:tc>
          <w:tcPr>
            <w:tcW w:w="2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355,438</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Peruvian treasury bonds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217,187</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221,799</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Corporate bonds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246,284</w:t>
            </w:r>
          </w:p>
        </w:tc>
        <w:tc>
          <w:tcPr>
            <w:tcW w:w="2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254,131</w:t>
            </w: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Certificates of payment on work progress (CRPAO) (*)</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129,443</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134,238</w:t>
            </w:r>
          </w:p>
        </w:tc>
      </w:tr>
      <w:tr>
        <w:trPr>
          <w:trHeight w:val="182"/>
        </w:trPr>
        <w:tc>
          <w:tcPr>
            <w:tcW w:w="7560" w:type="dxa"/>
            <w:vAlign w:val="bottom"/>
          </w:tcPr>
          <w:p>
            <w:pPr>
              <w:spacing w:after="0"/>
              <w:rPr>
                <w:sz w:val="15"/>
                <w:szCs w:val="15"/>
                <w:color w:val="auto"/>
              </w:rPr>
            </w:pP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4,323,165</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4,666,141</w:t>
            </w:r>
          </w:p>
        </w:tc>
        <w:tc>
          <w:tcPr>
            <w:tcW w:w="100" w:type="dxa"/>
            <w:vAlign w:val="bottom"/>
          </w:tcPr>
          <w:p>
            <w:pPr>
              <w:spacing w:after="0"/>
              <w:rPr>
                <w:sz w:val="15"/>
                <w:szCs w:val="15"/>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90,208</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90,208</w:t>
            </w:r>
          </w:p>
        </w:tc>
      </w:tr>
      <w:tr>
        <w:trPr>
          <w:trHeight w:val="193"/>
        </w:trPr>
        <w:tc>
          <w:tcPr>
            <w:tcW w:w="7560" w:type="dxa"/>
            <w:vAlign w:val="bottom"/>
          </w:tcPr>
          <w:p>
            <w:pPr>
              <w:spacing w:after="0"/>
              <w:rPr>
                <w:sz w:val="20"/>
                <w:szCs w:val="20"/>
                <w:color w:val="auto"/>
              </w:rPr>
            </w:pPr>
            <w:r>
              <w:rPr>
                <w:rFonts w:ascii="Arial" w:cs="Arial" w:eastAsia="Arial" w:hAnsi="Arial"/>
                <w:sz w:val="16"/>
                <w:szCs w:val="16"/>
                <w:b w:val="1"/>
                <w:bCs w:val="1"/>
                <w:color w:val="auto"/>
              </w:rPr>
              <w:t>Total investments held to maturity</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4,413,373</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4,756,349</w:t>
            </w:r>
          </w:p>
        </w:tc>
        <w:tc>
          <w:tcPr>
            <w:tcW w:w="100" w:type="dxa"/>
            <w:vAlign w:val="bottom"/>
          </w:tcPr>
          <w:p>
            <w:pPr>
              <w:spacing w:after="0"/>
              <w:rPr>
                <w:sz w:val="16"/>
                <w:szCs w:val="16"/>
                <w:color w:val="auto"/>
              </w:rPr>
            </w:pPr>
          </w:p>
        </w:tc>
      </w:tr>
      <w:tr>
        <w:trPr>
          <w:trHeight w:val="20"/>
        </w:trPr>
        <w:tc>
          <w:tcPr>
            <w:tcW w:w="7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1" w:right="40"/>
        <w:spacing w:after="0" w:line="269" w:lineRule="auto"/>
        <w:rPr>
          <w:sz w:val="20"/>
          <w:szCs w:val="20"/>
          <w:color w:val="auto"/>
        </w:rPr>
      </w:pPr>
      <w:r>
        <w:rPr>
          <w:rFonts w:ascii="Arial" w:cs="Arial" w:eastAsia="Arial" w:hAnsi="Arial"/>
          <w:sz w:val="16"/>
          <w:szCs w:val="16"/>
          <w:color w:val="auto"/>
        </w:rPr>
        <w:t>At December 31, 2017, said bonds have maturities between January 2018 and February 2042, accruing interest at an annual effective interest rate between 3.19 percent and 6.09 percent on bonds denominated in soles and between 1.39 percent and 4.55 percent on bonds in U.S. dollar</w:t>
      </w:r>
    </w:p>
    <w:p>
      <w:pPr>
        <w:spacing w:after="0" w:line="157" w:lineRule="exact"/>
        <w:rPr>
          <w:sz w:val="20"/>
          <w:szCs w:val="20"/>
          <w:color w:val="auto"/>
        </w:rPr>
      </w:pPr>
    </w:p>
    <w:p>
      <w:pPr>
        <w:ind w:left="281" w:right="180"/>
        <w:spacing w:after="0" w:line="269" w:lineRule="auto"/>
        <w:rPr>
          <w:sz w:val="20"/>
          <w:szCs w:val="20"/>
          <w:color w:val="auto"/>
        </w:rPr>
      </w:pPr>
      <w:r>
        <w:rPr>
          <w:rFonts w:ascii="Arial" w:cs="Arial" w:eastAsia="Arial" w:hAnsi="Arial"/>
          <w:sz w:val="16"/>
          <w:szCs w:val="16"/>
          <w:color w:val="auto"/>
        </w:rPr>
        <w:t>Likewise, Credicorp Management has determined that the difference between amortized cost and the fair value of held-to-maturity investment is temporary in nature and Credicorp has the intention and ability to hold each of these investments until its maturity.</w:t>
      </w:r>
    </w:p>
    <w:p>
      <w:pPr>
        <w:spacing w:after="0" w:line="157" w:lineRule="exact"/>
        <w:rPr>
          <w:sz w:val="20"/>
          <w:szCs w:val="20"/>
          <w:color w:val="auto"/>
        </w:rPr>
      </w:pPr>
    </w:p>
    <w:p>
      <w:pPr>
        <w:jc w:val="both"/>
        <w:ind w:left="281" w:right="140"/>
        <w:spacing w:after="0" w:line="342" w:lineRule="auto"/>
        <w:rPr>
          <w:sz w:val="20"/>
          <w:szCs w:val="20"/>
          <w:color w:val="auto"/>
        </w:rPr>
      </w:pPr>
      <w:r>
        <w:rPr>
          <w:rFonts w:ascii="Arial" w:cs="Arial" w:eastAsia="Arial" w:hAnsi="Arial"/>
          <w:sz w:val="14"/>
          <w:szCs w:val="14"/>
          <w:color w:val="auto"/>
        </w:rPr>
        <w:t>As of December 31, 2017, the Group has entered into repurchase agreement transactions for held-to-maturity investments for an estimated fair value of S/2,725.8 million, which the related liability is presented in “Payables from repurchase agreements and securities lending” of the consolidated statement of financial position, See Note 5(c).</w:t>
      </w:r>
    </w:p>
    <w:p>
      <w:pPr>
        <w:spacing w:after="0" w:line="110" w:lineRule="exact"/>
        <w:rPr>
          <w:sz w:val="20"/>
          <w:szCs w:val="20"/>
          <w:color w:val="auto"/>
        </w:rPr>
      </w:pPr>
    </w:p>
    <w:p>
      <w:pPr>
        <w:ind w:left="561" w:hanging="276"/>
        <w:spacing w:after="0" w:line="254" w:lineRule="auto"/>
        <w:tabs>
          <w:tab w:leader="none" w:pos="56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At December 31, 2017, there are, 217 certificates of Annual Recognition of Payment for Work Progress (CRPAO from Spanish acronym), respectively, issued by the Peruvian Government to finance projects and concessions. Said issuance is a mechanism established in the concession agreement signed between the State and the concessionaire, which allows the latter to obtain financing to continue with the work undertaken. Said investment has maturities between January 2018 and April 2026, accruing interest at an annual effective rate between 3.90 percent and 5.38 percent.</w:t>
      </w:r>
    </w:p>
    <w:p>
      <w:pPr>
        <w:spacing w:after="0" w:line="359" w:lineRule="exact"/>
        <w:rPr>
          <w:rFonts w:ascii="Arial" w:cs="Arial" w:eastAsia="Arial" w:hAnsi="Arial"/>
          <w:sz w:val="16"/>
          <w:szCs w:val="16"/>
          <w:color w:val="auto"/>
        </w:rPr>
      </w:pPr>
    </w:p>
    <w:p>
      <w:pPr>
        <w:ind w:left="5361" w:hanging="91"/>
        <w:spacing w:after="0"/>
        <w:tabs>
          <w:tab w:leader="none" w:pos="5361" w:val="left"/>
        </w:tabs>
        <w:numPr>
          <w:ilvl w:val="1"/>
          <w:numId w:val="90"/>
        </w:numPr>
        <w:rPr>
          <w:rFonts w:ascii="Arial" w:cs="Arial" w:eastAsia="Arial" w:hAnsi="Arial"/>
          <w:sz w:val="16"/>
          <w:szCs w:val="16"/>
          <w:color w:val="auto"/>
        </w:rPr>
      </w:pPr>
      <w:r>
        <w:rPr>
          <w:rFonts w:ascii="Arial" w:cs="Arial" w:eastAsia="Arial" w:hAnsi="Arial"/>
          <w:sz w:val="16"/>
          <w:szCs w:val="16"/>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4" w:right="219" w:bottom="1440" w:gutter="0" w:footer="0" w:header="0"/>
        </w:sectPr>
      </w:pPr>
    </w:p>
    <w:bookmarkStart w:id="78" w:name="page79"/>
    <w:bookmarkEnd w:id="78"/>
    <w:p>
      <w:pPr>
        <w:ind w:left="560" w:hanging="281"/>
        <w:spacing w:after="0"/>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table below shows the balance of investments, by maturity groupings, before accrued interest: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line="166" w:lineRule="exact"/>
              <w:rPr>
                <w:sz w:val="20"/>
                <w:szCs w:val="20"/>
                <w:color w:val="auto"/>
              </w:rPr>
            </w:pPr>
            <w:r>
              <w:rPr>
                <w:rFonts w:ascii="Arial" w:cs="Arial" w:eastAsia="Arial" w:hAnsi="Arial"/>
                <w:sz w:val="16"/>
                <w:szCs w:val="16"/>
                <w:b w:val="1"/>
                <w:bCs w:val="1"/>
                <w:color w:val="auto"/>
                <w:w w:val="91"/>
              </w:rPr>
              <w:t>At fair value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At fair value</w:t>
            </w: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through other</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through profit</w:t>
            </w: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comprehensive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Amortized</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or loss</w:t>
            </w: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income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8"/>
              </w:rPr>
              <w:t>cost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318,648</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4,280,152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371,498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4280" w:type="dxa"/>
            <w:vAlign w:val="bottom"/>
            <w:gridSpan w:val="3"/>
          </w:tcPr>
          <w:p>
            <w:pPr>
              <w:jc w:val="right"/>
              <w:ind w:right="200"/>
              <w:spacing w:after="0"/>
              <w:rPr>
                <w:sz w:val="20"/>
                <w:szCs w:val="20"/>
                <w:color w:val="auto"/>
              </w:rPr>
            </w:pPr>
            <w:r>
              <w:rPr>
                <w:rFonts w:ascii="Arial" w:cs="Arial" w:eastAsia="Arial" w:hAnsi="Arial"/>
                <w:sz w:val="16"/>
                <w:szCs w:val="16"/>
                <w:color w:val="auto"/>
              </w:rPr>
              <w:t>186,358</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5,842,026</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208,737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485,333</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2,145,494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1,094,642</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From 3 to 5 years</w:t>
            </w:r>
          </w:p>
        </w:tc>
        <w:tc>
          <w:tcPr>
            <w:tcW w:w="4280" w:type="dxa"/>
            <w:vAlign w:val="bottom"/>
            <w:gridSpan w:val="3"/>
          </w:tcPr>
          <w:p>
            <w:pPr>
              <w:jc w:val="right"/>
              <w:ind w:right="200"/>
              <w:spacing w:after="0"/>
              <w:rPr>
                <w:sz w:val="20"/>
                <w:szCs w:val="20"/>
                <w:color w:val="auto"/>
              </w:rPr>
            </w:pPr>
            <w:r>
              <w:rPr>
                <w:rFonts w:ascii="Arial" w:cs="Arial" w:eastAsia="Arial" w:hAnsi="Arial"/>
                <w:sz w:val="16"/>
                <w:szCs w:val="16"/>
                <w:color w:val="auto"/>
              </w:rPr>
              <w:t>152,083</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1,722,051</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272,963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703,476</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10,341,820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2,119,641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Without maturity</w:t>
            </w:r>
          </w:p>
        </w:tc>
        <w:tc>
          <w:tcPr>
            <w:tcW w:w="4280" w:type="dxa"/>
            <w:vAlign w:val="bottom"/>
            <w:gridSpan w:val="3"/>
          </w:tcPr>
          <w:p>
            <w:pPr>
              <w:jc w:val="right"/>
              <w:ind w:right="200"/>
              <w:spacing w:after="0"/>
              <w:rPr>
                <w:sz w:val="20"/>
                <w:szCs w:val="20"/>
                <w:color w:val="auto"/>
              </w:rPr>
            </w:pPr>
            <w:r>
              <w:rPr>
                <w:rFonts w:ascii="Arial" w:cs="Arial" w:eastAsia="Arial" w:hAnsi="Arial"/>
                <w:sz w:val="16"/>
                <w:szCs w:val="16"/>
                <w:color w:val="auto"/>
              </w:rPr>
              <w:t>1,661,678</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649,470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68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3,507,576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24,981,013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4,067,481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0" w:type="dxa"/>
            <w:vAlign w:val="bottom"/>
            <w:gridSpan w:val="2"/>
          </w:tcPr>
          <w:p>
            <w:pPr>
              <w:jc w:val="center"/>
              <w:ind w:right="200"/>
              <w:spacing w:after="0" w:line="166" w:lineRule="exact"/>
              <w:rPr>
                <w:sz w:val="20"/>
                <w:szCs w:val="20"/>
                <w:color w:val="auto"/>
              </w:rPr>
            </w:pPr>
            <w:r>
              <w:rPr>
                <w:rFonts w:ascii="Arial" w:cs="Arial" w:eastAsia="Arial" w:hAnsi="Arial"/>
                <w:sz w:val="16"/>
                <w:szCs w:val="16"/>
                <w:b w:val="1"/>
                <w:bCs w:val="1"/>
                <w:color w:val="auto"/>
                <w:w w:val="91"/>
              </w:rPr>
              <w:t>At fair value</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through profit</w:t>
            </w: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Available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Held to</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or loss</w:t>
            </w: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for sale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maturity</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280" w:type="dxa"/>
            <w:vAlign w:val="bottom"/>
            <w:gridSpan w:val="3"/>
          </w:tcPr>
          <w:p>
            <w:pPr>
              <w:spacing w:after="0"/>
              <w:rPr>
                <w:sz w:val="15"/>
                <w:szCs w:val="15"/>
                <w:color w:val="auto"/>
              </w:rPr>
            </w:pPr>
          </w:p>
        </w:tc>
        <w:tc>
          <w:tcPr>
            <w:tcW w:w="160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1,476,174</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4,987,080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334,791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4280" w:type="dxa"/>
            <w:vAlign w:val="bottom"/>
            <w:gridSpan w:val="3"/>
          </w:tcPr>
          <w:p>
            <w:pPr>
              <w:jc w:val="right"/>
              <w:ind w:right="200"/>
              <w:spacing w:after="0"/>
              <w:rPr>
                <w:sz w:val="20"/>
                <w:szCs w:val="20"/>
                <w:color w:val="auto"/>
              </w:rPr>
            </w:pPr>
            <w:r>
              <w:rPr>
                <w:rFonts w:ascii="Arial" w:cs="Arial" w:eastAsia="Arial" w:hAnsi="Arial"/>
                <w:sz w:val="16"/>
                <w:szCs w:val="16"/>
                <w:color w:val="auto"/>
              </w:rPr>
              <w:t>1,096,855</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3,785,935</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68,690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516,919</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2,407,141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1,625,856</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From 3 to 5 years</w:t>
            </w:r>
          </w:p>
        </w:tc>
        <w:tc>
          <w:tcPr>
            <w:tcW w:w="4280" w:type="dxa"/>
            <w:vAlign w:val="bottom"/>
            <w:gridSpan w:val="3"/>
          </w:tcPr>
          <w:p>
            <w:pPr>
              <w:jc w:val="right"/>
              <w:ind w:right="200"/>
              <w:spacing w:after="0"/>
              <w:rPr>
                <w:sz w:val="20"/>
                <w:szCs w:val="20"/>
                <w:color w:val="auto"/>
              </w:rPr>
            </w:pPr>
            <w:r>
              <w:rPr>
                <w:rFonts w:ascii="Arial" w:cs="Arial" w:eastAsia="Arial" w:hAnsi="Arial"/>
                <w:sz w:val="16"/>
                <w:szCs w:val="16"/>
                <w:color w:val="auto"/>
              </w:rPr>
              <w:t>180,739</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1,516,653</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110,746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574,293</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9,327,327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2,183,082</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Without maturity</w:t>
            </w:r>
          </w:p>
        </w:tc>
        <w:tc>
          <w:tcPr>
            <w:tcW w:w="4280" w:type="dxa"/>
            <w:vAlign w:val="bottom"/>
            <w:gridSpan w:val="3"/>
          </w:tcPr>
          <w:p>
            <w:pPr>
              <w:jc w:val="right"/>
              <w:ind w:right="200"/>
              <w:spacing w:after="0"/>
              <w:rPr>
                <w:sz w:val="20"/>
                <w:szCs w:val="20"/>
                <w:color w:val="auto"/>
              </w:rPr>
            </w:pPr>
            <w:r>
              <w:rPr>
                <w:rFonts w:ascii="Arial" w:cs="Arial" w:eastAsia="Arial" w:hAnsi="Arial"/>
                <w:sz w:val="16"/>
                <w:szCs w:val="16"/>
                <w:color w:val="auto"/>
              </w:rPr>
              <w:t>175,831</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2,179,989</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68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4,020,811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24,204,125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4,323,165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80" w:type="dxa"/>
            <w:vAlign w:val="bottom"/>
            <w:vMerge w:val="restart"/>
          </w:tcPr>
          <w:p>
            <w:pPr>
              <w:jc w:val="right"/>
              <w:ind w:right="541"/>
              <w:spacing w:after="0"/>
              <w:rPr>
                <w:sz w:val="20"/>
                <w:szCs w:val="20"/>
                <w:color w:val="auto"/>
              </w:rPr>
            </w:pPr>
            <w:r>
              <w:rPr>
                <w:rFonts w:ascii="Arial" w:cs="Arial" w:eastAsia="Arial" w:hAnsi="Arial"/>
                <w:sz w:val="16"/>
                <w:szCs w:val="16"/>
                <w:color w:val="auto"/>
              </w:rPr>
              <w:t>- 72 -</w:t>
            </w: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4" w:right="21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7   LOANS, NET</w:t>
            </w:r>
          </w:p>
        </w:tc>
        <w:tc>
          <w:tcPr>
            <w:tcW w:w="3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a)  This item consists of the following:</w:t>
            </w: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720" w:type="dxa"/>
            <w:vAlign w:val="bottom"/>
            <w:gridSpan w:val="2"/>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4"/>
                <w:szCs w:val="24"/>
                <w:color w:val="auto"/>
              </w:rPr>
            </w:pPr>
          </w:p>
        </w:tc>
        <w:tc>
          <w:tcPr>
            <w:tcW w:w="1380" w:type="dxa"/>
            <w:vAlign w:val="bottom"/>
          </w:tcPr>
          <w:p>
            <w:pPr>
              <w:jc w:val="right"/>
              <w:ind w:right="46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 loans -</w:t>
            </w:r>
          </w:p>
        </w:tc>
        <w:tc>
          <w:tcPr>
            <w:tcW w:w="3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Loans</w:t>
            </w:r>
          </w:p>
        </w:tc>
        <w:tc>
          <w:tcPr>
            <w:tcW w:w="4940" w:type="dxa"/>
            <w:vAlign w:val="bottom"/>
            <w:gridSpan w:val="3"/>
          </w:tcPr>
          <w:p>
            <w:pPr>
              <w:jc w:val="right"/>
              <w:ind w:right="220"/>
              <w:spacing w:after="0"/>
              <w:rPr>
                <w:sz w:val="20"/>
                <w:szCs w:val="20"/>
                <w:color w:val="auto"/>
              </w:rPr>
            </w:pPr>
            <w:r>
              <w:rPr>
                <w:rFonts w:ascii="Arial" w:cs="Arial" w:eastAsia="Arial" w:hAnsi="Arial"/>
                <w:sz w:val="16"/>
                <w:szCs w:val="16"/>
                <w:color w:val="auto"/>
              </w:rPr>
              <w:t>86,898,040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77,712,186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Leasing receivables</w:t>
            </w:r>
          </w:p>
        </w:tc>
        <w:tc>
          <w:tcPr>
            <w:tcW w:w="4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6,322,477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7,401,018</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Credit cards</w:t>
            </w:r>
          </w:p>
        </w:tc>
        <w:tc>
          <w:tcPr>
            <w:tcW w:w="4940" w:type="dxa"/>
            <w:vAlign w:val="bottom"/>
            <w:gridSpan w:val="3"/>
          </w:tcPr>
          <w:p>
            <w:pPr>
              <w:jc w:val="right"/>
              <w:ind w:right="220"/>
              <w:spacing w:after="0"/>
              <w:rPr>
                <w:sz w:val="20"/>
                <w:szCs w:val="20"/>
                <w:color w:val="auto"/>
              </w:rPr>
            </w:pPr>
            <w:r>
              <w:rPr>
                <w:rFonts w:ascii="Arial" w:cs="Arial" w:eastAsia="Arial" w:hAnsi="Arial"/>
                <w:sz w:val="16"/>
                <w:szCs w:val="16"/>
                <w:color w:val="auto"/>
              </w:rPr>
              <w:t>7,847,038</w:t>
            </w:r>
          </w:p>
        </w:tc>
        <w:tc>
          <w:tcPr>
            <w:tcW w:w="1380" w:type="dxa"/>
            <w:vAlign w:val="bottom"/>
          </w:tcPr>
          <w:p>
            <w:pPr>
              <w:jc w:val="right"/>
              <w:spacing w:after="0"/>
              <w:rPr>
                <w:sz w:val="20"/>
                <w:szCs w:val="20"/>
                <w:color w:val="auto"/>
              </w:rPr>
            </w:pPr>
            <w:r>
              <w:rPr>
                <w:rFonts w:ascii="Arial" w:cs="Arial" w:eastAsia="Arial" w:hAnsi="Arial"/>
                <w:sz w:val="16"/>
                <w:szCs w:val="16"/>
                <w:color w:val="auto"/>
              </w:rPr>
              <w:t>6,880,017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Discounted notes</w:t>
            </w:r>
          </w:p>
        </w:tc>
        <w:tc>
          <w:tcPr>
            <w:tcW w:w="4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2,313,478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1,999,099</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Factoring receivables</w:t>
            </w:r>
          </w:p>
        </w:tc>
        <w:tc>
          <w:tcPr>
            <w:tcW w:w="4940" w:type="dxa"/>
            <w:vAlign w:val="bottom"/>
            <w:gridSpan w:val="3"/>
          </w:tcPr>
          <w:p>
            <w:pPr>
              <w:jc w:val="right"/>
              <w:ind w:right="220"/>
              <w:spacing w:after="0"/>
              <w:rPr>
                <w:sz w:val="20"/>
                <w:szCs w:val="20"/>
                <w:color w:val="auto"/>
              </w:rPr>
            </w:pPr>
            <w:r>
              <w:rPr>
                <w:rFonts w:ascii="Arial" w:cs="Arial" w:eastAsia="Arial" w:hAnsi="Arial"/>
                <w:sz w:val="16"/>
                <w:szCs w:val="16"/>
                <w:color w:val="auto"/>
              </w:rPr>
              <w:t>1,923,456</w:t>
            </w:r>
          </w:p>
        </w:tc>
        <w:tc>
          <w:tcPr>
            <w:tcW w:w="1380" w:type="dxa"/>
            <w:vAlign w:val="bottom"/>
          </w:tcPr>
          <w:p>
            <w:pPr>
              <w:jc w:val="right"/>
              <w:spacing w:after="0"/>
              <w:rPr>
                <w:sz w:val="20"/>
                <w:szCs w:val="20"/>
                <w:color w:val="auto"/>
              </w:rPr>
            </w:pPr>
            <w:r>
              <w:rPr>
                <w:rFonts w:ascii="Arial" w:cs="Arial" w:eastAsia="Arial" w:hAnsi="Arial"/>
                <w:sz w:val="16"/>
                <w:szCs w:val="16"/>
                <w:color w:val="auto"/>
              </w:rPr>
              <w:t>1,722,436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Advances and overdrafts in current account</w:t>
            </w:r>
          </w:p>
        </w:tc>
        <w:tc>
          <w:tcPr>
            <w:tcW w:w="4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255,027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113,630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Refinanced loans</w:t>
            </w:r>
          </w:p>
        </w:tc>
        <w:tc>
          <w:tcPr>
            <w:tcW w:w="4940" w:type="dxa"/>
            <w:vAlign w:val="bottom"/>
            <w:gridSpan w:val="3"/>
          </w:tcPr>
          <w:p>
            <w:pPr>
              <w:jc w:val="right"/>
              <w:ind w:right="220"/>
              <w:spacing w:after="0"/>
              <w:rPr>
                <w:sz w:val="20"/>
                <w:szCs w:val="20"/>
                <w:color w:val="auto"/>
              </w:rPr>
            </w:pPr>
            <w:r>
              <w:rPr>
                <w:rFonts w:ascii="Arial" w:cs="Arial" w:eastAsia="Arial" w:hAnsi="Arial"/>
                <w:sz w:val="16"/>
                <w:szCs w:val="16"/>
                <w:color w:val="auto"/>
              </w:rPr>
              <w:t>1,281,360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915,493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Restructured loans</w:t>
            </w:r>
          </w:p>
        </w:tc>
        <w:tc>
          <w:tcPr>
            <w:tcW w:w="4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220" w:type="dxa"/>
            <w:vAlign w:val="bottom"/>
          </w:tcPr>
          <w:p>
            <w:pPr>
              <w:spacing w:after="0" w:line="181" w:lineRule="exact"/>
              <w:rPr>
                <w:sz w:val="20"/>
                <w:szCs w:val="20"/>
                <w:color w:val="auto"/>
              </w:rPr>
            </w:pPr>
            <w:r>
              <w:rPr>
                <w:rFonts w:ascii="Arial" w:cs="Arial" w:eastAsia="Arial" w:hAnsi="Arial"/>
                <w:sz w:val="16"/>
                <w:szCs w:val="16"/>
                <w:b w:val="1"/>
                <w:bCs w:val="1"/>
                <w:color w:val="auto"/>
              </w:rPr>
              <w:t>Total direct loans</w:t>
            </w:r>
          </w:p>
        </w:tc>
        <w:tc>
          <w:tcPr>
            <w:tcW w:w="3340" w:type="dxa"/>
            <w:vAlign w:val="bottom"/>
          </w:tcPr>
          <w:p>
            <w:pPr>
              <w:spacing w:after="0"/>
              <w:rPr>
                <w:sz w:val="15"/>
                <w:szCs w:val="15"/>
                <w:color w:val="auto"/>
              </w:rPr>
            </w:pP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106,841,003</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96,744,000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Internal overdue loans and under legal collection loans</w:t>
            </w:r>
          </w:p>
        </w:tc>
        <w:tc>
          <w:tcPr>
            <w:tcW w:w="4940" w:type="dxa"/>
            <w:vAlign w:val="bottom"/>
            <w:gridSpan w:val="3"/>
          </w:tcPr>
          <w:p>
            <w:pPr>
              <w:jc w:val="right"/>
              <w:ind w:right="220"/>
              <w:spacing w:after="0"/>
              <w:rPr>
                <w:sz w:val="20"/>
                <w:szCs w:val="20"/>
                <w:color w:val="auto"/>
              </w:rPr>
            </w:pPr>
            <w:r>
              <w:rPr>
                <w:rFonts w:ascii="Arial" w:cs="Arial" w:eastAsia="Arial" w:hAnsi="Arial"/>
                <w:sz w:val="16"/>
                <w:szCs w:val="16"/>
                <w:color w:val="auto"/>
              </w:rPr>
              <w:t>3,119,621</w:t>
            </w:r>
          </w:p>
        </w:tc>
        <w:tc>
          <w:tcPr>
            <w:tcW w:w="1380" w:type="dxa"/>
            <w:vAlign w:val="bottom"/>
          </w:tcPr>
          <w:p>
            <w:pPr>
              <w:jc w:val="right"/>
              <w:spacing w:after="0"/>
              <w:rPr>
                <w:sz w:val="20"/>
                <w:szCs w:val="20"/>
                <w:color w:val="auto"/>
              </w:rPr>
            </w:pPr>
            <w:r>
              <w:rPr>
                <w:rFonts w:ascii="Arial" w:cs="Arial" w:eastAsia="Arial" w:hAnsi="Arial"/>
                <w:sz w:val="16"/>
                <w:szCs w:val="16"/>
                <w:color w:val="auto"/>
              </w:rPr>
              <w:t>3,020,914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spacing w:after="0"/>
              <w:rPr>
                <w:sz w:val="15"/>
                <w:szCs w:val="15"/>
                <w:color w:val="auto"/>
              </w:rPr>
            </w:pPr>
          </w:p>
        </w:tc>
        <w:tc>
          <w:tcPr>
            <w:tcW w:w="33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109,960,624</w:t>
            </w:r>
          </w:p>
        </w:tc>
        <w:tc>
          <w:tcPr>
            <w:tcW w:w="2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99,764,914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Add (less) -</w:t>
            </w:r>
          </w:p>
        </w:tc>
        <w:tc>
          <w:tcPr>
            <w:tcW w:w="3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4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865,168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779,684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Unearned interest</w:t>
            </w:r>
          </w:p>
        </w:tc>
        <w:tc>
          <w:tcPr>
            <w:tcW w:w="4940" w:type="dxa"/>
            <w:vAlign w:val="bottom"/>
            <w:gridSpan w:val="3"/>
          </w:tcPr>
          <w:p>
            <w:pPr>
              <w:jc w:val="right"/>
              <w:ind w:right="160"/>
              <w:spacing w:after="0"/>
              <w:rPr>
                <w:sz w:val="20"/>
                <w:szCs w:val="20"/>
                <w:color w:val="auto"/>
              </w:rPr>
            </w:pPr>
            <w:r>
              <w:rPr>
                <w:rFonts w:ascii="Arial" w:cs="Arial" w:eastAsia="Arial" w:hAnsi="Arial"/>
                <w:sz w:val="16"/>
                <w:szCs w:val="16"/>
                <w:color w:val="auto"/>
              </w:rPr>
              <w:t>(66,402)</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(66,823)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Total direct loans</w:t>
            </w:r>
          </w:p>
        </w:tc>
        <w:tc>
          <w:tcPr>
            <w:tcW w:w="33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110,759,390</w:t>
            </w:r>
          </w:p>
        </w:tc>
        <w:tc>
          <w:tcPr>
            <w:tcW w:w="2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100,477,775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Allowance for loan losses (d)</w:t>
            </w:r>
          </w:p>
        </w:tc>
        <w:tc>
          <w:tcPr>
            <w:tcW w:w="4940" w:type="dxa"/>
            <w:vAlign w:val="bottom"/>
            <w:gridSpan w:val="3"/>
          </w:tcPr>
          <w:p>
            <w:pPr>
              <w:jc w:val="right"/>
              <w:ind w:right="160"/>
              <w:spacing w:after="0"/>
              <w:rPr>
                <w:sz w:val="20"/>
                <w:szCs w:val="20"/>
                <w:color w:val="auto"/>
              </w:rPr>
            </w:pPr>
            <w:r>
              <w:rPr>
                <w:rFonts w:ascii="Arial" w:cs="Arial" w:eastAsia="Arial" w:hAnsi="Arial"/>
                <w:sz w:val="16"/>
                <w:szCs w:val="16"/>
                <w:color w:val="auto"/>
              </w:rPr>
              <w:t>(4,952,392)</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(4,500,498)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direct loans, net</w:t>
            </w:r>
          </w:p>
        </w:tc>
        <w:tc>
          <w:tcPr>
            <w:tcW w:w="334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105,806,998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95,977,277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Indirect loans, Note 20(a)</w:t>
            </w:r>
          </w:p>
        </w:tc>
        <w:tc>
          <w:tcPr>
            <w:tcW w:w="4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20,774,271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19,369,559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141"/>
              <w:spacing w:after="0"/>
              <w:rPr>
                <w:sz w:val="20"/>
                <w:szCs w:val="20"/>
                <w:color w:val="auto"/>
              </w:rPr>
            </w:pPr>
            <w:r>
              <w:rPr>
                <w:rFonts w:ascii="Arial" w:cs="Arial" w:eastAsia="Arial" w:hAnsi="Arial"/>
                <w:sz w:val="16"/>
                <w:szCs w:val="16"/>
                <w:color w:val="auto"/>
              </w:rPr>
              <w:t>- 73 -</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0" w:right="219" w:bottom="1440" w:gutter="0" w:footer="0" w:header="0"/>
        </w:sectPr>
      </w:pPr>
    </w:p>
    <w:bookmarkStart w:id="80" w:name="page81"/>
    <w:bookmarkEnd w:id="80"/>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Gross portfolio of direct loans segregated by stages is as follows:</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Balance at</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Transfer</w:t>
            </w:r>
          </w:p>
        </w:tc>
        <w:tc>
          <w:tcPr>
            <w:tcW w:w="18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Transfer</w:t>
            </w:r>
          </w:p>
        </w:tc>
        <w:tc>
          <w:tcPr>
            <w:tcW w:w="20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Exchange</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62"/>
        </w:trPr>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Stage 1</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January 1rst,</w:t>
            </w:r>
          </w:p>
        </w:tc>
        <w:tc>
          <w:tcPr>
            <w:tcW w:w="860" w:type="dxa"/>
            <w:vAlign w:val="bottom"/>
            <w:gridSpan w:val="2"/>
          </w:tcPr>
          <w:p>
            <w:pPr>
              <w:jc w:val="center"/>
              <w:ind w:right="136"/>
              <w:spacing w:after="0"/>
              <w:rPr>
                <w:sz w:val="20"/>
                <w:szCs w:val="20"/>
                <w:color w:val="auto"/>
              </w:rPr>
            </w:pPr>
            <w:r>
              <w:rPr>
                <w:rFonts w:ascii="Arial" w:cs="Arial" w:eastAsia="Arial" w:hAnsi="Arial"/>
                <w:sz w:val="13"/>
                <w:szCs w:val="13"/>
                <w:b w:val="1"/>
                <w:bCs w:val="1"/>
                <w:color w:val="auto"/>
                <w:w w:val="88"/>
              </w:rPr>
              <w:t>Transfer to</w:t>
            </w:r>
          </w:p>
        </w:tc>
        <w:tc>
          <w:tcPr>
            <w:tcW w:w="820" w:type="dxa"/>
            <w:vAlign w:val="bottom"/>
            <w:gridSpan w:val="3"/>
          </w:tcPr>
          <w:p>
            <w:pPr>
              <w:jc w:val="center"/>
              <w:ind w:right="138"/>
              <w:spacing w:after="0"/>
              <w:rPr>
                <w:sz w:val="20"/>
                <w:szCs w:val="20"/>
                <w:color w:val="auto"/>
              </w:rPr>
            </w:pPr>
            <w:r>
              <w:rPr>
                <w:rFonts w:ascii="Arial" w:cs="Arial" w:eastAsia="Arial" w:hAnsi="Arial"/>
                <w:sz w:val="13"/>
                <w:szCs w:val="13"/>
                <w:b w:val="1"/>
                <w:bCs w:val="1"/>
                <w:color w:val="auto"/>
                <w:w w:val="88"/>
              </w:rPr>
              <w:t>Transfer to</w:t>
            </w:r>
          </w:p>
        </w:tc>
        <w:tc>
          <w:tcPr>
            <w:tcW w:w="640" w:type="dxa"/>
            <w:vAlign w:val="bottom"/>
            <w:gridSpan w:val="2"/>
          </w:tcPr>
          <w:p>
            <w:pPr>
              <w:ind w:left="200"/>
              <w:spacing w:after="0"/>
              <w:rPr>
                <w:sz w:val="20"/>
                <w:szCs w:val="20"/>
                <w:color w:val="auto"/>
              </w:rPr>
            </w:pPr>
            <w:r>
              <w:rPr>
                <w:rFonts w:ascii="Arial" w:cs="Arial" w:eastAsia="Arial" w:hAnsi="Arial"/>
                <w:sz w:val="13"/>
                <w:szCs w:val="13"/>
                <w:b w:val="1"/>
                <w:bCs w:val="1"/>
                <w:color w:val="auto"/>
              </w:rPr>
              <w:t>from</w:t>
            </w:r>
          </w:p>
        </w:tc>
        <w:tc>
          <w:tcPr>
            <w:tcW w:w="18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Arial" w:cs="Arial" w:eastAsia="Arial" w:hAnsi="Arial"/>
                <w:sz w:val="13"/>
                <w:szCs w:val="13"/>
                <w:b w:val="1"/>
                <w:bCs w:val="1"/>
                <w:color w:val="auto"/>
              </w:rPr>
              <w:t>from</w:t>
            </w:r>
          </w:p>
        </w:tc>
        <w:tc>
          <w:tcPr>
            <w:tcW w:w="20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79"/>
              </w:rPr>
              <w:t>between classes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55"/>
              <w:spacing w:after="0"/>
              <w:rPr>
                <w:sz w:val="20"/>
                <w:szCs w:val="20"/>
                <w:color w:val="auto"/>
              </w:rPr>
            </w:pPr>
            <w:r>
              <w:rPr>
                <w:rFonts w:ascii="Arial" w:cs="Arial" w:eastAsia="Arial" w:hAnsi="Arial"/>
                <w:sz w:val="13"/>
                <w:szCs w:val="13"/>
                <w:b w:val="1"/>
                <w:bCs w:val="1"/>
                <w:color w:val="auto"/>
                <w:w w:val="87"/>
              </w:rPr>
              <w:t>New loans and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158"/>
              <w:spacing w:after="0"/>
              <w:rPr>
                <w:sz w:val="20"/>
                <w:szCs w:val="20"/>
                <w:color w:val="auto"/>
              </w:rPr>
            </w:pPr>
            <w:r>
              <w:rPr>
                <w:rFonts w:ascii="Arial" w:cs="Arial" w:eastAsia="Arial" w:hAnsi="Arial"/>
                <w:sz w:val="13"/>
                <w:szCs w:val="13"/>
                <w:b w:val="1"/>
                <w:bCs w:val="1"/>
                <w:color w:val="auto"/>
                <w:w w:val="84"/>
              </w:rPr>
              <w:t>Sale of loan</w:t>
            </w: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differences</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December</w:t>
            </w:r>
          </w:p>
        </w:tc>
        <w:tc>
          <w:tcPr>
            <w:tcW w:w="0" w:type="dxa"/>
            <w:vAlign w:val="bottom"/>
          </w:tcPr>
          <w:p>
            <w:pPr>
              <w:spacing w:after="0"/>
              <w:rPr>
                <w:sz w:val="1"/>
                <w:szCs w:val="1"/>
                <w:color w:val="auto"/>
              </w:rPr>
            </w:pPr>
          </w:p>
        </w:tc>
      </w:tr>
      <w:tr>
        <w:trPr>
          <w:trHeight w:val="122"/>
        </w:trPr>
        <w:tc>
          <w:tcPr>
            <w:tcW w:w="112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Loans by class</w:t>
            </w:r>
          </w:p>
        </w:tc>
        <w:tc>
          <w:tcPr>
            <w:tcW w:w="80" w:type="dxa"/>
            <w:vAlign w:val="bottom"/>
          </w:tcPr>
          <w:p>
            <w:pPr>
              <w:spacing w:after="0"/>
              <w:rPr>
                <w:sz w:val="10"/>
                <w:szCs w:val="10"/>
                <w:color w:val="auto"/>
              </w:rPr>
            </w:pPr>
          </w:p>
        </w:tc>
        <w:tc>
          <w:tcPr>
            <w:tcW w:w="760" w:type="dxa"/>
            <w:vAlign w:val="bottom"/>
          </w:tcPr>
          <w:p>
            <w:pPr>
              <w:ind w:left="260"/>
              <w:spacing w:after="0" w:line="123"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0"/>
                <w:szCs w:val="10"/>
                <w:color w:val="auto"/>
              </w:rPr>
            </w:pPr>
          </w:p>
        </w:tc>
        <w:tc>
          <w:tcPr>
            <w:tcW w:w="860" w:type="dxa"/>
            <w:vAlign w:val="bottom"/>
            <w:gridSpan w:val="2"/>
          </w:tcPr>
          <w:p>
            <w:pPr>
              <w:jc w:val="center"/>
              <w:ind w:right="136"/>
              <w:spacing w:after="0" w:line="123" w:lineRule="exact"/>
              <w:rPr>
                <w:sz w:val="20"/>
                <w:szCs w:val="20"/>
                <w:color w:val="auto"/>
              </w:rPr>
            </w:pPr>
            <w:r>
              <w:rPr>
                <w:rFonts w:ascii="Arial" w:cs="Arial" w:eastAsia="Arial" w:hAnsi="Arial"/>
                <w:sz w:val="13"/>
                <w:szCs w:val="13"/>
                <w:b w:val="1"/>
                <w:bCs w:val="1"/>
                <w:color w:val="auto"/>
                <w:w w:val="86"/>
              </w:rPr>
              <w:t>Stage 2</w:t>
            </w:r>
          </w:p>
        </w:tc>
        <w:tc>
          <w:tcPr>
            <w:tcW w:w="820" w:type="dxa"/>
            <w:vAlign w:val="bottom"/>
            <w:gridSpan w:val="3"/>
          </w:tcPr>
          <w:p>
            <w:pPr>
              <w:jc w:val="center"/>
              <w:ind w:right="138"/>
              <w:spacing w:after="0" w:line="123" w:lineRule="exact"/>
              <w:rPr>
                <w:sz w:val="20"/>
                <w:szCs w:val="20"/>
                <w:color w:val="auto"/>
              </w:rPr>
            </w:pPr>
            <w:r>
              <w:rPr>
                <w:rFonts w:ascii="Arial" w:cs="Arial" w:eastAsia="Arial" w:hAnsi="Arial"/>
                <w:sz w:val="13"/>
                <w:szCs w:val="13"/>
                <w:b w:val="1"/>
                <w:bCs w:val="1"/>
                <w:color w:val="auto"/>
                <w:w w:val="86"/>
              </w:rPr>
              <w:t>Stage 3</w:t>
            </w:r>
          </w:p>
        </w:tc>
        <w:tc>
          <w:tcPr>
            <w:tcW w:w="640" w:type="dxa"/>
            <w:vAlign w:val="bottom"/>
            <w:gridSpan w:val="2"/>
          </w:tcPr>
          <w:p>
            <w:pPr>
              <w:jc w:val="center"/>
              <w:spacing w:after="0" w:line="123" w:lineRule="exact"/>
              <w:rPr>
                <w:sz w:val="20"/>
                <w:szCs w:val="20"/>
                <w:color w:val="auto"/>
              </w:rPr>
            </w:pPr>
            <w:r>
              <w:rPr>
                <w:rFonts w:ascii="Arial" w:cs="Arial" w:eastAsia="Arial" w:hAnsi="Arial"/>
                <w:sz w:val="13"/>
                <w:szCs w:val="13"/>
                <w:b w:val="1"/>
                <w:bCs w:val="1"/>
                <w:color w:val="auto"/>
                <w:w w:val="86"/>
              </w:rPr>
              <w:t>Stage 2</w:t>
            </w:r>
          </w:p>
        </w:tc>
        <w:tc>
          <w:tcPr>
            <w:tcW w:w="180" w:type="dxa"/>
            <w:vAlign w:val="bottom"/>
          </w:tcPr>
          <w:p>
            <w:pPr>
              <w:spacing w:after="0"/>
              <w:rPr>
                <w:sz w:val="10"/>
                <w:szCs w:val="10"/>
                <w:color w:val="auto"/>
              </w:rPr>
            </w:pPr>
          </w:p>
        </w:tc>
        <w:tc>
          <w:tcPr>
            <w:tcW w:w="620" w:type="dxa"/>
            <w:vAlign w:val="bottom"/>
            <w:gridSpan w:val="2"/>
          </w:tcPr>
          <w:p>
            <w:pPr>
              <w:jc w:val="center"/>
              <w:spacing w:after="0" w:line="123" w:lineRule="exact"/>
              <w:rPr>
                <w:sz w:val="20"/>
                <w:szCs w:val="20"/>
                <w:color w:val="auto"/>
              </w:rPr>
            </w:pPr>
            <w:r>
              <w:rPr>
                <w:rFonts w:ascii="Arial" w:cs="Arial" w:eastAsia="Arial" w:hAnsi="Arial"/>
                <w:sz w:val="13"/>
                <w:szCs w:val="13"/>
                <w:b w:val="1"/>
                <w:bCs w:val="1"/>
                <w:color w:val="auto"/>
                <w:w w:val="82"/>
              </w:rPr>
              <w:t>Stage 3</w:t>
            </w:r>
          </w:p>
        </w:tc>
        <w:tc>
          <w:tcPr>
            <w:tcW w:w="200" w:type="dxa"/>
            <w:vAlign w:val="bottom"/>
          </w:tcPr>
          <w:p>
            <w:pPr>
              <w:spacing w:after="0"/>
              <w:rPr>
                <w:sz w:val="10"/>
                <w:szCs w:val="10"/>
                <w:color w:val="auto"/>
              </w:rPr>
            </w:pPr>
          </w:p>
        </w:tc>
        <w:tc>
          <w:tcPr>
            <w:tcW w:w="840" w:type="dxa"/>
            <w:vAlign w:val="bottom"/>
            <w:gridSpan w:val="2"/>
          </w:tcPr>
          <w:p>
            <w:pPr>
              <w:jc w:val="center"/>
              <w:ind w:right="20"/>
              <w:spacing w:after="0" w:line="123" w:lineRule="exact"/>
              <w:rPr>
                <w:sz w:val="20"/>
                <w:szCs w:val="20"/>
                <w:color w:val="auto"/>
              </w:rPr>
            </w:pPr>
            <w:r>
              <w:rPr>
                <w:rFonts w:ascii="Arial" w:cs="Arial" w:eastAsia="Arial" w:hAnsi="Arial"/>
                <w:sz w:val="13"/>
                <w:szCs w:val="13"/>
                <w:b w:val="1"/>
                <w:bCs w:val="1"/>
                <w:color w:val="auto"/>
                <w:w w:val="84"/>
              </w:rPr>
              <w:t>of loans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right"/>
              <w:ind w:right="35"/>
              <w:spacing w:after="0" w:line="123" w:lineRule="exact"/>
              <w:rPr>
                <w:sz w:val="20"/>
                <w:szCs w:val="20"/>
                <w:color w:val="auto"/>
              </w:rPr>
            </w:pPr>
            <w:r>
              <w:rPr>
                <w:rFonts w:ascii="Arial" w:cs="Arial" w:eastAsia="Arial" w:hAnsi="Arial"/>
                <w:sz w:val="13"/>
                <w:szCs w:val="13"/>
                <w:b w:val="1"/>
                <w:bCs w:val="1"/>
                <w:color w:val="auto"/>
                <w:w w:val="86"/>
              </w:rPr>
              <w:t>liquidation, net</w:t>
            </w:r>
          </w:p>
        </w:tc>
        <w:tc>
          <w:tcPr>
            <w:tcW w:w="140" w:type="dxa"/>
            <w:vAlign w:val="bottom"/>
          </w:tcPr>
          <w:p>
            <w:pPr>
              <w:spacing w:after="0"/>
              <w:rPr>
                <w:sz w:val="10"/>
                <w:szCs w:val="10"/>
                <w:color w:val="auto"/>
              </w:rPr>
            </w:pPr>
          </w:p>
        </w:tc>
        <w:tc>
          <w:tcPr>
            <w:tcW w:w="740" w:type="dxa"/>
            <w:vAlign w:val="bottom"/>
            <w:gridSpan w:val="3"/>
          </w:tcPr>
          <w:p>
            <w:pPr>
              <w:jc w:val="center"/>
              <w:ind w:right="102"/>
              <w:spacing w:after="0" w:line="123" w:lineRule="exact"/>
              <w:rPr>
                <w:sz w:val="20"/>
                <w:szCs w:val="20"/>
                <w:color w:val="auto"/>
              </w:rPr>
            </w:pPr>
            <w:r>
              <w:rPr>
                <w:rFonts w:ascii="Arial" w:cs="Arial" w:eastAsia="Arial" w:hAnsi="Arial"/>
                <w:sz w:val="13"/>
                <w:szCs w:val="13"/>
                <w:b w:val="1"/>
                <w:bCs w:val="1"/>
                <w:color w:val="auto"/>
                <w:w w:val="88"/>
              </w:rPr>
              <w:t>Write-offs</w:t>
            </w:r>
          </w:p>
        </w:tc>
        <w:tc>
          <w:tcPr>
            <w:tcW w:w="80" w:type="dxa"/>
            <w:vAlign w:val="bottom"/>
          </w:tcPr>
          <w:p>
            <w:pPr>
              <w:spacing w:after="0"/>
              <w:rPr>
                <w:sz w:val="10"/>
                <w:szCs w:val="10"/>
                <w:color w:val="auto"/>
              </w:rPr>
            </w:pPr>
          </w:p>
        </w:tc>
        <w:tc>
          <w:tcPr>
            <w:tcW w:w="820" w:type="dxa"/>
            <w:vAlign w:val="bottom"/>
            <w:gridSpan w:val="4"/>
          </w:tcPr>
          <w:p>
            <w:pPr>
              <w:jc w:val="center"/>
              <w:ind w:right="138"/>
              <w:spacing w:after="0" w:line="123" w:lineRule="exact"/>
              <w:rPr>
                <w:sz w:val="20"/>
                <w:szCs w:val="20"/>
                <w:color w:val="auto"/>
              </w:rPr>
            </w:pPr>
            <w:r>
              <w:rPr>
                <w:rFonts w:ascii="Arial" w:cs="Arial" w:eastAsia="Arial" w:hAnsi="Arial"/>
                <w:sz w:val="13"/>
                <w:szCs w:val="13"/>
                <w:b w:val="1"/>
                <w:bCs w:val="1"/>
                <w:color w:val="auto"/>
                <w:w w:val="90"/>
              </w:rPr>
              <w:t>portfolio</w:t>
            </w:r>
          </w:p>
        </w:tc>
        <w:tc>
          <w:tcPr>
            <w:tcW w:w="900" w:type="dxa"/>
            <w:vAlign w:val="bottom"/>
            <w:gridSpan w:val="2"/>
          </w:tcPr>
          <w:p>
            <w:pPr>
              <w:jc w:val="center"/>
              <w:ind w:right="240"/>
              <w:spacing w:after="0" w:line="123" w:lineRule="exact"/>
              <w:rPr>
                <w:sz w:val="20"/>
                <w:szCs w:val="20"/>
                <w:color w:val="auto"/>
              </w:rPr>
            </w:pPr>
            <w:r>
              <w:rPr>
                <w:rFonts w:ascii="Arial" w:cs="Arial" w:eastAsia="Arial" w:hAnsi="Arial"/>
                <w:sz w:val="13"/>
                <w:szCs w:val="13"/>
                <w:b w:val="1"/>
                <w:bCs w:val="1"/>
                <w:color w:val="auto"/>
                <w:w w:val="87"/>
              </w:rPr>
              <w:t>and others</w:t>
            </w:r>
          </w:p>
        </w:tc>
        <w:tc>
          <w:tcPr>
            <w:tcW w:w="660" w:type="dxa"/>
            <w:vAlign w:val="bottom"/>
          </w:tcPr>
          <w:p>
            <w:pPr>
              <w:jc w:val="right"/>
              <w:ind w:right="77"/>
              <w:spacing w:after="0" w:line="123" w:lineRule="exact"/>
              <w:rPr>
                <w:sz w:val="20"/>
                <w:szCs w:val="20"/>
                <w:color w:val="auto"/>
              </w:rPr>
            </w:pPr>
            <w:r>
              <w:rPr>
                <w:rFonts w:ascii="Arial" w:cs="Arial" w:eastAsia="Arial" w:hAnsi="Arial"/>
                <w:sz w:val="13"/>
                <w:szCs w:val="13"/>
                <w:b w:val="1"/>
                <w:bCs w:val="1"/>
                <w:color w:val="auto"/>
                <w:w w:val="98"/>
              </w:rPr>
              <w:t>31, 2018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0"/>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ind w:right="277"/>
              <w:spacing w:after="0" w:line="12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rPr>
              <w:t>Commercial loans</w:t>
            </w:r>
          </w:p>
        </w:tc>
        <w:tc>
          <w:tcPr>
            <w:tcW w:w="920" w:type="dxa"/>
            <w:vAlign w:val="bottom"/>
            <w:tcBorders>
              <w:left w:val="single" w:sz="8" w:color="CCEEFF"/>
            </w:tcBorders>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70,538,767</w:t>
            </w:r>
          </w:p>
        </w:tc>
        <w:tc>
          <w:tcPr>
            <w:tcW w:w="860" w:type="dxa"/>
            <w:vAlign w:val="bottom"/>
            <w:tcBorders>
              <w:right w:val="single" w:sz="8" w:color="CCEEFF"/>
            </w:tcBorders>
            <w:gridSpan w:val="2"/>
            <w:shd w:val="clear" w:color="auto" w:fill="CCEEFF"/>
          </w:tcPr>
          <w:p>
            <w:pPr>
              <w:jc w:val="right"/>
              <w:ind w:right="96"/>
              <w:spacing w:after="0" w:line="131" w:lineRule="exact"/>
              <w:rPr>
                <w:sz w:val="20"/>
                <w:szCs w:val="20"/>
                <w:color w:val="auto"/>
              </w:rPr>
            </w:pPr>
            <w:r>
              <w:rPr>
                <w:rFonts w:ascii="Arial" w:cs="Arial" w:eastAsia="Arial" w:hAnsi="Arial"/>
                <w:sz w:val="13"/>
                <w:szCs w:val="13"/>
                <w:color w:val="auto"/>
              </w:rPr>
              <w:t>(2,216,860)</w:t>
            </w:r>
          </w:p>
        </w:tc>
        <w:tc>
          <w:tcPr>
            <w:tcW w:w="820" w:type="dxa"/>
            <w:vAlign w:val="bottom"/>
            <w:tcBorders>
              <w:right w:val="single" w:sz="8" w:color="CCEEFF"/>
            </w:tcBorders>
            <w:gridSpan w:val="3"/>
            <w:shd w:val="clear" w:color="auto" w:fill="CCEEFF"/>
          </w:tcPr>
          <w:p>
            <w:pPr>
              <w:ind w:left="180"/>
              <w:spacing w:after="0" w:line="131" w:lineRule="exact"/>
              <w:rPr>
                <w:sz w:val="20"/>
                <w:szCs w:val="20"/>
                <w:color w:val="auto"/>
              </w:rPr>
            </w:pPr>
            <w:r>
              <w:rPr>
                <w:rFonts w:ascii="Arial" w:cs="Arial" w:eastAsia="Arial" w:hAnsi="Arial"/>
                <w:sz w:val="13"/>
                <w:szCs w:val="13"/>
                <w:color w:val="auto"/>
              </w:rPr>
              <w:t>(187,558)</w:t>
            </w:r>
          </w:p>
        </w:tc>
        <w:tc>
          <w:tcPr>
            <w:tcW w:w="64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807,179</w:t>
            </w:r>
          </w:p>
        </w:tc>
        <w:tc>
          <w:tcPr>
            <w:tcW w:w="800" w:type="dxa"/>
            <w:vAlign w:val="bottom"/>
            <w:tcBorders>
              <w:right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18,884</w:t>
            </w:r>
          </w:p>
        </w:tc>
        <w:tc>
          <w:tcPr>
            <w:tcW w:w="1040" w:type="dxa"/>
            <w:vAlign w:val="bottom"/>
            <w:tcBorders>
              <w:right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379,440</w:t>
            </w:r>
          </w:p>
        </w:tc>
        <w:tc>
          <w:tcPr>
            <w:tcW w:w="1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4,184,442</w:t>
            </w:r>
          </w:p>
        </w:tc>
        <w:tc>
          <w:tcPr>
            <w:tcW w:w="40" w:type="dxa"/>
            <w:vAlign w:val="bottom"/>
            <w:tcBorders>
              <w:left w:val="single" w:sz="8" w:color="CCEEFF"/>
            </w:tcBorders>
            <w:shd w:val="clear" w:color="auto" w:fill="CCEEFF"/>
          </w:tcPr>
          <w:p>
            <w:pPr>
              <w:spacing w:after="0"/>
              <w:rPr>
                <w:sz w:val="11"/>
                <w:szCs w:val="11"/>
                <w:color w:val="auto"/>
              </w:rPr>
            </w:pPr>
          </w:p>
        </w:tc>
        <w:tc>
          <w:tcPr>
            <w:tcW w:w="880" w:type="dxa"/>
            <w:vAlign w:val="bottom"/>
            <w:gridSpan w:val="4"/>
            <w:shd w:val="clear" w:color="auto" w:fill="CCEEFF"/>
          </w:tcPr>
          <w:p>
            <w:pPr>
              <w:jc w:val="right"/>
              <w:ind w:right="62"/>
              <w:spacing w:after="0" w:line="131" w:lineRule="exact"/>
              <w:rPr>
                <w:sz w:val="20"/>
                <w:szCs w:val="20"/>
                <w:color w:val="auto"/>
              </w:rPr>
            </w:pPr>
            <w:r>
              <w:rPr>
                <w:rFonts w:ascii="Arial" w:cs="Arial" w:eastAsia="Arial" w:hAnsi="Arial"/>
                <w:sz w:val="13"/>
                <w:szCs w:val="13"/>
                <w:color w:val="auto"/>
              </w:rPr>
              <w:t>(7,895)</w:t>
            </w:r>
          </w:p>
        </w:tc>
        <w:tc>
          <w:tcPr>
            <w:tcW w:w="740" w:type="dxa"/>
            <w:vAlign w:val="bottom"/>
            <w:gridSpan w:val="4"/>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left w:val="single" w:sz="8" w:color="CCEEFF"/>
              <w:right w:val="single" w:sz="8" w:color="CCEEFF"/>
            </w:tcBorders>
            <w:shd w:val="clear" w:color="auto" w:fill="CCEEFF"/>
          </w:tcPr>
          <w:p>
            <w:pPr>
              <w:ind w:left="240"/>
              <w:spacing w:after="0" w:line="131" w:lineRule="exact"/>
              <w:rPr>
                <w:sz w:val="20"/>
                <w:szCs w:val="20"/>
                <w:color w:val="auto"/>
              </w:rPr>
            </w:pPr>
            <w:r>
              <w:rPr>
                <w:rFonts w:ascii="Arial" w:cs="Arial" w:eastAsia="Arial" w:hAnsi="Arial"/>
                <w:sz w:val="13"/>
                <w:szCs w:val="13"/>
                <w:color w:val="auto"/>
                <w:w w:val="89"/>
              </w:rPr>
              <w:t>693,669</w:t>
            </w:r>
          </w:p>
        </w:tc>
        <w:tc>
          <w:tcPr>
            <w:tcW w:w="2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8"/>
              </w:rPr>
              <w:t>74,210,068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00" w:type="dxa"/>
            <w:vAlign w:val="bottom"/>
            <w:gridSpan w:val="2"/>
          </w:tcPr>
          <w:p>
            <w:pPr>
              <w:spacing w:after="0" w:line="114" w:lineRule="exact"/>
              <w:rPr>
                <w:sz w:val="20"/>
                <w:szCs w:val="20"/>
                <w:color w:val="auto"/>
              </w:rPr>
            </w:pPr>
            <w:r>
              <w:rPr>
                <w:rFonts w:ascii="Arial" w:cs="Arial" w:eastAsia="Arial" w:hAnsi="Arial"/>
                <w:sz w:val="13"/>
                <w:szCs w:val="13"/>
                <w:color w:val="auto"/>
                <w:w w:val="94"/>
              </w:rPr>
              <w:t>Residential mortgage</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00" w:type="dxa"/>
            <w:vAlign w:val="bottom"/>
            <w:gridSpan w:val="2"/>
          </w:tcPr>
          <w:p>
            <w:pPr>
              <w:spacing w:after="0" w:line="146" w:lineRule="exact"/>
              <w:rPr>
                <w:sz w:val="20"/>
                <w:szCs w:val="20"/>
                <w:color w:val="auto"/>
              </w:rPr>
            </w:pPr>
            <w:r>
              <w:rPr>
                <w:rFonts w:ascii="Arial" w:cs="Arial" w:eastAsia="Arial" w:hAnsi="Arial"/>
                <w:sz w:val="13"/>
                <w:szCs w:val="13"/>
                <w:color w:val="auto"/>
              </w:rPr>
              <w:t>loans</w:t>
            </w:r>
          </w:p>
        </w:tc>
        <w:tc>
          <w:tcPr>
            <w:tcW w:w="9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14,119,221</w:t>
            </w:r>
          </w:p>
        </w:tc>
        <w:tc>
          <w:tcPr>
            <w:tcW w:w="860" w:type="dxa"/>
            <w:vAlign w:val="bottom"/>
            <w:gridSpan w:val="2"/>
          </w:tcPr>
          <w:p>
            <w:pPr>
              <w:jc w:val="right"/>
              <w:ind w:right="96"/>
              <w:spacing w:after="0" w:line="146" w:lineRule="exact"/>
              <w:rPr>
                <w:sz w:val="20"/>
                <w:szCs w:val="20"/>
                <w:color w:val="auto"/>
              </w:rPr>
            </w:pPr>
            <w:r>
              <w:rPr>
                <w:rFonts w:ascii="Arial" w:cs="Arial" w:eastAsia="Arial" w:hAnsi="Arial"/>
                <w:sz w:val="13"/>
                <w:szCs w:val="13"/>
                <w:color w:val="auto"/>
              </w:rPr>
              <w:t>(416,937)</w:t>
            </w:r>
          </w:p>
        </w:tc>
        <w:tc>
          <w:tcPr>
            <w:tcW w:w="820" w:type="dxa"/>
            <w:vAlign w:val="bottom"/>
            <w:gridSpan w:val="3"/>
          </w:tcPr>
          <w:p>
            <w:pPr>
              <w:ind w:left="180"/>
              <w:spacing w:after="0" w:line="146" w:lineRule="exact"/>
              <w:rPr>
                <w:sz w:val="20"/>
                <w:szCs w:val="20"/>
                <w:color w:val="auto"/>
              </w:rPr>
            </w:pPr>
            <w:r>
              <w:rPr>
                <w:rFonts w:ascii="Arial" w:cs="Arial" w:eastAsia="Arial" w:hAnsi="Arial"/>
                <w:sz w:val="13"/>
                <w:szCs w:val="13"/>
                <w:color w:val="auto"/>
              </w:rPr>
              <w:t>(159,561)</w:t>
            </w:r>
          </w:p>
        </w:tc>
        <w:tc>
          <w:tcPr>
            <w:tcW w:w="6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151,660</w:t>
            </w:r>
          </w:p>
        </w:tc>
        <w:tc>
          <w:tcPr>
            <w:tcW w:w="800" w:type="dxa"/>
            <w:vAlign w:val="bottom"/>
            <w:gridSpan w:val="3"/>
          </w:tcPr>
          <w:p>
            <w:pPr>
              <w:jc w:val="right"/>
              <w:spacing w:after="0" w:line="146" w:lineRule="exact"/>
              <w:rPr>
                <w:sz w:val="20"/>
                <w:szCs w:val="20"/>
                <w:color w:val="auto"/>
              </w:rPr>
            </w:pPr>
            <w:r>
              <w:rPr>
                <w:rFonts w:ascii="Arial" w:cs="Arial" w:eastAsia="Arial" w:hAnsi="Arial"/>
                <w:sz w:val="13"/>
                <w:szCs w:val="13"/>
                <w:color w:val="auto"/>
              </w:rPr>
              <w:t>11,333</w:t>
            </w:r>
          </w:p>
        </w:tc>
        <w:tc>
          <w:tcPr>
            <w:tcW w:w="1040" w:type="dxa"/>
            <w:vAlign w:val="bottom"/>
            <w:gridSpan w:val="3"/>
          </w:tcPr>
          <w:p>
            <w:pPr>
              <w:jc w:val="right"/>
              <w:ind w:right="20"/>
              <w:spacing w:after="0" w:line="146" w:lineRule="exact"/>
              <w:rPr>
                <w:sz w:val="20"/>
                <w:szCs w:val="20"/>
                <w:color w:val="auto"/>
              </w:rPr>
            </w:pPr>
            <w:r>
              <w:rPr>
                <w:rFonts w:ascii="Arial" w:cs="Arial" w:eastAsia="Arial" w:hAnsi="Arial"/>
                <w:sz w:val="13"/>
                <w:szCs w:val="13"/>
                <w:color w:val="auto"/>
              </w:rPr>
              <w:t>14,782</w:t>
            </w:r>
          </w:p>
        </w:tc>
        <w:tc>
          <w:tcPr>
            <w:tcW w:w="100" w:type="dxa"/>
            <w:vAlign w:val="bottom"/>
          </w:tcPr>
          <w:p>
            <w:pPr>
              <w:spacing w:after="0"/>
              <w:rPr>
                <w:sz w:val="12"/>
                <w:szCs w:val="12"/>
                <w:color w:val="auto"/>
              </w:rPr>
            </w:pPr>
          </w:p>
        </w:tc>
        <w:tc>
          <w:tcPr>
            <w:tcW w:w="900" w:type="dxa"/>
            <w:vAlign w:val="bottom"/>
            <w:gridSpan w:val="3"/>
          </w:tcPr>
          <w:p>
            <w:pPr>
              <w:jc w:val="right"/>
              <w:ind w:right="20"/>
              <w:spacing w:after="0" w:line="146" w:lineRule="exact"/>
              <w:rPr>
                <w:sz w:val="20"/>
                <w:szCs w:val="20"/>
                <w:color w:val="auto"/>
              </w:rPr>
            </w:pPr>
            <w:r>
              <w:rPr>
                <w:rFonts w:ascii="Arial" w:cs="Arial" w:eastAsia="Arial" w:hAnsi="Arial"/>
                <w:sz w:val="13"/>
                <w:szCs w:val="13"/>
                <w:color w:val="auto"/>
              </w:rPr>
              <w:t>2,216,512</w:t>
            </w:r>
          </w:p>
        </w:tc>
        <w:tc>
          <w:tcPr>
            <w:tcW w:w="40" w:type="dxa"/>
            <w:vAlign w:val="bottom"/>
          </w:tcPr>
          <w:p>
            <w:pPr>
              <w:spacing w:after="0"/>
              <w:rPr>
                <w:sz w:val="12"/>
                <w:szCs w:val="12"/>
                <w:color w:val="auto"/>
              </w:rPr>
            </w:pPr>
          </w:p>
        </w:tc>
        <w:tc>
          <w:tcPr>
            <w:tcW w:w="880" w:type="dxa"/>
            <w:vAlign w:val="bottom"/>
            <w:gridSpan w:val="4"/>
          </w:tcPr>
          <w:p>
            <w:pPr>
              <w:jc w:val="right"/>
              <w:ind w:right="62"/>
              <w:spacing w:after="0" w:line="146" w:lineRule="exact"/>
              <w:rPr>
                <w:sz w:val="20"/>
                <w:szCs w:val="20"/>
                <w:color w:val="auto"/>
              </w:rPr>
            </w:pPr>
            <w:r>
              <w:rPr>
                <w:rFonts w:ascii="Arial" w:cs="Arial" w:eastAsia="Arial" w:hAnsi="Arial"/>
                <w:sz w:val="13"/>
                <w:szCs w:val="13"/>
                <w:color w:val="auto"/>
              </w:rPr>
              <w:t>(126)</w:t>
            </w:r>
          </w:p>
        </w:tc>
        <w:tc>
          <w:tcPr>
            <w:tcW w:w="900" w:type="dxa"/>
            <w:vAlign w:val="bottom"/>
            <w:gridSpan w:val="5"/>
          </w:tcPr>
          <w:p>
            <w:pPr>
              <w:jc w:val="right"/>
              <w:ind w:right="98"/>
              <w:spacing w:after="0" w:line="146" w:lineRule="exact"/>
              <w:rPr>
                <w:sz w:val="20"/>
                <w:szCs w:val="20"/>
                <w:color w:val="auto"/>
              </w:rPr>
            </w:pPr>
            <w:r>
              <w:rPr>
                <w:rFonts w:ascii="Arial" w:cs="Arial" w:eastAsia="Arial" w:hAnsi="Arial"/>
                <w:sz w:val="13"/>
                <w:szCs w:val="13"/>
                <w:color w:val="auto"/>
              </w:rPr>
              <w:t>(70)</w:t>
            </w:r>
          </w:p>
        </w:tc>
        <w:tc>
          <w:tcPr>
            <w:tcW w:w="700" w:type="dxa"/>
            <w:vAlign w:val="bottom"/>
          </w:tcPr>
          <w:p>
            <w:pPr>
              <w:ind w:left="240"/>
              <w:spacing w:after="0" w:line="146" w:lineRule="exact"/>
              <w:rPr>
                <w:sz w:val="20"/>
                <w:szCs w:val="20"/>
                <w:color w:val="auto"/>
              </w:rPr>
            </w:pPr>
            <w:r>
              <w:rPr>
                <w:rFonts w:ascii="Arial" w:cs="Arial" w:eastAsia="Arial" w:hAnsi="Arial"/>
                <w:sz w:val="13"/>
                <w:szCs w:val="13"/>
                <w:color w:val="auto"/>
                <w:w w:val="89"/>
              </w:rPr>
              <w:t>112,296</w:t>
            </w:r>
          </w:p>
        </w:tc>
        <w:tc>
          <w:tcPr>
            <w:tcW w:w="200" w:type="dxa"/>
            <w:vAlign w:val="bottom"/>
          </w:tcPr>
          <w:p>
            <w:pPr>
              <w:spacing w:after="0"/>
              <w:rPr>
                <w:sz w:val="12"/>
                <w:szCs w:val="12"/>
                <w:color w:val="auto"/>
              </w:rPr>
            </w:pPr>
          </w:p>
        </w:tc>
        <w:tc>
          <w:tcPr>
            <w:tcW w:w="7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w w:val="98"/>
              </w:rPr>
              <w:t>16,049,110</w:t>
            </w: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w w:val="94"/>
              </w:rPr>
              <w:t>Micro-business loans</w:t>
            </w:r>
          </w:p>
        </w:tc>
        <w:tc>
          <w:tcPr>
            <w:tcW w:w="920" w:type="dxa"/>
            <w:vAlign w:val="bottom"/>
            <w:tcBorders>
              <w:left w:val="single" w:sz="8" w:color="CCEEFF"/>
            </w:tcBorders>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11,561,250</w:t>
            </w:r>
          </w:p>
        </w:tc>
        <w:tc>
          <w:tcPr>
            <w:tcW w:w="860" w:type="dxa"/>
            <w:vAlign w:val="bottom"/>
            <w:tcBorders>
              <w:right w:val="single" w:sz="8" w:color="CCEEFF"/>
            </w:tcBorders>
            <w:gridSpan w:val="2"/>
            <w:shd w:val="clear" w:color="auto" w:fill="CCEEFF"/>
          </w:tcPr>
          <w:p>
            <w:pPr>
              <w:jc w:val="right"/>
              <w:ind w:right="96"/>
              <w:spacing w:after="0" w:line="131" w:lineRule="exact"/>
              <w:rPr>
                <w:sz w:val="20"/>
                <w:szCs w:val="20"/>
                <w:color w:val="auto"/>
              </w:rPr>
            </w:pPr>
            <w:r>
              <w:rPr>
                <w:rFonts w:ascii="Arial" w:cs="Arial" w:eastAsia="Arial" w:hAnsi="Arial"/>
                <w:sz w:val="13"/>
                <w:szCs w:val="13"/>
                <w:color w:val="auto"/>
              </w:rPr>
              <w:t>(612,647)</w:t>
            </w:r>
          </w:p>
        </w:tc>
        <w:tc>
          <w:tcPr>
            <w:tcW w:w="820" w:type="dxa"/>
            <w:vAlign w:val="bottom"/>
            <w:tcBorders>
              <w:right w:val="single" w:sz="8" w:color="CCEEFF"/>
            </w:tcBorders>
            <w:gridSpan w:val="3"/>
            <w:shd w:val="clear" w:color="auto" w:fill="CCEEFF"/>
          </w:tcPr>
          <w:p>
            <w:pPr>
              <w:ind w:left="180"/>
              <w:spacing w:after="0" w:line="131" w:lineRule="exact"/>
              <w:rPr>
                <w:sz w:val="20"/>
                <w:szCs w:val="20"/>
                <w:color w:val="auto"/>
              </w:rPr>
            </w:pPr>
            <w:r>
              <w:rPr>
                <w:rFonts w:ascii="Arial" w:cs="Arial" w:eastAsia="Arial" w:hAnsi="Arial"/>
                <w:sz w:val="13"/>
                <w:szCs w:val="13"/>
                <w:color w:val="auto"/>
              </w:rPr>
              <w:t>(325,773)</w:t>
            </w:r>
          </w:p>
        </w:tc>
        <w:tc>
          <w:tcPr>
            <w:tcW w:w="64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412,930</w:t>
            </w:r>
          </w:p>
        </w:tc>
        <w:tc>
          <w:tcPr>
            <w:tcW w:w="800" w:type="dxa"/>
            <w:vAlign w:val="bottom"/>
            <w:tcBorders>
              <w:right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13,543</w:t>
            </w:r>
          </w:p>
        </w:tc>
        <w:tc>
          <w:tcPr>
            <w:tcW w:w="1140" w:type="dxa"/>
            <w:vAlign w:val="bottom"/>
            <w:gridSpan w:val="4"/>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(360,158)</w:t>
            </w:r>
          </w:p>
        </w:tc>
        <w:tc>
          <w:tcPr>
            <w:tcW w:w="900" w:type="dxa"/>
            <w:vAlign w:val="bottom"/>
            <w:tcBorders>
              <w:right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1,664,637</w:t>
            </w:r>
          </w:p>
        </w:tc>
        <w:tc>
          <w:tcPr>
            <w:tcW w:w="40" w:type="dxa"/>
            <w:vAlign w:val="bottom"/>
            <w:tcBorders>
              <w:left w:val="single" w:sz="8" w:color="CCEEFF"/>
            </w:tcBorders>
            <w:shd w:val="clear" w:color="auto" w:fill="CCEEFF"/>
          </w:tcPr>
          <w:p>
            <w:pPr>
              <w:spacing w:after="0"/>
              <w:rPr>
                <w:sz w:val="11"/>
                <w:szCs w:val="11"/>
                <w:color w:val="auto"/>
              </w:rPr>
            </w:pPr>
          </w:p>
        </w:tc>
        <w:tc>
          <w:tcPr>
            <w:tcW w:w="880" w:type="dxa"/>
            <w:vAlign w:val="bottom"/>
            <w:gridSpan w:val="4"/>
            <w:shd w:val="clear" w:color="auto" w:fill="CCEEFF"/>
          </w:tcPr>
          <w:p>
            <w:pPr>
              <w:jc w:val="right"/>
              <w:ind w:right="62"/>
              <w:spacing w:after="0" w:line="131" w:lineRule="exact"/>
              <w:rPr>
                <w:sz w:val="20"/>
                <w:szCs w:val="20"/>
                <w:color w:val="auto"/>
              </w:rPr>
            </w:pPr>
            <w:r>
              <w:rPr>
                <w:rFonts w:ascii="Arial" w:cs="Arial" w:eastAsia="Arial" w:hAnsi="Arial"/>
                <w:sz w:val="13"/>
                <w:szCs w:val="13"/>
                <w:color w:val="auto"/>
              </w:rPr>
              <w:t>(152,431)</w:t>
            </w:r>
          </w:p>
        </w:tc>
        <w:tc>
          <w:tcPr>
            <w:tcW w:w="740" w:type="dxa"/>
            <w:vAlign w:val="bottom"/>
            <w:gridSpan w:val="4"/>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left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34,789</w:t>
            </w:r>
          </w:p>
        </w:tc>
        <w:tc>
          <w:tcPr>
            <w:tcW w:w="2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8"/>
              </w:rPr>
              <w:t>12,236,140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760" w:type="dxa"/>
            <w:vAlign w:val="bottom"/>
          </w:tcPr>
          <w:p>
            <w:pPr>
              <w:ind w:left="260"/>
              <w:spacing w:after="0" w:line="143" w:lineRule="exact"/>
              <w:rPr>
                <w:sz w:val="20"/>
                <w:szCs w:val="20"/>
                <w:color w:val="auto"/>
              </w:rPr>
            </w:pPr>
            <w:r>
              <w:rPr>
                <w:rFonts w:ascii="Arial" w:cs="Arial" w:eastAsia="Arial" w:hAnsi="Arial"/>
                <w:sz w:val="13"/>
                <w:szCs w:val="13"/>
                <w:color w:val="auto"/>
                <w:w w:val="79"/>
              </w:rPr>
              <w:t>9,333,443</w:t>
            </w:r>
          </w:p>
        </w:tc>
        <w:tc>
          <w:tcPr>
            <w:tcW w:w="160" w:type="dxa"/>
            <w:vAlign w:val="bottom"/>
          </w:tcPr>
          <w:p>
            <w:pPr>
              <w:spacing w:after="0"/>
              <w:rPr>
                <w:sz w:val="12"/>
                <w:szCs w:val="12"/>
                <w:color w:val="auto"/>
              </w:rPr>
            </w:pPr>
          </w:p>
        </w:tc>
        <w:tc>
          <w:tcPr>
            <w:tcW w:w="860" w:type="dxa"/>
            <w:vAlign w:val="bottom"/>
            <w:gridSpan w:val="2"/>
          </w:tcPr>
          <w:p>
            <w:pPr>
              <w:jc w:val="right"/>
              <w:ind w:right="96"/>
              <w:spacing w:after="0" w:line="143" w:lineRule="exact"/>
              <w:rPr>
                <w:sz w:val="20"/>
                <w:szCs w:val="20"/>
                <w:color w:val="auto"/>
              </w:rPr>
            </w:pPr>
            <w:r>
              <w:rPr>
                <w:rFonts w:ascii="Arial" w:cs="Arial" w:eastAsia="Arial" w:hAnsi="Arial"/>
                <w:sz w:val="13"/>
                <w:szCs w:val="13"/>
                <w:color w:val="auto"/>
              </w:rPr>
              <w:t>(654,148)</w:t>
            </w:r>
          </w:p>
        </w:tc>
        <w:tc>
          <w:tcPr>
            <w:tcW w:w="8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(203,805)</w:t>
            </w: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453,760</w:t>
            </w:r>
          </w:p>
        </w:tc>
        <w:tc>
          <w:tcPr>
            <w:tcW w:w="80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21,458</w:t>
            </w:r>
          </w:p>
        </w:tc>
        <w:tc>
          <w:tcPr>
            <w:tcW w:w="1140" w:type="dxa"/>
            <w:vAlign w:val="bottom"/>
            <w:gridSpan w:val="4"/>
          </w:tcPr>
          <w:p>
            <w:pPr>
              <w:jc w:val="right"/>
              <w:ind w:right="17"/>
              <w:spacing w:after="0" w:line="143" w:lineRule="exact"/>
              <w:rPr>
                <w:sz w:val="20"/>
                <w:szCs w:val="20"/>
                <w:color w:val="auto"/>
              </w:rPr>
            </w:pPr>
            <w:r>
              <w:rPr>
                <w:rFonts w:ascii="Arial" w:cs="Arial" w:eastAsia="Arial" w:hAnsi="Arial"/>
                <w:sz w:val="13"/>
                <w:szCs w:val="13"/>
                <w:color w:val="auto"/>
              </w:rPr>
              <w:t>(34,064)</w:t>
            </w:r>
          </w:p>
        </w:tc>
        <w:tc>
          <w:tcPr>
            <w:tcW w:w="90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1,911,174</w:t>
            </w:r>
          </w:p>
        </w:tc>
        <w:tc>
          <w:tcPr>
            <w:tcW w:w="40" w:type="dxa"/>
            <w:vAlign w:val="bottom"/>
          </w:tcPr>
          <w:p>
            <w:pPr>
              <w:spacing w:after="0"/>
              <w:rPr>
                <w:sz w:val="12"/>
                <w:szCs w:val="12"/>
                <w:color w:val="auto"/>
              </w:rPr>
            </w:pPr>
          </w:p>
        </w:tc>
        <w:tc>
          <w:tcPr>
            <w:tcW w:w="880" w:type="dxa"/>
            <w:vAlign w:val="bottom"/>
            <w:gridSpan w:val="4"/>
          </w:tcPr>
          <w:p>
            <w:pPr>
              <w:jc w:val="right"/>
              <w:ind w:right="62"/>
              <w:spacing w:after="0" w:line="143" w:lineRule="exact"/>
              <w:rPr>
                <w:sz w:val="20"/>
                <w:szCs w:val="20"/>
                <w:color w:val="auto"/>
              </w:rPr>
            </w:pPr>
            <w:r>
              <w:rPr>
                <w:rFonts w:ascii="Arial" w:cs="Arial" w:eastAsia="Arial" w:hAnsi="Arial"/>
                <w:sz w:val="13"/>
                <w:szCs w:val="13"/>
                <w:color w:val="auto"/>
              </w:rPr>
              <w:t>(144,796)</w:t>
            </w:r>
          </w:p>
        </w:tc>
        <w:tc>
          <w:tcPr>
            <w:tcW w:w="74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29,849</w:t>
            </w:r>
          </w:p>
        </w:tc>
        <w:tc>
          <w:tcPr>
            <w:tcW w:w="2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w w:val="98"/>
              </w:rPr>
              <w:t>10,712,871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jc w:val="right"/>
              <w:ind w:right="96"/>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62"/>
              <w:spacing w:after="0"/>
              <w:rPr>
                <w:sz w:val="20"/>
                <w:szCs w:val="20"/>
                <w:color w:val="auto"/>
              </w:rPr>
            </w:pPr>
            <w:r>
              <w:rPr>
                <w:rFonts w:ascii="Arial" w:cs="Arial" w:eastAsia="Arial" w:hAnsi="Arial"/>
                <w:sz w:val="1"/>
                <w:szCs w:val="1"/>
                <w:color w:val="auto"/>
                <w:w w:val="4294967281"/>
              </w:rPr>
              <w:t>)</w:t>
            </w:r>
          </w:p>
        </w:tc>
        <w:tc>
          <w:tcPr>
            <w:tcW w:w="8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gridSpan w:val="2"/>
            <w:vMerge w:val="restart"/>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00" w:type="dxa"/>
            <w:vAlign w:val="bottom"/>
            <w:tcBorders>
              <w:right w:val="single" w:sz="8" w:color="CCEEFF"/>
            </w:tcBorders>
            <w:gridSpan w:val="2"/>
            <w:vMerge w:val="continue"/>
            <w:shd w:val="clear" w:color="auto" w:fill="CCEEFF"/>
          </w:tcPr>
          <w:p>
            <w:pPr>
              <w:spacing w:after="0"/>
              <w:rPr>
                <w:sz w:val="13"/>
                <w:szCs w:val="13"/>
                <w:color w:val="auto"/>
              </w:rPr>
            </w:pPr>
          </w:p>
        </w:tc>
        <w:tc>
          <w:tcPr>
            <w:tcW w:w="7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105,552,681</w:t>
            </w:r>
          </w:p>
        </w:tc>
        <w:tc>
          <w:tcPr>
            <w:tcW w:w="16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center"/>
              <w:ind w:left="57"/>
              <w:spacing w:after="0"/>
              <w:rPr>
                <w:sz w:val="20"/>
                <w:szCs w:val="20"/>
                <w:color w:val="auto"/>
              </w:rPr>
            </w:pPr>
            <w:r>
              <w:rPr>
                <w:rFonts w:ascii="Arial" w:cs="Arial" w:eastAsia="Arial" w:hAnsi="Arial"/>
                <w:sz w:val="13"/>
                <w:szCs w:val="13"/>
                <w:color w:val="auto"/>
                <w:w w:val="86"/>
              </w:rPr>
              <w:t>(3,900,592</w:t>
            </w:r>
          </w:p>
        </w:tc>
        <w:tc>
          <w:tcPr>
            <w:tcW w:w="200" w:type="dxa"/>
            <w:vAlign w:val="bottom"/>
            <w:tcBorders>
              <w:right w:val="single" w:sz="8" w:color="CCEEFF"/>
            </w:tcBorders>
            <w:vMerge w:val="continue"/>
            <w:shd w:val="clear" w:color="auto" w:fill="CCEEFF"/>
          </w:tcPr>
          <w:p>
            <w:pPr>
              <w:spacing w:after="0"/>
              <w:rPr>
                <w:sz w:val="13"/>
                <w:szCs w:val="13"/>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5"/>
              </w:rPr>
              <w:t>(876,697</w:t>
            </w:r>
          </w:p>
        </w:tc>
        <w:tc>
          <w:tcPr>
            <w:tcW w:w="180" w:type="dxa"/>
            <w:vAlign w:val="bottom"/>
            <w:tcBorders>
              <w:right w:val="single" w:sz="8" w:color="CCEEFF"/>
            </w:tcBorders>
            <w:vMerge w:val="continue"/>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1,825,529</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65,218</w:t>
            </w:r>
          </w:p>
        </w:tc>
        <w:tc>
          <w:tcPr>
            <w:tcW w:w="20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9,976,765</w:t>
            </w:r>
          </w:p>
        </w:tc>
        <w:tc>
          <w:tcPr>
            <w:tcW w:w="40" w:type="dxa"/>
            <w:vAlign w:val="bottom"/>
            <w:tcBorders>
              <w:left w:val="single" w:sz="8" w:color="CCEEFF"/>
            </w:tcBorders>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(305,248</w:t>
            </w:r>
          </w:p>
        </w:tc>
        <w:tc>
          <w:tcPr>
            <w:tcW w:w="10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80" w:type="dxa"/>
            <w:vAlign w:val="bottom"/>
            <w:tcBorders>
              <w:right w:val="single" w:sz="8" w:color="CCEEFF"/>
            </w:tcBorders>
            <w:gridSpan w:val="2"/>
            <w:vMerge w:val="continue"/>
            <w:shd w:val="clear" w:color="auto" w:fill="CCEEFF"/>
          </w:tcPr>
          <w:p>
            <w:pPr>
              <w:spacing w:after="0"/>
              <w:rPr>
                <w:sz w:val="13"/>
                <w:szCs w:val="13"/>
                <w:color w:val="auto"/>
              </w:rPr>
            </w:pPr>
          </w:p>
        </w:tc>
        <w:tc>
          <w:tcPr>
            <w:tcW w:w="700" w:type="dxa"/>
            <w:vAlign w:val="bottom"/>
            <w:tcBorders>
              <w:left w:val="single" w:sz="8" w:color="CCEEFF"/>
              <w:right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w w:val="89"/>
              </w:rPr>
              <w:t>870,603</w:t>
            </w:r>
          </w:p>
        </w:tc>
        <w:tc>
          <w:tcPr>
            <w:tcW w:w="20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113,208,189</w:t>
            </w:r>
          </w:p>
        </w:tc>
        <w:tc>
          <w:tcPr>
            <w:tcW w:w="0" w:type="dxa"/>
            <w:vAlign w:val="bottom"/>
          </w:tcPr>
          <w:p>
            <w:pPr>
              <w:spacing w:after="0"/>
              <w:rPr>
                <w:sz w:val="1"/>
                <w:szCs w:val="1"/>
                <w:color w:val="auto"/>
              </w:rPr>
            </w:pPr>
          </w:p>
        </w:tc>
      </w:tr>
      <w:tr>
        <w:trPr>
          <w:trHeight w:val="24"/>
        </w:trPr>
        <w:tc>
          <w:tcPr>
            <w:tcW w:w="11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60" w:type="dxa"/>
            <w:vAlign w:val="bottom"/>
            <w:tcBorders>
              <w:left w:val="single" w:sz="8" w:color="auto"/>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700" w:type="dxa"/>
            <w:vAlign w:val="bottom"/>
            <w:tcBorders>
              <w:left w:val="single" w:sz="8" w:color="auto"/>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1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Stage 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160" w:type="dxa"/>
            <w:vAlign w:val="bottom"/>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Transfer to</w:t>
            </w:r>
          </w:p>
        </w:tc>
        <w:tc>
          <w:tcPr>
            <w:tcW w:w="200" w:type="dxa"/>
            <w:vAlign w:val="bottom"/>
            <w:vMerge w:val="restart"/>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Transfer to</w:t>
            </w:r>
          </w:p>
        </w:tc>
        <w:tc>
          <w:tcPr>
            <w:tcW w:w="180" w:type="dxa"/>
            <w:vAlign w:val="bottom"/>
            <w:vMerge w:val="restart"/>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Transfer</w:t>
            </w:r>
          </w:p>
        </w:tc>
        <w:tc>
          <w:tcPr>
            <w:tcW w:w="18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Transfer</w:t>
            </w:r>
          </w:p>
        </w:tc>
        <w:tc>
          <w:tcPr>
            <w:tcW w:w="200" w:type="dxa"/>
            <w:vAlign w:val="bottom"/>
          </w:tcPr>
          <w:p>
            <w:pPr>
              <w:spacing w:after="0"/>
              <w:rPr>
                <w:sz w:val="24"/>
                <w:szCs w:val="2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w w:val="85"/>
              </w:rPr>
              <w:t>New loans and</w:t>
            </w:r>
          </w:p>
        </w:tc>
        <w:tc>
          <w:tcPr>
            <w:tcW w:w="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vMerge w:val="restart"/>
          </w:tcPr>
          <w:p>
            <w:pPr>
              <w:jc w:val="center"/>
              <w:ind w:right="98"/>
              <w:spacing w:after="0"/>
              <w:rPr>
                <w:sz w:val="20"/>
                <w:szCs w:val="20"/>
                <w:color w:val="auto"/>
              </w:rPr>
            </w:pPr>
            <w:r>
              <w:rPr>
                <w:rFonts w:ascii="Arial" w:cs="Arial" w:eastAsia="Arial" w:hAnsi="Arial"/>
                <w:sz w:val="13"/>
                <w:szCs w:val="13"/>
                <w:b w:val="1"/>
                <w:bCs w:val="1"/>
                <w:color w:val="auto"/>
                <w:w w:val="87"/>
              </w:rPr>
              <w:t>Sale of loan</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Exchange</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50"/>
        </w:trPr>
        <w:tc>
          <w:tcPr>
            <w:tcW w:w="1200" w:type="dxa"/>
            <w:vAlign w:val="bottom"/>
            <w:gridSpan w:val="2"/>
            <w:vMerge w:val="continue"/>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January 1rst,</w:t>
            </w:r>
          </w:p>
        </w:tc>
        <w:tc>
          <w:tcPr>
            <w:tcW w:w="6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40" w:type="dxa"/>
            <w:vAlign w:val="bottom"/>
            <w:gridSpan w:val="2"/>
          </w:tcPr>
          <w:p>
            <w:pPr>
              <w:ind w:left="200"/>
              <w:spacing w:after="0"/>
              <w:rPr>
                <w:sz w:val="20"/>
                <w:szCs w:val="20"/>
                <w:color w:val="auto"/>
              </w:rPr>
            </w:pPr>
            <w:r>
              <w:rPr>
                <w:rFonts w:ascii="Arial" w:cs="Arial" w:eastAsia="Arial" w:hAnsi="Arial"/>
                <w:sz w:val="13"/>
                <w:szCs w:val="13"/>
                <w:b w:val="1"/>
                <w:bCs w:val="1"/>
                <w:color w:val="auto"/>
              </w:rPr>
              <w:t>from</w:t>
            </w:r>
          </w:p>
        </w:tc>
        <w:tc>
          <w:tcPr>
            <w:tcW w:w="180" w:type="dxa"/>
            <w:vAlign w:val="bottom"/>
          </w:tcPr>
          <w:p>
            <w:pPr>
              <w:spacing w:after="0"/>
              <w:rPr>
                <w:sz w:val="13"/>
                <w:szCs w:val="13"/>
                <w:color w:val="auto"/>
              </w:rPr>
            </w:pPr>
          </w:p>
        </w:tc>
        <w:tc>
          <w:tcPr>
            <w:tcW w:w="620" w:type="dxa"/>
            <w:vAlign w:val="bottom"/>
            <w:gridSpan w:val="2"/>
          </w:tcPr>
          <w:p>
            <w:pPr>
              <w:ind w:left="180"/>
              <w:spacing w:after="0"/>
              <w:rPr>
                <w:sz w:val="20"/>
                <w:szCs w:val="20"/>
                <w:color w:val="auto"/>
              </w:rPr>
            </w:pPr>
            <w:r>
              <w:rPr>
                <w:rFonts w:ascii="Arial" w:cs="Arial" w:eastAsia="Arial" w:hAnsi="Arial"/>
                <w:sz w:val="13"/>
                <w:szCs w:val="13"/>
                <w:b w:val="1"/>
                <w:bCs w:val="1"/>
                <w:color w:val="auto"/>
              </w:rPr>
              <w:t>from</w:t>
            </w:r>
          </w:p>
        </w:tc>
        <w:tc>
          <w:tcPr>
            <w:tcW w:w="20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79"/>
              </w:rPr>
              <w:t>between classes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differences</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22"/>
        </w:trPr>
        <w:tc>
          <w:tcPr>
            <w:tcW w:w="12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3"/>
                <w:szCs w:val="13"/>
                <w:b w:val="1"/>
                <w:bCs w:val="1"/>
                <w:color w:val="auto"/>
              </w:rPr>
              <w:t>Loans by class</w:t>
            </w:r>
          </w:p>
        </w:tc>
        <w:tc>
          <w:tcPr>
            <w:tcW w:w="760" w:type="dxa"/>
            <w:vAlign w:val="bottom"/>
          </w:tcPr>
          <w:p>
            <w:pPr>
              <w:ind w:left="260"/>
              <w:spacing w:after="0" w:line="123"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0"/>
                <w:szCs w:val="10"/>
                <w:color w:val="auto"/>
              </w:rPr>
            </w:pPr>
          </w:p>
        </w:tc>
        <w:tc>
          <w:tcPr>
            <w:tcW w:w="860" w:type="dxa"/>
            <w:vAlign w:val="bottom"/>
            <w:gridSpan w:val="2"/>
          </w:tcPr>
          <w:p>
            <w:pPr>
              <w:jc w:val="center"/>
              <w:ind w:right="136"/>
              <w:spacing w:after="0" w:line="123" w:lineRule="exact"/>
              <w:rPr>
                <w:sz w:val="20"/>
                <w:szCs w:val="20"/>
                <w:color w:val="auto"/>
              </w:rPr>
            </w:pPr>
            <w:r>
              <w:rPr>
                <w:rFonts w:ascii="Arial" w:cs="Arial" w:eastAsia="Arial" w:hAnsi="Arial"/>
                <w:sz w:val="13"/>
                <w:szCs w:val="13"/>
                <w:b w:val="1"/>
                <w:bCs w:val="1"/>
                <w:color w:val="auto"/>
                <w:w w:val="86"/>
              </w:rPr>
              <w:t>Stage 1</w:t>
            </w:r>
          </w:p>
        </w:tc>
        <w:tc>
          <w:tcPr>
            <w:tcW w:w="820" w:type="dxa"/>
            <w:vAlign w:val="bottom"/>
            <w:gridSpan w:val="3"/>
          </w:tcPr>
          <w:p>
            <w:pPr>
              <w:jc w:val="center"/>
              <w:ind w:right="138"/>
              <w:spacing w:after="0" w:line="123" w:lineRule="exact"/>
              <w:rPr>
                <w:sz w:val="20"/>
                <w:szCs w:val="20"/>
                <w:color w:val="auto"/>
              </w:rPr>
            </w:pPr>
            <w:r>
              <w:rPr>
                <w:rFonts w:ascii="Arial" w:cs="Arial" w:eastAsia="Arial" w:hAnsi="Arial"/>
                <w:sz w:val="13"/>
                <w:szCs w:val="13"/>
                <w:b w:val="1"/>
                <w:bCs w:val="1"/>
                <w:color w:val="auto"/>
                <w:w w:val="86"/>
              </w:rPr>
              <w:t>Stage 3</w:t>
            </w:r>
          </w:p>
        </w:tc>
        <w:tc>
          <w:tcPr>
            <w:tcW w:w="640" w:type="dxa"/>
            <w:vAlign w:val="bottom"/>
            <w:gridSpan w:val="2"/>
          </w:tcPr>
          <w:p>
            <w:pPr>
              <w:jc w:val="center"/>
              <w:spacing w:after="0" w:line="123" w:lineRule="exact"/>
              <w:rPr>
                <w:sz w:val="20"/>
                <w:szCs w:val="20"/>
                <w:color w:val="auto"/>
              </w:rPr>
            </w:pPr>
            <w:r>
              <w:rPr>
                <w:rFonts w:ascii="Arial" w:cs="Arial" w:eastAsia="Arial" w:hAnsi="Arial"/>
                <w:sz w:val="13"/>
                <w:szCs w:val="13"/>
                <w:b w:val="1"/>
                <w:bCs w:val="1"/>
                <w:color w:val="auto"/>
                <w:w w:val="86"/>
              </w:rPr>
              <w:t>Stage 1</w:t>
            </w:r>
          </w:p>
        </w:tc>
        <w:tc>
          <w:tcPr>
            <w:tcW w:w="180" w:type="dxa"/>
            <w:vAlign w:val="bottom"/>
          </w:tcPr>
          <w:p>
            <w:pPr>
              <w:spacing w:after="0"/>
              <w:rPr>
                <w:sz w:val="10"/>
                <w:szCs w:val="10"/>
                <w:color w:val="auto"/>
              </w:rPr>
            </w:pPr>
          </w:p>
        </w:tc>
        <w:tc>
          <w:tcPr>
            <w:tcW w:w="620" w:type="dxa"/>
            <w:vAlign w:val="bottom"/>
            <w:gridSpan w:val="2"/>
          </w:tcPr>
          <w:p>
            <w:pPr>
              <w:jc w:val="center"/>
              <w:spacing w:after="0" w:line="123" w:lineRule="exact"/>
              <w:rPr>
                <w:sz w:val="20"/>
                <w:szCs w:val="20"/>
                <w:color w:val="auto"/>
              </w:rPr>
            </w:pPr>
            <w:r>
              <w:rPr>
                <w:rFonts w:ascii="Arial" w:cs="Arial" w:eastAsia="Arial" w:hAnsi="Arial"/>
                <w:sz w:val="13"/>
                <w:szCs w:val="13"/>
                <w:b w:val="1"/>
                <w:bCs w:val="1"/>
                <w:color w:val="auto"/>
                <w:w w:val="82"/>
              </w:rPr>
              <w:t>Stage 3</w:t>
            </w:r>
          </w:p>
        </w:tc>
        <w:tc>
          <w:tcPr>
            <w:tcW w:w="200" w:type="dxa"/>
            <w:vAlign w:val="bottom"/>
          </w:tcPr>
          <w:p>
            <w:pPr>
              <w:spacing w:after="0"/>
              <w:rPr>
                <w:sz w:val="10"/>
                <w:szCs w:val="10"/>
                <w:color w:val="auto"/>
              </w:rPr>
            </w:pPr>
          </w:p>
        </w:tc>
        <w:tc>
          <w:tcPr>
            <w:tcW w:w="840" w:type="dxa"/>
            <w:vAlign w:val="bottom"/>
            <w:gridSpan w:val="2"/>
          </w:tcPr>
          <w:p>
            <w:pPr>
              <w:jc w:val="center"/>
              <w:ind w:right="20"/>
              <w:spacing w:after="0" w:line="123" w:lineRule="exact"/>
              <w:rPr>
                <w:sz w:val="20"/>
                <w:szCs w:val="20"/>
                <w:color w:val="auto"/>
              </w:rPr>
            </w:pPr>
            <w:r>
              <w:rPr>
                <w:rFonts w:ascii="Arial" w:cs="Arial" w:eastAsia="Arial" w:hAnsi="Arial"/>
                <w:sz w:val="13"/>
                <w:szCs w:val="13"/>
                <w:b w:val="1"/>
                <w:bCs w:val="1"/>
                <w:color w:val="auto"/>
                <w:w w:val="84"/>
              </w:rPr>
              <w:t>of loans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right"/>
              <w:ind w:right="35"/>
              <w:spacing w:after="0" w:line="123" w:lineRule="exact"/>
              <w:rPr>
                <w:sz w:val="20"/>
                <w:szCs w:val="20"/>
                <w:color w:val="auto"/>
              </w:rPr>
            </w:pPr>
            <w:r>
              <w:rPr>
                <w:rFonts w:ascii="Arial" w:cs="Arial" w:eastAsia="Arial" w:hAnsi="Arial"/>
                <w:sz w:val="13"/>
                <w:szCs w:val="13"/>
                <w:b w:val="1"/>
                <w:bCs w:val="1"/>
                <w:color w:val="auto"/>
                <w:w w:val="86"/>
              </w:rPr>
              <w:t>liquidation, net</w:t>
            </w:r>
          </w:p>
        </w:tc>
        <w:tc>
          <w:tcPr>
            <w:tcW w:w="140" w:type="dxa"/>
            <w:vAlign w:val="bottom"/>
          </w:tcPr>
          <w:p>
            <w:pPr>
              <w:spacing w:after="0"/>
              <w:rPr>
                <w:sz w:val="10"/>
                <w:szCs w:val="10"/>
                <w:color w:val="auto"/>
              </w:rPr>
            </w:pPr>
          </w:p>
        </w:tc>
        <w:tc>
          <w:tcPr>
            <w:tcW w:w="740" w:type="dxa"/>
            <w:vAlign w:val="bottom"/>
            <w:gridSpan w:val="3"/>
          </w:tcPr>
          <w:p>
            <w:pPr>
              <w:jc w:val="center"/>
              <w:ind w:right="82"/>
              <w:spacing w:after="0" w:line="123" w:lineRule="exact"/>
              <w:rPr>
                <w:sz w:val="20"/>
                <w:szCs w:val="20"/>
                <w:color w:val="auto"/>
              </w:rPr>
            </w:pPr>
            <w:r>
              <w:rPr>
                <w:rFonts w:ascii="Arial" w:cs="Arial" w:eastAsia="Arial" w:hAnsi="Arial"/>
                <w:sz w:val="13"/>
                <w:szCs w:val="13"/>
                <w:b w:val="1"/>
                <w:bCs w:val="1"/>
                <w:color w:val="auto"/>
                <w:w w:val="92"/>
              </w:rPr>
              <w:t>Write-offs</w:t>
            </w:r>
          </w:p>
        </w:tc>
        <w:tc>
          <w:tcPr>
            <w:tcW w:w="80" w:type="dxa"/>
            <w:vAlign w:val="bottom"/>
          </w:tcPr>
          <w:p>
            <w:pPr>
              <w:spacing w:after="0"/>
              <w:rPr>
                <w:sz w:val="10"/>
                <w:szCs w:val="10"/>
                <w:color w:val="auto"/>
              </w:rPr>
            </w:pPr>
          </w:p>
        </w:tc>
        <w:tc>
          <w:tcPr>
            <w:tcW w:w="820" w:type="dxa"/>
            <w:vAlign w:val="bottom"/>
            <w:gridSpan w:val="4"/>
          </w:tcPr>
          <w:p>
            <w:pPr>
              <w:jc w:val="center"/>
              <w:ind w:right="98"/>
              <w:spacing w:after="0" w:line="123" w:lineRule="exact"/>
              <w:rPr>
                <w:sz w:val="20"/>
                <w:szCs w:val="20"/>
                <w:color w:val="auto"/>
              </w:rPr>
            </w:pPr>
            <w:r>
              <w:rPr>
                <w:rFonts w:ascii="Arial" w:cs="Arial" w:eastAsia="Arial" w:hAnsi="Arial"/>
                <w:sz w:val="13"/>
                <w:szCs w:val="13"/>
                <w:b w:val="1"/>
                <w:bCs w:val="1"/>
                <w:color w:val="auto"/>
                <w:w w:val="90"/>
              </w:rPr>
              <w:t>portfolio</w:t>
            </w:r>
          </w:p>
        </w:tc>
        <w:tc>
          <w:tcPr>
            <w:tcW w:w="900" w:type="dxa"/>
            <w:vAlign w:val="bottom"/>
            <w:gridSpan w:val="2"/>
          </w:tcPr>
          <w:p>
            <w:pPr>
              <w:jc w:val="center"/>
              <w:ind w:right="180"/>
              <w:spacing w:after="0" w:line="123" w:lineRule="exact"/>
              <w:rPr>
                <w:sz w:val="20"/>
                <w:szCs w:val="20"/>
                <w:color w:val="auto"/>
              </w:rPr>
            </w:pPr>
            <w:r>
              <w:rPr>
                <w:rFonts w:ascii="Arial" w:cs="Arial" w:eastAsia="Arial" w:hAnsi="Arial"/>
                <w:sz w:val="13"/>
                <w:szCs w:val="13"/>
                <w:b w:val="1"/>
                <w:bCs w:val="1"/>
                <w:color w:val="auto"/>
                <w:w w:val="84"/>
              </w:rPr>
              <w:t>and others</w:t>
            </w:r>
          </w:p>
        </w:tc>
        <w:tc>
          <w:tcPr>
            <w:tcW w:w="6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0"/>
              </w:rPr>
              <w:t>31, 2018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660" w:type="dxa"/>
            <w:vAlign w:val="bottom"/>
            <w:tcBorders>
              <w:top w:val="single" w:sz="8" w:color="auto"/>
            </w:tcBorders>
          </w:tcPr>
          <w:p>
            <w:pPr>
              <w:jc w:val="center"/>
              <w:ind w:left="57"/>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4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4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3"/>
                <w:szCs w:val="13"/>
                <w:b w:val="1"/>
                <w:bCs w:val="1"/>
                <w:color w:val="auto"/>
                <w:w w:val="98"/>
              </w:rPr>
              <w:t>S/(000)</w:t>
            </w:r>
          </w:p>
        </w:tc>
        <w:tc>
          <w:tcPr>
            <w:tcW w:w="180" w:type="dxa"/>
            <w:vAlign w:val="bottom"/>
          </w:tcPr>
          <w:p>
            <w:pPr>
              <w:spacing w:after="0"/>
              <w:rPr>
                <w:sz w:val="10"/>
                <w:szCs w:val="10"/>
                <w:color w:val="auto"/>
              </w:rPr>
            </w:pPr>
          </w:p>
        </w:tc>
        <w:tc>
          <w:tcPr>
            <w:tcW w:w="62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3"/>
                <w:szCs w:val="13"/>
                <w:b w:val="1"/>
                <w:bCs w:val="1"/>
                <w:color w:val="auto"/>
                <w:w w:val="93"/>
              </w:rPr>
              <w:t>S/(000)</w:t>
            </w:r>
          </w:p>
        </w:tc>
        <w:tc>
          <w:tcPr>
            <w:tcW w:w="20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80"/>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60"/>
              <w:spacing w:after="0" w:line="123"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38"/>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3"/>
          </w:tcPr>
          <w:p>
            <w:pPr>
              <w:jc w:val="right"/>
              <w:ind w:right="38"/>
              <w:spacing w:after="0" w:line="123"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700" w:type="dxa"/>
            <w:vAlign w:val="bottom"/>
            <w:tcBorders>
              <w:top w:val="single" w:sz="8" w:color="auto"/>
            </w:tcBorders>
          </w:tcPr>
          <w:p>
            <w:pPr>
              <w:jc w:val="right"/>
              <w:ind w:right="37"/>
              <w:spacing w:after="0" w:line="123"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ind w:right="217"/>
              <w:spacing w:after="0" w:line="12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rPr>
              <w:t>Commercial loans</w:t>
            </w:r>
          </w:p>
        </w:tc>
        <w:tc>
          <w:tcPr>
            <w:tcW w:w="760" w:type="dxa"/>
            <w:vAlign w:val="bottom"/>
            <w:tcBorders>
              <w:left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3,549,605</w:t>
            </w:r>
          </w:p>
        </w:tc>
        <w:tc>
          <w:tcPr>
            <w:tcW w:w="16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96"/>
              <w:spacing w:after="0" w:line="131" w:lineRule="exact"/>
              <w:rPr>
                <w:sz w:val="20"/>
                <w:szCs w:val="20"/>
                <w:color w:val="auto"/>
              </w:rPr>
            </w:pPr>
            <w:r>
              <w:rPr>
                <w:rFonts w:ascii="Arial" w:cs="Arial" w:eastAsia="Arial" w:hAnsi="Arial"/>
                <w:sz w:val="13"/>
                <w:szCs w:val="13"/>
                <w:color w:val="auto"/>
              </w:rPr>
              <w:t>(807,179)</w:t>
            </w:r>
          </w:p>
        </w:tc>
        <w:tc>
          <w:tcPr>
            <w:tcW w:w="820" w:type="dxa"/>
            <w:vAlign w:val="bottom"/>
            <w:tcBorders>
              <w:right w:val="single" w:sz="8" w:color="CCEEFF"/>
            </w:tcBorders>
            <w:gridSpan w:val="3"/>
            <w:shd w:val="clear" w:color="auto" w:fill="CCEEFF"/>
          </w:tcPr>
          <w:p>
            <w:pPr>
              <w:ind w:left="180"/>
              <w:spacing w:after="0" w:line="131" w:lineRule="exact"/>
              <w:rPr>
                <w:sz w:val="20"/>
                <w:szCs w:val="20"/>
                <w:color w:val="auto"/>
              </w:rPr>
            </w:pPr>
            <w:r>
              <w:rPr>
                <w:rFonts w:ascii="Arial" w:cs="Arial" w:eastAsia="Arial" w:hAnsi="Arial"/>
                <w:sz w:val="13"/>
                <w:szCs w:val="13"/>
                <w:color w:val="auto"/>
              </w:rPr>
              <w:t>(306,268)</w:t>
            </w:r>
          </w:p>
        </w:tc>
        <w:tc>
          <w:tcPr>
            <w:tcW w:w="64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2,216,860</w:t>
            </w:r>
          </w:p>
        </w:tc>
        <w:tc>
          <w:tcPr>
            <w:tcW w:w="800" w:type="dxa"/>
            <w:vAlign w:val="bottom"/>
            <w:tcBorders>
              <w:right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16,587</w:t>
            </w:r>
          </w:p>
        </w:tc>
        <w:tc>
          <w:tcPr>
            <w:tcW w:w="1040" w:type="dxa"/>
            <w:vAlign w:val="bottom"/>
            <w:tcBorders>
              <w:right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45,734</w:t>
            </w:r>
          </w:p>
        </w:tc>
        <w:tc>
          <w:tcPr>
            <w:tcW w:w="1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2,769,685</w:t>
            </w:r>
          </w:p>
        </w:tc>
        <w:tc>
          <w:tcPr>
            <w:tcW w:w="40" w:type="dxa"/>
            <w:vAlign w:val="bottom"/>
            <w:tcBorders>
              <w:left w:val="single" w:sz="8" w:color="CCEEFF"/>
            </w:tcBorders>
            <w:shd w:val="clear" w:color="auto" w:fill="CCEEFF"/>
          </w:tcPr>
          <w:p>
            <w:pPr>
              <w:spacing w:after="0"/>
              <w:rPr>
                <w:sz w:val="11"/>
                <w:szCs w:val="11"/>
                <w:color w:val="auto"/>
              </w:rPr>
            </w:pPr>
          </w:p>
        </w:tc>
        <w:tc>
          <w:tcPr>
            <w:tcW w:w="880" w:type="dxa"/>
            <w:vAlign w:val="bottom"/>
            <w:gridSpan w:val="4"/>
            <w:shd w:val="clear" w:color="auto" w:fill="CCEEFF"/>
          </w:tcPr>
          <w:p>
            <w:pPr>
              <w:jc w:val="right"/>
              <w:ind w:right="42"/>
              <w:spacing w:after="0" w:line="131" w:lineRule="exact"/>
              <w:rPr>
                <w:sz w:val="20"/>
                <w:szCs w:val="20"/>
                <w:color w:val="auto"/>
              </w:rPr>
            </w:pPr>
            <w:r>
              <w:rPr>
                <w:rFonts w:ascii="Arial" w:cs="Arial" w:eastAsia="Arial" w:hAnsi="Arial"/>
                <w:sz w:val="13"/>
                <w:szCs w:val="13"/>
                <w:color w:val="auto"/>
              </w:rPr>
              <w:t>(4,795)</w:t>
            </w:r>
          </w:p>
        </w:tc>
        <w:tc>
          <w:tcPr>
            <w:tcW w:w="900" w:type="dxa"/>
            <w:vAlign w:val="bottom"/>
            <w:tcBorders>
              <w:right w:val="single" w:sz="8" w:color="CCEEFF"/>
            </w:tcBorders>
            <w:gridSpan w:val="5"/>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w:t>
            </w:r>
          </w:p>
        </w:tc>
        <w:tc>
          <w:tcPr>
            <w:tcW w:w="700" w:type="dxa"/>
            <w:vAlign w:val="bottom"/>
            <w:tcBorders>
              <w:left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49,877</w:t>
            </w:r>
          </w:p>
        </w:tc>
        <w:tc>
          <w:tcPr>
            <w:tcW w:w="2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7,530,106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00" w:type="dxa"/>
            <w:vAlign w:val="bottom"/>
            <w:gridSpan w:val="2"/>
          </w:tcPr>
          <w:p>
            <w:pPr>
              <w:spacing w:after="0" w:line="114" w:lineRule="exact"/>
              <w:rPr>
                <w:sz w:val="20"/>
                <w:szCs w:val="20"/>
                <w:color w:val="auto"/>
              </w:rPr>
            </w:pPr>
            <w:r>
              <w:rPr>
                <w:rFonts w:ascii="Arial" w:cs="Arial" w:eastAsia="Arial" w:hAnsi="Arial"/>
                <w:sz w:val="13"/>
                <w:szCs w:val="13"/>
                <w:color w:val="auto"/>
                <w:w w:val="94"/>
              </w:rPr>
              <w:t>Residential mortgage</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00" w:type="dxa"/>
            <w:vAlign w:val="bottom"/>
            <w:gridSpan w:val="2"/>
          </w:tcPr>
          <w:p>
            <w:pPr>
              <w:spacing w:after="0" w:line="146" w:lineRule="exact"/>
              <w:rPr>
                <w:sz w:val="20"/>
                <w:szCs w:val="20"/>
                <w:color w:val="auto"/>
              </w:rPr>
            </w:pPr>
            <w:r>
              <w:rPr>
                <w:rFonts w:ascii="Arial" w:cs="Arial" w:eastAsia="Arial" w:hAnsi="Arial"/>
                <w:sz w:val="13"/>
                <w:szCs w:val="13"/>
                <w:color w:val="auto"/>
              </w:rPr>
              <w:t>loans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569,685</w:t>
            </w:r>
          </w:p>
        </w:tc>
        <w:tc>
          <w:tcPr>
            <w:tcW w:w="160" w:type="dxa"/>
            <w:vAlign w:val="bottom"/>
          </w:tcPr>
          <w:p>
            <w:pPr>
              <w:spacing w:after="0"/>
              <w:rPr>
                <w:sz w:val="12"/>
                <w:szCs w:val="12"/>
                <w:color w:val="auto"/>
              </w:rPr>
            </w:pPr>
          </w:p>
        </w:tc>
        <w:tc>
          <w:tcPr>
            <w:tcW w:w="860" w:type="dxa"/>
            <w:vAlign w:val="bottom"/>
            <w:gridSpan w:val="2"/>
          </w:tcPr>
          <w:p>
            <w:pPr>
              <w:jc w:val="right"/>
              <w:ind w:right="96"/>
              <w:spacing w:after="0" w:line="146" w:lineRule="exact"/>
              <w:rPr>
                <w:sz w:val="20"/>
                <w:szCs w:val="20"/>
                <w:color w:val="auto"/>
              </w:rPr>
            </w:pPr>
            <w:r>
              <w:rPr>
                <w:rFonts w:ascii="Arial" w:cs="Arial" w:eastAsia="Arial" w:hAnsi="Arial"/>
                <w:sz w:val="13"/>
                <w:szCs w:val="13"/>
                <w:color w:val="auto"/>
              </w:rPr>
              <w:t>(151,660)</w:t>
            </w:r>
          </w:p>
        </w:tc>
        <w:tc>
          <w:tcPr>
            <w:tcW w:w="820" w:type="dxa"/>
            <w:vAlign w:val="bottom"/>
            <w:gridSpan w:val="3"/>
          </w:tcPr>
          <w:p>
            <w:pPr>
              <w:ind w:left="180"/>
              <w:spacing w:after="0" w:line="146" w:lineRule="exact"/>
              <w:rPr>
                <w:sz w:val="20"/>
                <w:szCs w:val="20"/>
                <w:color w:val="auto"/>
              </w:rPr>
            </w:pPr>
            <w:r>
              <w:rPr>
                <w:rFonts w:ascii="Arial" w:cs="Arial" w:eastAsia="Arial" w:hAnsi="Arial"/>
                <w:sz w:val="13"/>
                <w:szCs w:val="13"/>
                <w:color w:val="auto"/>
              </w:rPr>
              <w:t>(123,255)</w:t>
            </w:r>
          </w:p>
        </w:tc>
        <w:tc>
          <w:tcPr>
            <w:tcW w:w="6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416,937</w:t>
            </w:r>
          </w:p>
        </w:tc>
        <w:tc>
          <w:tcPr>
            <w:tcW w:w="800" w:type="dxa"/>
            <w:vAlign w:val="bottom"/>
            <w:gridSpan w:val="3"/>
          </w:tcPr>
          <w:p>
            <w:pPr>
              <w:jc w:val="right"/>
              <w:spacing w:after="0" w:line="146" w:lineRule="exact"/>
              <w:rPr>
                <w:sz w:val="20"/>
                <w:szCs w:val="20"/>
                <w:color w:val="auto"/>
              </w:rPr>
            </w:pPr>
            <w:r>
              <w:rPr>
                <w:rFonts w:ascii="Arial" w:cs="Arial" w:eastAsia="Arial" w:hAnsi="Arial"/>
                <w:sz w:val="13"/>
                <w:szCs w:val="13"/>
                <w:color w:val="auto"/>
              </w:rPr>
              <w:t>6,586</w:t>
            </w:r>
          </w:p>
        </w:tc>
        <w:tc>
          <w:tcPr>
            <w:tcW w:w="1040" w:type="dxa"/>
            <w:vAlign w:val="bottom"/>
            <w:gridSpan w:val="3"/>
          </w:tcPr>
          <w:p>
            <w:pPr>
              <w:jc w:val="right"/>
              <w:ind w:right="20"/>
              <w:spacing w:after="0" w:line="146" w:lineRule="exact"/>
              <w:rPr>
                <w:sz w:val="20"/>
                <w:szCs w:val="20"/>
                <w:color w:val="auto"/>
              </w:rPr>
            </w:pPr>
            <w:r>
              <w:rPr>
                <w:rFonts w:ascii="Arial" w:cs="Arial" w:eastAsia="Arial" w:hAnsi="Arial"/>
                <w:sz w:val="13"/>
                <w:szCs w:val="13"/>
                <w:color w:val="auto"/>
              </w:rPr>
              <w:t>240</w:t>
            </w:r>
          </w:p>
        </w:tc>
        <w:tc>
          <w:tcPr>
            <w:tcW w:w="100" w:type="dxa"/>
            <w:vAlign w:val="bottom"/>
          </w:tcPr>
          <w:p>
            <w:pPr>
              <w:spacing w:after="0"/>
              <w:rPr>
                <w:sz w:val="12"/>
                <w:szCs w:val="12"/>
                <w:color w:val="auto"/>
              </w:rPr>
            </w:pPr>
          </w:p>
        </w:tc>
        <w:tc>
          <w:tcPr>
            <w:tcW w:w="940" w:type="dxa"/>
            <w:vAlign w:val="bottom"/>
            <w:gridSpan w:val="4"/>
          </w:tcPr>
          <w:p>
            <w:pPr>
              <w:jc w:val="right"/>
              <w:ind w:right="35"/>
              <w:spacing w:after="0" w:line="146" w:lineRule="exact"/>
              <w:rPr>
                <w:sz w:val="20"/>
                <w:szCs w:val="20"/>
                <w:color w:val="auto"/>
              </w:rPr>
            </w:pPr>
            <w:r>
              <w:rPr>
                <w:rFonts w:ascii="Arial" w:cs="Arial" w:eastAsia="Arial" w:hAnsi="Arial"/>
                <w:sz w:val="13"/>
                <w:szCs w:val="13"/>
                <w:color w:val="auto"/>
              </w:rPr>
              <w:t>1,302</w:t>
            </w:r>
          </w:p>
        </w:tc>
        <w:tc>
          <w:tcPr>
            <w:tcW w:w="880" w:type="dxa"/>
            <w:vAlign w:val="bottom"/>
            <w:gridSpan w:val="4"/>
          </w:tcPr>
          <w:p>
            <w:pPr>
              <w:jc w:val="right"/>
              <w:ind w:right="42"/>
              <w:spacing w:after="0" w:line="146" w:lineRule="exact"/>
              <w:rPr>
                <w:sz w:val="20"/>
                <w:szCs w:val="20"/>
                <w:color w:val="auto"/>
              </w:rPr>
            </w:pPr>
            <w:r>
              <w:rPr>
                <w:rFonts w:ascii="Arial" w:cs="Arial" w:eastAsia="Arial" w:hAnsi="Arial"/>
                <w:sz w:val="13"/>
                <w:szCs w:val="13"/>
                <w:color w:val="auto"/>
              </w:rPr>
              <w:t>(142)</w:t>
            </w:r>
          </w:p>
        </w:tc>
        <w:tc>
          <w:tcPr>
            <w:tcW w:w="900" w:type="dxa"/>
            <w:vAlign w:val="bottom"/>
            <w:gridSpan w:val="5"/>
          </w:tcPr>
          <w:p>
            <w:pPr>
              <w:jc w:val="right"/>
              <w:ind w:right="78"/>
              <w:spacing w:after="0" w:line="146" w:lineRule="exact"/>
              <w:rPr>
                <w:sz w:val="20"/>
                <w:szCs w:val="20"/>
                <w:color w:val="auto"/>
              </w:rPr>
            </w:pPr>
            <w:r>
              <w:rPr>
                <w:rFonts w:ascii="Arial" w:cs="Arial" w:eastAsia="Arial" w:hAnsi="Arial"/>
                <w:sz w:val="13"/>
                <w:szCs w:val="13"/>
                <w:color w:val="auto"/>
              </w:rPr>
              <w:t>(218)</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43,074</w:t>
            </w:r>
          </w:p>
        </w:tc>
        <w:tc>
          <w:tcPr>
            <w:tcW w:w="20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762,549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w w:val="94"/>
              </w:rPr>
              <w:t>Micro-business loans</w:t>
            </w:r>
          </w:p>
        </w:tc>
        <w:tc>
          <w:tcPr>
            <w:tcW w:w="760" w:type="dxa"/>
            <w:vAlign w:val="bottom"/>
            <w:tcBorders>
              <w:left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1,986,325</w:t>
            </w:r>
          </w:p>
        </w:tc>
        <w:tc>
          <w:tcPr>
            <w:tcW w:w="16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96"/>
              <w:spacing w:after="0" w:line="131" w:lineRule="exact"/>
              <w:rPr>
                <w:sz w:val="20"/>
                <w:szCs w:val="20"/>
                <w:color w:val="auto"/>
              </w:rPr>
            </w:pPr>
            <w:r>
              <w:rPr>
                <w:rFonts w:ascii="Arial" w:cs="Arial" w:eastAsia="Arial" w:hAnsi="Arial"/>
                <w:sz w:val="13"/>
                <w:szCs w:val="13"/>
                <w:color w:val="auto"/>
              </w:rPr>
              <w:t>(412,930)</w:t>
            </w:r>
          </w:p>
        </w:tc>
        <w:tc>
          <w:tcPr>
            <w:tcW w:w="820" w:type="dxa"/>
            <w:vAlign w:val="bottom"/>
            <w:tcBorders>
              <w:right w:val="single" w:sz="8" w:color="CCEEFF"/>
            </w:tcBorders>
            <w:gridSpan w:val="3"/>
            <w:shd w:val="clear" w:color="auto" w:fill="CCEEFF"/>
          </w:tcPr>
          <w:p>
            <w:pPr>
              <w:ind w:left="180"/>
              <w:spacing w:after="0" w:line="131" w:lineRule="exact"/>
              <w:rPr>
                <w:sz w:val="20"/>
                <w:szCs w:val="20"/>
                <w:color w:val="auto"/>
              </w:rPr>
            </w:pPr>
            <w:r>
              <w:rPr>
                <w:rFonts w:ascii="Arial" w:cs="Arial" w:eastAsia="Arial" w:hAnsi="Arial"/>
                <w:sz w:val="13"/>
                <w:szCs w:val="13"/>
                <w:color w:val="auto"/>
              </w:rPr>
              <w:t>(205,492)</w:t>
            </w:r>
          </w:p>
        </w:tc>
        <w:tc>
          <w:tcPr>
            <w:tcW w:w="64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612,647</w:t>
            </w:r>
          </w:p>
        </w:tc>
        <w:tc>
          <w:tcPr>
            <w:tcW w:w="800" w:type="dxa"/>
            <w:vAlign w:val="bottom"/>
            <w:tcBorders>
              <w:right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8,582</w:t>
            </w:r>
          </w:p>
        </w:tc>
        <w:tc>
          <w:tcPr>
            <w:tcW w:w="1140" w:type="dxa"/>
            <w:vAlign w:val="bottom"/>
            <w:gridSpan w:val="4"/>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(45,172)</w:t>
            </w:r>
          </w:p>
        </w:tc>
        <w:tc>
          <w:tcPr>
            <w:tcW w:w="940" w:type="dxa"/>
            <w:vAlign w:val="bottom"/>
            <w:gridSpan w:val="4"/>
            <w:shd w:val="clear" w:color="auto" w:fill="CCEEFF"/>
          </w:tcPr>
          <w:p>
            <w:pPr>
              <w:jc w:val="right"/>
              <w:ind w:right="35"/>
              <w:spacing w:after="0" w:line="131" w:lineRule="exact"/>
              <w:rPr>
                <w:sz w:val="20"/>
                <w:szCs w:val="20"/>
                <w:color w:val="auto"/>
              </w:rPr>
            </w:pPr>
            <w:r>
              <w:rPr>
                <w:rFonts w:ascii="Arial" w:cs="Arial" w:eastAsia="Arial" w:hAnsi="Arial"/>
                <w:sz w:val="13"/>
                <w:szCs w:val="13"/>
                <w:color w:val="auto"/>
              </w:rPr>
              <w:t>176,717</w:t>
            </w:r>
          </w:p>
        </w:tc>
        <w:tc>
          <w:tcPr>
            <w:tcW w:w="880" w:type="dxa"/>
            <w:vAlign w:val="bottom"/>
            <w:gridSpan w:val="4"/>
            <w:shd w:val="clear" w:color="auto" w:fill="CCEEFF"/>
          </w:tcPr>
          <w:p>
            <w:pPr>
              <w:jc w:val="right"/>
              <w:ind w:right="42"/>
              <w:spacing w:after="0" w:line="131" w:lineRule="exact"/>
              <w:rPr>
                <w:sz w:val="20"/>
                <w:szCs w:val="20"/>
                <w:color w:val="auto"/>
              </w:rPr>
            </w:pPr>
            <w:r>
              <w:rPr>
                <w:rFonts w:ascii="Arial" w:cs="Arial" w:eastAsia="Arial" w:hAnsi="Arial"/>
                <w:sz w:val="13"/>
                <w:szCs w:val="13"/>
                <w:color w:val="auto"/>
              </w:rPr>
              <w:t>(156,322)</w:t>
            </w:r>
          </w:p>
        </w:tc>
        <w:tc>
          <w:tcPr>
            <w:tcW w:w="900" w:type="dxa"/>
            <w:vAlign w:val="bottom"/>
            <w:tcBorders>
              <w:right w:val="single" w:sz="8" w:color="CCEEFF"/>
            </w:tcBorders>
            <w:gridSpan w:val="5"/>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w:t>
            </w:r>
          </w:p>
        </w:tc>
        <w:tc>
          <w:tcPr>
            <w:tcW w:w="700" w:type="dxa"/>
            <w:vAlign w:val="bottom"/>
            <w:tcBorders>
              <w:left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706</w:t>
            </w:r>
          </w:p>
        </w:tc>
        <w:tc>
          <w:tcPr>
            <w:tcW w:w="2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1,965,061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1,764,494</w:t>
            </w:r>
          </w:p>
        </w:tc>
        <w:tc>
          <w:tcPr>
            <w:tcW w:w="160" w:type="dxa"/>
            <w:vAlign w:val="bottom"/>
          </w:tcPr>
          <w:p>
            <w:pPr>
              <w:spacing w:after="0"/>
              <w:rPr>
                <w:sz w:val="12"/>
                <w:szCs w:val="12"/>
                <w:color w:val="auto"/>
              </w:rPr>
            </w:pPr>
          </w:p>
        </w:tc>
        <w:tc>
          <w:tcPr>
            <w:tcW w:w="860" w:type="dxa"/>
            <w:vAlign w:val="bottom"/>
            <w:gridSpan w:val="2"/>
          </w:tcPr>
          <w:p>
            <w:pPr>
              <w:jc w:val="right"/>
              <w:ind w:right="96"/>
              <w:spacing w:after="0" w:line="143" w:lineRule="exact"/>
              <w:rPr>
                <w:sz w:val="20"/>
                <w:szCs w:val="20"/>
                <w:color w:val="auto"/>
              </w:rPr>
            </w:pPr>
            <w:r>
              <w:rPr>
                <w:rFonts w:ascii="Arial" w:cs="Arial" w:eastAsia="Arial" w:hAnsi="Arial"/>
                <w:sz w:val="13"/>
                <w:szCs w:val="13"/>
                <w:color w:val="auto"/>
              </w:rPr>
              <w:t>(453,760)</w:t>
            </w:r>
          </w:p>
        </w:tc>
        <w:tc>
          <w:tcPr>
            <w:tcW w:w="8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(199,903)</w:t>
            </w: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654,148</w:t>
            </w:r>
          </w:p>
        </w:tc>
        <w:tc>
          <w:tcPr>
            <w:tcW w:w="80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24,345</w:t>
            </w:r>
          </w:p>
        </w:tc>
        <w:tc>
          <w:tcPr>
            <w:tcW w:w="1140" w:type="dxa"/>
            <w:vAlign w:val="bottom"/>
            <w:gridSpan w:val="4"/>
          </w:tcPr>
          <w:p>
            <w:pPr>
              <w:jc w:val="right"/>
              <w:ind w:right="17"/>
              <w:spacing w:after="0" w:line="143" w:lineRule="exact"/>
              <w:rPr>
                <w:sz w:val="20"/>
                <w:szCs w:val="20"/>
                <w:color w:val="auto"/>
              </w:rPr>
            </w:pPr>
            <w:r>
              <w:rPr>
                <w:rFonts w:ascii="Arial" w:cs="Arial" w:eastAsia="Arial" w:hAnsi="Arial"/>
                <w:sz w:val="13"/>
                <w:szCs w:val="13"/>
                <w:color w:val="auto"/>
              </w:rPr>
              <w:t>(802)</w:t>
            </w:r>
          </w:p>
        </w:tc>
        <w:tc>
          <w:tcPr>
            <w:tcW w:w="940" w:type="dxa"/>
            <w:vAlign w:val="bottom"/>
            <w:gridSpan w:val="4"/>
          </w:tcPr>
          <w:p>
            <w:pPr>
              <w:jc w:val="right"/>
              <w:ind w:right="35"/>
              <w:spacing w:after="0" w:line="143" w:lineRule="exact"/>
              <w:rPr>
                <w:sz w:val="20"/>
                <w:szCs w:val="20"/>
                <w:color w:val="auto"/>
              </w:rPr>
            </w:pPr>
            <w:r>
              <w:rPr>
                <w:rFonts w:ascii="Arial" w:cs="Arial" w:eastAsia="Arial" w:hAnsi="Arial"/>
                <w:sz w:val="13"/>
                <w:szCs w:val="13"/>
                <w:color w:val="auto"/>
              </w:rPr>
              <w:t>331,516</w:t>
            </w:r>
          </w:p>
        </w:tc>
        <w:tc>
          <w:tcPr>
            <w:tcW w:w="880" w:type="dxa"/>
            <w:vAlign w:val="bottom"/>
            <w:gridSpan w:val="4"/>
          </w:tcPr>
          <w:p>
            <w:pPr>
              <w:jc w:val="right"/>
              <w:ind w:right="42"/>
              <w:spacing w:after="0" w:line="143" w:lineRule="exact"/>
              <w:rPr>
                <w:sz w:val="20"/>
                <w:szCs w:val="20"/>
                <w:color w:val="auto"/>
              </w:rPr>
            </w:pPr>
            <w:r>
              <w:rPr>
                <w:rFonts w:ascii="Arial" w:cs="Arial" w:eastAsia="Arial" w:hAnsi="Arial"/>
                <w:sz w:val="13"/>
                <w:szCs w:val="13"/>
                <w:color w:val="auto"/>
              </w:rPr>
              <w:t>(200,315)</w:t>
            </w:r>
          </w:p>
        </w:tc>
        <w:tc>
          <w:tcPr>
            <w:tcW w:w="900" w:type="dxa"/>
            <w:vAlign w:val="bottom"/>
            <w:gridSpan w:val="5"/>
          </w:tcPr>
          <w:p>
            <w:pPr>
              <w:jc w:val="right"/>
              <w:ind w:right="118"/>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481</w:t>
            </w:r>
          </w:p>
        </w:tc>
        <w:tc>
          <w:tcPr>
            <w:tcW w:w="2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1,920,204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jc w:val="right"/>
              <w:ind w:right="96"/>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42"/>
              <w:spacing w:after="0"/>
              <w:rPr>
                <w:sz w:val="20"/>
                <w:szCs w:val="20"/>
                <w:color w:val="auto"/>
              </w:rPr>
            </w:pPr>
            <w:r>
              <w:rPr>
                <w:rFonts w:ascii="Arial" w:cs="Arial" w:eastAsia="Arial" w:hAnsi="Arial"/>
                <w:sz w:val="8"/>
                <w:szCs w:val="8"/>
                <w:color w:val="auto"/>
                <w:w w:val="73"/>
              </w:rPr>
              <w:t>)</w:t>
            </w:r>
          </w:p>
        </w:tc>
        <w:tc>
          <w:tcPr>
            <w:tcW w:w="8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7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00" w:type="dxa"/>
            <w:vAlign w:val="bottom"/>
            <w:tcBorders>
              <w:right w:val="single" w:sz="8" w:color="CCEEFF"/>
            </w:tcBorders>
            <w:gridSpan w:val="2"/>
            <w:vMerge w:val="continue"/>
            <w:shd w:val="clear" w:color="auto" w:fill="CCEEFF"/>
          </w:tcPr>
          <w:p>
            <w:pPr>
              <w:spacing w:after="0"/>
              <w:rPr>
                <w:sz w:val="13"/>
                <w:szCs w:val="13"/>
                <w:color w:val="auto"/>
              </w:rPr>
            </w:pPr>
          </w:p>
        </w:tc>
        <w:tc>
          <w:tcPr>
            <w:tcW w:w="7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7,870,109</w:t>
            </w:r>
          </w:p>
        </w:tc>
        <w:tc>
          <w:tcPr>
            <w:tcW w:w="16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center"/>
              <w:ind w:left="57"/>
              <w:spacing w:after="0"/>
              <w:rPr>
                <w:sz w:val="20"/>
                <w:szCs w:val="20"/>
                <w:color w:val="auto"/>
              </w:rPr>
            </w:pPr>
            <w:r>
              <w:rPr>
                <w:rFonts w:ascii="Arial" w:cs="Arial" w:eastAsia="Arial" w:hAnsi="Arial"/>
                <w:sz w:val="13"/>
                <w:szCs w:val="13"/>
                <w:color w:val="auto"/>
                <w:w w:val="86"/>
              </w:rPr>
              <w:t>(1,825,529</w:t>
            </w:r>
          </w:p>
        </w:tc>
        <w:tc>
          <w:tcPr>
            <w:tcW w:w="200" w:type="dxa"/>
            <w:vAlign w:val="bottom"/>
            <w:tcBorders>
              <w:right w:val="single" w:sz="8" w:color="CCEEFF"/>
            </w:tcBorders>
            <w:vMerge w:val="continue"/>
            <w:shd w:val="clear" w:color="auto" w:fill="CCEEFF"/>
          </w:tcPr>
          <w:p>
            <w:pPr>
              <w:spacing w:after="0"/>
              <w:rPr>
                <w:sz w:val="13"/>
                <w:szCs w:val="13"/>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5"/>
              </w:rPr>
              <w:t>(834,918</w:t>
            </w:r>
          </w:p>
        </w:tc>
        <w:tc>
          <w:tcPr>
            <w:tcW w:w="180" w:type="dxa"/>
            <w:vAlign w:val="bottom"/>
            <w:tcBorders>
              <w:right w:val="single" w:sz="8" w:color="CCEEFF"/>
            </w:tcBorders>
            <w:vMerge w:val="continue"/>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3,900,592</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56,100</w:t>
            </w:r>
          </w:p>
        </w:tc>
        <w:tc>
          <w:tcPr>
            <w:tcW w:w="20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3,279,220</w:t>
            </w:r>
          </w:p>
        </w:tc>
        <w:tc>
          <w:tcPr>
            <w:tcW w:w="40" w:type="dxa"/>
            <w:vAlign w:val="bottom"/>
            <w:tcBorders>
              <w:left w:val="single" w:sz="8" w:color="CCEEFF"/>
            </w:tcBorders>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(361,574</w:t>
            </w:r>
          </w:p>
        </w:tc>
        <w:tc>
          <w:tcPr>
            <w:tcW w:w="10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60" w:type="dxa"/>
            <w:vAlign w:val="bottom"/>
            <w:tcBorders>
              <w:right w:val="single" w:sz="8" w:color="CCEEFF"/>
            </w:tcBorders>
            <w:vMerge w:val="continue"/>
            <w:shd w:val="clear" w:color="auto" w:fill="CCEEFF"/>
          </w:tcPr>
          <w:p>
            <w:pPr>
              <w:spacing w:after="0"/>
              <w:rPr>
                <w:sz w:val="13"/>
                <w:szCs w:val="13"/>
                <w:color w:val="auto"/>
              </w:rPr>
            </w:pPr>
          </w:p>
        </w:tc>
        <w:tc>
          <w:tcPr>
            <w:tcW w:w="7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94,138</w:t>
            </w:r>
          </w:p>
        </w:tc>
        <w:tc>
          <w:tcPr>
            <w:tcW w:w="20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12,177,920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1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60" w:type="dxa"/>
            <w:vAlign w:val="bottom"/>
            <w:tcBorders>
              <w:left w:val="single" w:sz="8" w:color="auto"/>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tcBorders>
              <w:lef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tcBorders>
              <w:lef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700" w:type="dxa"/>
            <w:vAlign w:val="bottom"/>
            <w:tcBorders>
              <w:left w:val="single" w:sz="8" w:color="auto"/>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1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Stage 3</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160" w:type="dxa"/>
            <w:vAlign w:val="bottom"/>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Transfer to</w:t>
            </w:r>
          </w:p>
        </w:tc>
        <w:tc>
          <w:tcPr>
            <w:tcW w:w="200" w:type="dxa"/>
            <w:vAlign w:val="bottom"/>
            <w:vMerge w:val="restart"/>
          </w:tcPr>
          <w:p>
            <w:pPr>
              <w:spacing w:after="0"/>
              <w:rPr>
                <w:sz w:val="24"/>
                <w:szCs w:val="24"/>
                <w:color w:val="auto"/>
              </w:rPr>
            </w:pPr>
          </w:p>
        </w:tc>
        <w:tc>
          <w:tcPr>
            <w:tcW w:w="8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Transfer to</w:t>
            </w: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Transfer</w:t>
            </w:r>
          </w:p>
        </w:tc>
        <w:tc>
          <w:tcPr>
            <w:tcW w:w="180" w:type="dxa"/>
            <w:vAlign w:val="bottom"/>
          </w:tcPr>
          <w:p>
            <w:pPr>
              <w:spacing w:after="0"/>
              <w:rPr>
                <w:sz w:val="24"/>
                <w:szCs w:val="2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Transfer</w:t>
            </w:r>
          </w:p>
        </w:tc>
        <w:tc>
          <w:tcPr>
            <w:tcW w:w="20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vMerge w:val="restart"/>
          </w:tcPr>
          <w:p>
            <w:pPr>
              <w:jc w:val="center"/>
              <w:ind w:right="75"/>
              <w:spacing w:after="0"/>
              <w:rPr>
                <w:sz w:val="20"/>
                <w:szCs w:val="20"/>
                <w:color w:val="auto"/>
              </w:rPr>
            </w:pPr>
            <w:r>
              <w:rPr>
                <w:rFonts w:ascii="Arial" w:cs="Arial" w:eastAsia="Arial" w:hAnsi="Arial"/>
                <w:sz w:val="13"/>
                <w:szCs w:val="13"/>
                <w:b w:val="1"/>
                <w:bCs w:val="1"/>
                <w:color w:val="auto"/>
                <w:w w:val="85"/>
              </w:rPr>
              <w:t>New loans and</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vMerge w:val="restart"/>
          </w:tcPr>
          <w:p>
            <w:pPr>
              <w:jc w:val="center"/>
              <w:ind w:right="98"/>
              <w:spacing w:after="0"/>
              <w:rPr>
                <w:sz w:val="20"/>
                <w:szCs w:val="20"/>
                <w:color w:val="auto"/>
              </w:rPr>
            </w:pPr>
            <w:r>
              <w:rPr>
                <w:rFonts w:ascii="Arial" w:cs="Arial" w:eastAsia="Arial" w:hAnsi="Arial"/>
                <w:sz w:val="13"/>
                <w:szCs w:val="13"/>
                <w:b w:val="1"/>
                <w:bCs w:val="1"/>
                <w:color w:val="auto"/>
                <w:w w:val="87"/>
              </w:rPr>
              <w:t>Sale of loan</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Exchange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50"/>
        </w:trPr>
        <w:tc>
          <w:tcPr>
            <w:tcW w:w="1200" w:type="dxa"/>
            <w:vAlign w:val="bottom"/>
            <w:gridSpan w:val="2"/>
            <w:vMerge w:val="continue"/>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January 1rst,</w:t>
            </w:r>
          </w:p>
        </w:tc>
        <w:tc>
          <w:tcPr>
            <w:tcW w:w="6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from</w:t>
            </w:r>
          </w:p>
        </w:tc>
        <w:tc>
          <w:tcPr>
            <w:tcW w:w="180" w:type="dxa"/>
            <w:vAlign w:val="bottom"/>
          </w:tcPr>
          <w:p>
            <w:pPr>
              <w:spacing w:after="0"/>
              <w:rPr>
                <w:sz w:val="13"/>
                <w:szCs w:val="13"/>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from</w:t>
            </w:r>
          </w:p>
        </w:tc>
        <w:tc>
          <w:tcPr>
            <w:tcW w:w="1040" w:type="dxa"/>
            <w:vAlign w:val="bottom"/>
            <w:gridSpan w:val="3"/>
          </w:tcPr>
          <w:p>
            <w:pPr>
              <w:jc w:val="center"/>
              <w:ind w:left="57"/>
              <w:spacing w:after="0"/>
              <w:rPr>
                <w:sz w:val="20"/>
                <w:szCs w:val="20"/>
                <w:color w:val="auto"/>
              </w:rPr>
            </w:pPr>
            <w:r>
              <w:rPr>
                <w:rFonts w:ascii="Arial" w:cs="Arial" w:eastAsia="Arial" w:hAnsi="Arial"/>
                <w:sz w:val="13"/>
                <w:szCs w:val="13"/>
                <w:b w:val="1"/>
                <w:bCs w:val="1"/>
                <w:color w:val="auto"/>
                <w:w w:val="81"/>
              </w:rPr>
              <w:t>between classes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differences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22"/>
        </w:trPr>
        <w:tc>
          <w:tcPr>
            <w:tcW w:w="12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3"/>
                <w:szCs w:val="13"/>
                <w:b w:val="1"/>
                <w:bCs w:val="1"/>
                <w:color w:val="auto"/>
              </w:rPr>
              <w:t>Loans by class</w:t>
            </w:r>
          </w:p>
        </w:tc>
        <w:tc>
          <w:tcPr>
            <w:tcW w:w="760" w:type="dxa"/>
            <w:vAlign w:val="bottom"/>
          </w:tcPr>
          <w:p>
            <w:pPr>
              <w:ind w:left="260"/>
              <w:spacing w:after="0" w:line="123"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0"/>
                <w:szCs w:val="10"/>
                <w:color w:val="auto"/>
              </w:rPr>
            </w:pPr>
          </w:p>
        </w:tc>
        <w:tc>
          <w:tcPr>
            <w:tcW w:w="860" w:type="dxa"/>
            <w:vAlign w:val="bottom"/>
            <w:gridSpan w:val="2"/>
          </w:tcPr>
          <w:p>
            <w:pPr>
              <w:jc w:val="center"/>
              <w:ind w:right="156"/>
              <w:spacing w:after="0" w:line="123" w:lineRule="exact"/>
              <w:rPr>
                <w:sz w:val="20"/>
                <w:szCs w:val="20"/>
                <w:color w:val="auto"/>
              </w:rPr>
            </w:pPr>
            <w:r>
              <w:rPr>
                <w:rFonts w:ascii="Arial" w:cs="Arial" w:eastAsia="Arial" w:hAnsi="Arial"/>
                <w:sz w:val="13"/>
                <w:szCs w:val="13"/>
                <w:b w:val="1"/>
                <w:bCs w:val="1"/>
                <w:color w:val="auto"/>
                <w:w w:val="82"/>
              </w:rPr>
              <w:t>Stage 1</w:t>
            </w:r>
          </w:p>
        </w:tc>
        <w:tc>
          <w:tcPr>
            <w:tcW w:w="820" w:type="dxa"/>
            <w:vAlign w:val="bottom"/>
            <w:gridSpan w:val="3"/>
          </w:tcPr>
          <w:p>
            <w:pPr>
              <w:ind w:left="100"/>
              <w:spacing w:after="0" w:line="123" w:lineRule="exact"/>
              <w:rPr>
                <w:sz w:val="20"/>
                <w:szCs w:val="20"/>
                <w:color w:val="auto"/>
              </w:rPr>
            </w:pPr>
            <w:r>
              <w:rPr>
                <w:rFonts w:ascii="Arial" w:cs="Arial" w:eastAsia="Arial" w:hAnsi="Arial"/>
                <w:sz w:val="13"/>
                <w:szCs w:val="13"/>
                <w:b w:val="1"/>
                <w:bCs w:val="1"/>
                <w:color w:val="auto"/>
              </w:rPr>
              <w:t>Stage 2</w:t>
            </w:r>
          </w:p>
        </w:tc>
        <w:tc>
          <w:tcPr>
            <w:tcW w:w="640" w:type="dxa"/>
            <w:vAlign w:val="bottom"/>
            <w:gridSpan w:val="2"/>
          </w:tcPr>
          <w:p>
            <w:pPr>
              <w:jc w:val="center"/>
              <w:spacing w:after="0" w:line="123" w:lineRule="exact"/>
              <w:rPr>
                <w:sz w:val="20"/>
                <w:szCs w:val="20"/>
                <w:color w:val="auto"/>
              </w:rPr>
            </w:pPr>
            <w:r>
              <w:rPr>
                <w:rFonts w:ascii="Arial" w:cs="Arial" w:eastAsia="Arial" w:hAnsi="Arial"/>
                <w:sz w:val="13"/>
                <w:szCs w:val="13"/>
                <w:b w:val="1"/>
                <w:bCs w:val="1"/>
                <w:color w:val="auto"/>
                <w:w w:val="82"/>
              </w:rPr>
              <w:t>Stage 1</w:t>
            </w:r>
          </w:p>
        </w:tc>
        <w:tc>
          <w:tcPr>
            <w:tcW w:w="180" w:type="dxa"/>
            <w:vAlign w:val="bottom"/>
          </w:tcPr>
          <w:p>
            <w:pPr>
              <w:spacing w:after="0"/>
              <w:rPr>
                <w:sz w:val="10"/>
                <w:szCs w:val="10"/>
                <w:color w:val="auto"/>
              </w:rPr>
            </w:pPr>
          </w:p>
        </w:tc>
        <w:tc>
          <w:tcPr>
            <w:tcW w:w="620" w:type="dxa"/>
            <w:vAlign w:val="bottom"/>
            <w:gridSpan w:val="2"/>
          </w:tcPr>
          <w:p>
            <w:pPr>
              <w:jc w:val="center"/>
              <w:ind w:right="40"/>
              <w:spacing w:after="0" w:line="123" w:lineRule="exact"/>
              <w:rPr>
                <w:sz w:val="20"/>
                <w:szCs w:val="20"/>
                <w:color w:val="auto"/>
              </w:rPr>
            </w:pPr>
            <w:r>
              <w:rPr>
                <w:rFonts w:ascii="Arial" w:cs="Arial" w:eastAsia="Arial" w:hAnsi="Arial"/>
                <w:sz w:val="13"/>
                <w:szCs w:val="13"/>
                <w:b w:val="1"/>
                <w:bCs w:val="1"/>
                <w:color w:val="auto"/>
                <w:w w:val="82"/>
              </w:rPr>
              <w:t>Stage 2</w:t>
            </w:r>
          </w:p>
        </w:tc>
        <w:tc>
          <w:tcPr>
            <w:tcW w:w="200" w:type="dxa"/>
            <w:vAlign w:val="bottom"/>
          </w:tcPr>
          <w:p>
            <w:pPr>
              <w:spacing w:after="0"/>
              <w:rPr>
                <w:sz w:val="10"/>
                <w:szCs w:val="10"/>
                <w:color w:val="auto"/>
              </w:rPr>
            </w:pPr>
          </w:p>
        </w:tc>
        <w:tc>
          <w:tcPr>
            <w:tcW w:w="840" w:type="dxa"/>
            <w:vAlign w:val="bottom"/>
            <w:gridSpan w:val="2"/>
          </w:tcPr>
          <w:p>
            <w:pPr>
              <w:jc w:val="center"/>
              <w:ind w:right="60"/>
              <w:spacing w:after="0" w:line="123" w:lineRule="exact"/>
              <w:rPr>
                <w:sz w:val="20"/>
                <w:szCs w:val="20"/>
                <w:color w:val="auto"/>
              </w:rPr>
            </w:pPr>
            <w:r>
              <w:rPr>
                <w:rFonts w:ascii="Arial" w:cs="Arial" w:eastAsia="Arial" w:hAnsi="Arial"/>
                <w:sz w:val="13"/>
                <w:szCs w:val="13"/>
                <w:b w:val="1"/>
                <w:bCs w:val="1"/>
                <w:color w:val="auto"/>
                <w:w w:val="84"/>
              </w:rPr>
              <w:t>of loans</w:t>
            </w:r>
          </w:p>
        </w:tc>
        <w:tc>
          <w:tcPr>
            <w:tcW w:w="100" w:type="dxa"/>
            <w:vAlign w:val="bottom"/>
          </w:tcPr>
          <w:p>
            <w:pPr>
              <w:spacing w:after="0"/>
              <w:rPr>
                <w:sz w:val="10"/>
                <w:szCs w:val="10"/>
                <w:color w:val="auto"/>
              </w:rPr>
            </w:pPr>
          </w:p>
        </w:tc>
        <w:tc>
          <w:tcPr>
            <w:tcW w:w="940" w:type="dxa"/>
            <w:vAlign w:val="bottom"/>
            <w:gridSpan w:val="4"/>
          </w:tcPr>
          <w:p>
            <w:pPr>
              <w:jc w:val="center"/>
              <w:spacing w:after="0" w:line="123" w:lineRule="exact"/>
              <w:rPr>
                <w:sz w:val="20"/>
                <w:szCs w:val="20"/>
                <w:color w:val="auto"/>
              </w:rPr>
            </w:pPr>
            <w:r>
              <w:rPr>
                <w:rFonts w:ascii="Arial" w:cs="Arial" w:eastAsia="Arial" w:hAnsi="Arial"/>
                <w:sz w:val="13"/>
                <w:szCs w:val="13"/>
                <w:b w:val="1"/>
                <w:bCs w:val="1"/>
                <w:color w:val="auto"/>
                <w:w w:val="88"/>
              </w:rPr>
              <w:t>liquidation, net</w:t>
            </w:r>
          </w:p>
        </w:tc>
        <w:tc>
          <w:tcPr>
            <w:tcW w:w="140" w:type="dxa"/>
            <w:vAlign w:val="bottom"/>
          </w:tcPr>
          <w:p>
            <w:pPr>
              <w:spacing w:after="0"/>
              <w:rPr>
                <w:sz w:val="10"/>
                <w:szCs w:val="10"/>
                <w:color w:val="auto"/>
              </w:rPr>
            </w:pPr>
          </w:p>
        </w:tc>
        <w:tc>
          <w:tcPr>
            <w:tcW w:w="740" w:type="dxa"/>
            <w:vAlign w:val="bottom"/>
            <w:gridSpan w:val="3"/>
          </w:tcPr>
          <w:p>
            <w:pPr>
              <w:jc w:val="center"/>
              <w:ind w:right="102"/>
              <w:spacing w:after="0" w:line="123" w:lineRule="exact"/>
              <w:rPr>
                <w:sz w:val="20"/>
                <w:szCs w:val="20"/>
                <w:color w:val="auto"/>
              </w:rPr>
            </w:pPr>
            <w:r>
              <w:rPr>
                <w:rFonts w:ascii="Arial" w:cs="Arial" w:eastAsia="Arial" w:hAnsi="Arial"/>
                <w:sz w:val="13"/>
                <w:szCs w:val="13"/>
                <w:b w:val="1"/>
                <w:bCs w:val="1"/>
                <w:color w:val="auto"/>
                <w:w w:val="88"/>
              </w:rPr>
              <w:t>Write-offs</w:t>
            </w:r>
          </w:p>
        </w:tc>
        <w:tc>
          <w:tcPr>
            <w:tcW w:w="80" w:type="dxa"/>
            <w:vAlign w:val="bottom"/>
          </w:tcPr>
          <w:p>
            <w:pPr>
              <w:spacing w:after="0"/>
              <w:rPr>
                <w:sz w:val="10"/>
                <w:szCs w:val="10"/>
                <w:color w:val="auto"/>
              </w:rPr>
            </w:pPr>
          </w:p>
        </w:tc>
        <w:tc>
          <w:tcPr>
            <w:tcW w:w="820" w:type="dxa"/>
            <w:vAlign w:val="bottom"/>
            <w:gridSpan w:val="4"/>
          </w:tcPr>
          <w:p>
            <w:pPr>
              <w:jc w:val="center"/>
              <w:ind w:right="98"/>
              <w:spacing w:after="0" w:line="123" w:lineRule="exact"/>
              <w:rPr>
                <w:sz w:val="20"/>
                <w:szCs w:val="20"/>
                <w:color w:val="auto"/>
              </w:rPr>
            </w:pPr>
            <w:r>
              <w:rPr>
                <w:rFonts w:ascii="Arial" w:cs="Arial" w:eastAsia="Arial" w:hAnsi="Arial"/>
                <w:sz w:val="13"/>
                <w:szCs w:val="13"/>
                <w:b w:val="1"/>
                <w:bCs w:val="1"/>
                <w:color w:val="auto"/>
                <w:w w:val="90"/>
              </w:rPr>
              <w:t>portfolio</w:t>
            </w:r>
          </w:p>
        </w:tc>
        <w:tc>
          <w:tcPr>
            <w:tcW w:w="90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87"/>
              </w:rPr>
              <w:t>and others</w:t>
            </w:r>
          </w:p>
        </w:tc>
        <w:tc>
          <w:tcPr>
            <w:tcW w:w="6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6"/>
              </w:rPr>
              <w:t>31, 2018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660" w:type="dxa"/>
            <w:vAlign w:val="bottom"/>
            <w:tcBorders>
              <w:top w:val="single" w:sz="8" w:color="auto"/>
            </w:tcBorders>
          </w:tcPr>
          <w:p>
            <w:pPr>
              <w:jc w:val="right"/>
              <w:ind w:right="37"/>
              <w:spacing w:after="0" w:line="123"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20" w:type="dxa"/>
            <w:vAlign w:val="bottom"/>
            <w:tcBorders>
              <w:top w:val="single" w:sz="8" w:color="auto"/>
            </w:tcBorders>
          </w:tcPr>
          <w:p>
            <w:pPr>
              <w:ind w:left="160"/>
              <w:spacing w:after="0" w:line="123" w:lineRule="exact"/>
              <w:rPr>
                <w:sz w:val="20"/>
                <w:szCs w:val="20"/>
                <w:color w:val="auto"/>
              </w:rPr>
            </w:pPr>
            <w:r>
              <w:rPr>
                <w:rFonts w:ascii="Arial" w:cs="Arial" w:eastAsia="Arial" w:hAnsi="Arial"/>
                <w:sz w:val="13"/>
                <w:szCs w:val="13"/>
                <w:b w:val="1"/>
                <w:bCs w:val="1"/>
                <w:color w:val="auto"/>
              </w:rPr>
              <w:t>S/(000)</w:t>
            </w:r>
          </w:p>
        </w:tc>
        <w:tc>
          <w:tcPr>
            <w:tcW w:w="200" w:type="dxa"/>
            <w:vAlign w:val="bottom"/>
            <w:gridSpan w:val="2"/>
          </w:tcPr>
          <w:p>
            <w:pPr>
              <w:spacing w:after="0"/>
              <w:rPr>
                <w:sz w:val="10"/>
                <w:szCs w:val="10"/>
                <w:color w:val="auto"/>
              </w:rPr>
            </w:pPr>
          </w:p>
        </w:tc>
        <w:tc>
          <w:tcPr>
            <w:tcW w:w="640" w:type="dxa"/>
            <w:vAlign w:val="bottom"/>
            <w:tcBorders>
              <w:top w:val="single" w:sz="8" w:color="auto"/>
            </w:tcBorders>
            <w:gridSpan w:val="2"/>
          </w:tcPr>
          <w:p>
            <w:pPr>
              <w:jc w:val="right"/>
              <w:ind w:right="3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100"/>
              <w:spacing w:after="0" w:line="123"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200"/>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80"/>
              <w:spacing w:after="0" w:line="123"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38"/>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3"/>
          </w:tcPr>
          <w:p>
            <w:pPr>
              <w:jc w:val="right"/>
              <w:ind w:right="38"/>
              <w:spacing w:after="0" w:line="123"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700" w:type="dxa"/>
            <w:vAlign w:val="bottom"/>
            <w:tcBorders>
              <w:top w:val="single" w:sz="8" w:color="auto"/>
            </w:tcBorders>
          </w:tcPr>
          <w:p>
            <w:pPr>
              <w:ind w:left="240"/>
              <w:spacing w:after="0" w:line="123" w:lineRule="exact"/>
              <w:rPr>
                <w:sz w:val="20"/>
                <w:szCs w:val="20"/>
                <w:color w:val="auto"/>
              </w:rPr>
            </w:pPr>
            <w:r>
              <w:rPr>
                <w:rFonts w:ascii="Arial" w:cs="Arial" w:eastAsia="Arial" w:hAnsi="Arial"/>
                <w:sz w:val="13"/>
                <w:szCs w:val="13"/>
                <w:b w:val="1"/>
                <w:bCs w:val="1"/>
                <w:color w:val="auto"/>
                <w:w w:val="98"/>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rPr>
              <w:t>Commercial loans</w:t>
            </w:r>
          </w:p>
        </w:tc>
        <w:tc>
          <w:tcPr>
            <w:tcW w:w="760" w:type="dxa"/>
            <w:vAlign w:val="bottom"/>
            <w:tcBorders>
              <w:left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3,253,560</w:t>
            </w:r>
          </w:p>
        </w:tc>
        <w:tc>
          <w:tcPr>
            <w:tcW w:w="16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36"/>
              <w:spacing w:after="0" w:line="131" w:lineRule="exact"/>
              <w:rPr>
                <w:sz w:val="20"/>
                <w:szCs w:val="20"/>
                <w:color w:val="auto"/>
              </w:rPr>
            </w:pPr>
            <w:r>
              <w:rPr>
                <w:rFonts w:ascii="Arial" w:cs="Arial" w:eastAsia="Arial" w:hAnsi="Arial"/>
                <w:sz w:val="13"/>
                <w:szCs w:val="13"/>
                <w:color w:val="auto"/>
              </w:rPr>
              <w:t>(18,884)</w:t>
            </w:r>
          </w:p>
        </w:tc>
        <w:tc>
          <w:tcPr>
            <w:tcW w:w="820" w:type="dxa"/>
            <w:vAlign w:val="bottom"/>
            <w:tcBorders>
              <w:right w:val="single" w:sz="8" w:color="CCEEFF"/>
            </w:tcBorders>
            <w:gridSpan w:val="3"/>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(16,587)</w:t>
            </w:r>
          </w:p>
        </w:tc>
        <w:tc>
          <w:tcPr>
            <w:tcW w:w="640" w:type="dxa"/>
            <w:vAlign w:val="bottom"/>
            <w:tcBorders>
              <w:right w:val="single" w:sz="8" w:color="CCEEFF"/>
            </w:tcBorders>
            <w:gridSpan w:val="2"/>
            <w:shd w:val="clear" w:color="auto" w:fill="CCEEFF"/>
          </w:tcPr>
          <w:p>
            <w:pPr>
              <w:ind w:left="200"/>
              <w:spacing w:after="0" w:line="131" w:lineRule="exact"/>
              <w:rPr>
                <w:sz w:val="20"/>
                <w:szCs w:val="20"/>
                <w:color w:val="auto"/>
              </w:rPr>
            </w:pPr>
            <w:r>
              <w:rPr>
                <w:rFonts w:ascii="Arial" w:cs="Arial" w:eastAsia="Arial" w:hAnsi="Arial"/>
                <w:sz w:val="13"/>
                <w:szCs w:val="13"/>
                <w:color w:val="auto"/>
                <w:w w:val="85"/>
              </w:rPr>
              <w:t>187,558</w:t>
            </w:r>
          </w:p>
        </w:tc>
        <w:tc>
          <w:tcPr>
            <w:tcW w:w="800" w:type="dxa"/>
            <w:vAlign w:val="bottom"/>
            <w:tcBorders>
              <w:right w:val="single" w:sz="8" w:color="CCEEFF"/>
            </w:tcBorders>
            <w:gridSpan w:val="3"/>
            <w:shd w:val="clear" w:color="auto" w:fill="CCEEFF"/>
          </w:tcPr>
          <w:p>
            <w:pPr>
              <w:ind w:left="360"/>
              <w:spacing w:after="0" w:line="131" w:lineRule="exact"/>
              <w:rPr>
                <w:sz w:val="20"/>
                <w:szCs w:val="20"/>
                <w:color w:val="auto"/>
              </w:rPr>
            </w:pPr>
            <w:r>
              <w:rPr>
                <w:rFonts w:ascii="Arial" w:cs="Arial" w:eastAsia="Arial" w:hAnsi="Arial"/>
                <w:sz w:val="13"/>
                <w:szCs w:val="13"/>
                <w:color w:val="auto"/>
                <w:w w:val="85"/>
              </w:rPr>
              <w:t>306,268</w:t>
            </w:r>
          </w:p>
        </w:tc>
        <w:tc>
          <w:tcPr>
            <w:tcW w:w="1040" w:type="dxa"/>
            <w:vAlign w:val="bottom"/>
            <w:tcBorders>
              <w:right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(33,127)</w:t>
            </w:r>
          </w:p>
        </w:tc>
        <w:tc>
          <w:tcPr>
            <w:tcW w:w="10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15"/>
              <w:spacing w:after="0" w:line="131" w:lineRule="exact"/>
              <w:rPr>
                <w:sz w:val="20"/>
                <w:szCs w:val="20"/>
                <w:color w:val="auto"/>
              </w:rPr>
            </w:pPr>
            <w:r>
              <w:rPr>
                <w:rFonts w:ascii="Arial" w:cs="Arial" w:eastAsia="Arial" w:hAnsi="Arial"/>
                <w:sz w:val="13"/>
                <w:szCs w:val="13"/>
                <w:color w:val="auto"/>
              </w:rPr>
              <w:t>(156,568)</w:t>
            </w:r>
          </w:p>
        </w:tc>
        <w:tc>
          <w:tcPr>
            <w:tcW w:w="880" w:type="dxa"/>
            <w:vAlign w:val="bottom"/>
            <w:gridSpan w:val="4"/>
            <w:shd w:val="clear" w:color="auto" w:fill="CCEEFF"/>
          </w:tcPr>
          <w:p>
            <w:pPr>
              <w:jc w:val="right"/>
              <w:ind w:right="62"/>
              <w:spacing w:after="0" w:line="131" w:lineRule="exact"/>
              <w:rPr>
                <w:sz w:val="20"/>
                <w:szCs w:val="20"/>
                <w:color w:val="auto"/>
              </w:rPr>
            </w:pPr>
            <w:r>
              <w:rPr>
                <w:rFonts w:ascii="Arial" w:cs="Arial" w:eastAsia="Arial" w:hAnsi="Arial"/>
                <w:sz w:val="13"/>
                <w:szCs w:val="13"/>
                <w:color w:val="auto"/>
              </w:rPr>
              <w:t>(102,350)</w:t>
            </w:r>
          </w:p>
        </w:tc>
        <w:tc>
          <w:tcPr>
            <w:tcW w:w="900" w:type="dxa"/>
            <w:vAlign w:val="bottom"/>
            <w:tcBorders>
              <w:right w:val="single" w:sz="8" w:color="CCEEFF"/>
            </w:tcBorders>
            <w:gridSpan w:val="5"/>
            <w:shd w:val="clear" w:color="auto" w:fill="CCEEFF"/>
          </w:tcPr>
          <w:p>
            <w:pPr>
              <w:jc w:val="right"/>
              <w:ind w:right="78"/>
              <w:spacing w:after="0" w:line="131" w:lineRule="exact"/>
              <w:rPr>
                <w:sz w:val="20"/>
                <w:szCs w:val="20"/>
                <w:color w:val="auto"/>
              </w:rPr>
            </w:pPr>
            <w:r>
              <w:rPr>
                <w:rFonts w:ascii="Arial" w:cs="Arial" w:eastAsia="Arial" w:hAnsi="Arial"/>
                <w:sz w:val="13"/>
                <w:szCs w:val="13"/>
                <w:color w:val="auto"/>
              </w:rPr>
              <w:t>(57,956)</w:t>
            </w:r>
          </w:p>
        </w:tc>
        <w:tc>
          <w:tcPr>
            <w:tcW w:w="900" w:type="dxa"/>
            <w:vAlign w:val="bottom"/>
            <w:tcBorders>
              <w:left w:val="single" w:sz="8" w:color="CCEEFF"/>
              <w:right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36,986</w:t>
            </w: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3,398,900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00" w:type="dxa"/>
            <w:vAlign w:val="bottom"/>
            <w:gridSpan w:val="2"/>
          </w:tcPr>
          <w:p>
            <w:pPr>
              <w:spacing w:after="0" w:line="114" w:lineRule="exact"/>
              <w:rPr>
                <w:sz w:val="20"/>
                <w:szCs w:val="20"/>
                <w:color w:val="auto"/>
              </w:rPr>
            </w:pPr>
            <w:r>
              <w:rPr>
                <w:rFonts w:ascii="Arial" w:cs="Arial" w:eastAsia="Arial" w:hAnsi="Arial"/>
                <w:sz w:val="13"/>
                <w:szCs w:val="13"/>
                <w:color w:val="auto"/>
                <w:w w:val="94"/>
              </w:rPr>
              <w:t>Residential mortgage</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00" w:type="dxa"/>
            <w:vAlign w:val="bottom"/>
            <w:gridSpan w:val="2"/>
          </w:tcPr>
          <w:p>
            <w:pPr>
              <w:spacing w:after="0" w:line="146" w:lineRule="exact"/>
              <w:rPr>
                <w:sz w:val="20"/>
                <w:szCs w:val="20"/>
                <w:color w:val="auto"/>
              </w:rPr>
            </w:pPr>
            <w:r>
              <w:rPr>
                <w:rFonts w:ascii="Arial" w:cs="Arial" w:eastAsia="Arial" w:hAnsi="Arial"/>
                <w:sz w:val="13"/>
                <w:szCs w:val="13"/>
                <w:color w:val="auto"/>
              </w:rPr>
              <w:t>loans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862,645</w:t>
            </w:r>
          </w:p>
        </w:tc>
        <w:tc>
          <w:tcPr>
            <w:tcW w:w="160" w:type="dxa"/>
            <w:vAlign w:val="bottom"/>
          </w:tcPr>
          <w:p>
            <w:pPr>
              <w:spacing w:after="0"/>
              <w:rPr>
                <w:sz w:val="12"/>
                <w:szCs w:val="12"/>
                <w:color w:val="auto"/>
              </w:rPr>
            </w:pPr>
          </w:p>
        </w:tc>
        <w:tc>
          <w:tcPr>
            <w:tcW w:w="860" w:type="dxa"/>
            <w:vAlign w:val="bottom"/>
            <w:gridSpan w:val="2"/>
          </w:tcPr>
          <w:p>
            <w:pPr>
              <w:jc w:val="right"/>
              <w:ind w:right="136"/>
              <w:spacing w:after="0" w:line="146" w:lineRule="exact"/>
              <w:rPr>
                <w:sz w:val="20"/>
                <w:szCs w:val="20"/>
                <w:color w:val="auto"/>
              </w:rPr>
            </w:pPr>
            <w:r>
              <w:rPr>
                <w:rFonts w:ascii="Arial" w:cs="Arial" w:eastAsia="Arial" w:hAnsi="Arial"/>
                <w:sz w:val="13"/>
                <w:szCs w:val="13"/>
                <w:color w:val="auto"/>
              </w:rPr>
              <w:t>(11,333)</w:t>
            </w:r>
          </w:p>
        </w:tc>
        <w:tc>
          <w:tcPr>
            <w:tcW w:w="820" w:type="dxa"/>
            <w:vAlign w:val="bottom"/>
            <w:gridSpan w:val="3"/>
          </w:tcPr>
          <w:p>
            <w:pPr>
              <w:jc w:val="right"/>
              <w:ind w:right="118"/>
              <w:spacing w:after="0" w:line="146" w:lineRule="exact"/>
              <w:rPr>
                <w:sz w:val="20"/>
                <w:szCs w:val="20"/>
                <w:color w:val="auto"/>
              </w:rPr>
            </w:pPr>
            <w:r>
              <w:rPr>
                <w:rFonts w:ascii="Arial" w:cs="Arial" w:eastAsia="Arial" w:hAnsi="Arial"/>
                <w:sz w:val="13"/>
                <w:szCs w:val="13"/>
                <w:color w:val="auto"/>
              </w:rPr>
              <w:t>(6,586)</w:t>
            </w:r>
          </w:p>
        </w:tc>
        <w:tc>
          <w:tcPr>
            <w:tcW w:w="640" w:type="dxa"/>
            <w:vAlign w:val="bottom"/>
            <w:gridSpan w:val="2"/>
          </w:tcPr>
          <w:p>
            <w:pPr>
              <w:ind w:left="200"/>
              <w:spacing w:after="0" w:line="146" w:lineRule="exact"/>
              <w:rPr>
                <w:sz w:val="20"/>
                <w:szCs w:val="20"/>
                <w:color w:val="auto"/>
              </w:rPr>
            </w:pPr>
            <w:r>
              <w:rPr>
                <w:rFonts w:ascii="Arial" w:cs="Arial" w:eastAsia="Arial" w:hAnsi="Arial"/>
                <w:sz w:val="13"/>
                <w:szCs w:val="13"/>
                <w:color w:val="auto"/>
                <w:w w:val="85"/>
              </w:rPr>
              <w:t>159,561</w:t>
            </w:r>
          </w:p>
        </w:tc>
        <w:tc>
          <w:tcPr>
            <w:tcW w:w="800" w:type="dxa"/>
            <w:vAlign w:val="bottom"/>
            <w:gridSpan w:val="3"/>
          </w:tcPr>
          <w:p>
            <w:pPr>
              <w:ind w:left="360"/>
              <w:spacing w:after="0" w:line="146" w:lineRule="exact"/>
              <w:rPr>
                <w:sz w:val="20"/>
                <w:szCs w:val="20"/>
                <w:color w:val="auto"/>
              </w:rPr>
            </w:pPr>
            <w:r>
              <w:rPr>
                <w:rFonts w:ascii="Arial" w:cs="Arial" w:eastAsia="Arial" w:hAnsi="Arial"/>
                <w:sz w:val="13"/>
                <w:szCs w:val="13"/>
                <w:color w:val="auto"/>
                <w:w w:val="85"/>
              </w:rPr>
              <w:t>123,255</w:t>
            </w:r>
          </w:p>
        </w:tc>
        <w:tc>
          <w:tcPr>
            <w:tcW w:w="1040" w:type="dxa"/>
            <w:vAlign w:val="bottom"/>
            <w:gridSpan w:val="3"/>
          </w:tcPr>
          <w:p>
            <w:pPr>
              <w:jc w:val="right"/>
              <w:ind w:right="40"/>
              <w:spacing w:after="0" w:line="146" w:lineRule="exact"/>
              <w:rPr>
                <w:sz w:val="20"/>
                <w:szCs w:val="20"/>
                <w:color w:val="auto"/>
              </w:rPr>
            </w:pPr>
            <w:r>
              <w:rPr>
                <w:rFonts w:ascii="Arial" w:cs="Arial" w:eastAsia="Arial" w:hAnsi="Arial"/>
                <w:sz w:val="13"/>
                <w:szCs w:val="13"/>
                <w:color w:val="auto"/>
              </w:rPr>
              <w:t>353</w:t>
            </w:r>
          </w:p>
        </w:tc>
        <w:tc>
          <w:tcPr>
            <w:tcW w:w="100" w:type="dxa"/>
            <w:vAlign w:val="bottom"/>
          </w:tcPr>
          <w:p>
            <w:pPr>
              <w:spacing w:after="0"/>
              <w:rPr>
                <w:sz w:val="12"/>
                <w:szCs w:val="12"/>
                <w:color w:val="auto"/>
              </w:rPr>
            </w:pPr>
          </w:p>
        </w:tc>
        <w:tc>
          <w:tcPr>
            <w:tcW w:w="940" w:type="dxa"/>
            <w:vAlign w:val="bottom"/>
            <w:gridSpan w:val="4"/>
          </w:tcPr>
          <w:p>
            <w:pPr>
              <w:jc w:val="right"/>
              <w:ind w:right="15"/>
              <w:spacing w:after="0" w:line="146" w:lineRule="exact"/>
              <w:rPr>
                <w:sz w:val="20"/>
                <w:szCs w:val="20"/>
                <w:color w:val="auto"/>
              </w:rPr>
            </w:pPr>
            <w:r>
              <w:rPr>
                <w:rFonts w:ascii="Arial" w:cs="Arial" w:eastAsia="Arial" w:hAnsi="Arial"/>
                <w:sz w:val="13"/>
                <w:szCs w:val="13"/>
                <w:color w:val="auto"/>
              </w:rPr>
              <w:t>(116,995)</w:t>
            </w:r>
          </w:p>
        </w:tc>
        <w:tc>
          <w:tcPr>
            <w:tcW w:w="880" w:type="dxa"/>
            <w:vAlign w:val="bottom"/>
            <w:gridSpan w:val="4"/>
          </w:tcPr>
          <w:p>
            <w:pPr>
              <w:jc w:val="right"/>
              <w:ind w:right="62"/>
              <w:spacing w:after="0" w:line="146" w:lineRule="exact"/>
              <w:rPr>
                <w:sz w:val="20"/>
                <w:szCs w:val="20"/>
                <w:color w:val="auto"/>
              </w:rPr>
            </w:pPr>
            <w:r>
              <w:rPr>
                <w:rFonts w:ascii="Arial" w:cs="Arial" w:eastAsia="Arial" w:hAnsi="Arial"/>
                <w:sz w:val="13"/>
                <w:szCs w:val="13"/>
                <w:color w:val="auto"/>
              </w:rPr>
              <w:t>(11,115)</w:t>
            </w:r>
          </w:p>
        </w:tc>
        <w:tc>
          <w:tcPr>
            <w:tcW w:w="900" w:type="dxa"/>
            <w:vAlign w:val="bottom"/>
            <w:gridSpan w:val="5"/>
          </w:tcPr>
          <w:p>
            <w:pPr>
              <w:jc w:val="right"/>
              <w:ind w:right="78"/>
              <w:spacing w:after="0" w:line="146" w:lineRule="exact"/>
              <w:rPr>
                <w:sz w:val="20"/>
                <w:szCs w:val="20"/>
                <w:color w:val="auto"/>
              </w:rPr>
            </w:pPr>
            <w:r>
              <w:rPr>
                <w:rFonts w:ascii="Arial" w:cs="Arial" w:eastAsia="Arial" w:hAnsi="Arial"/>
                <w:sz w:val="13"/>
                <w:szCs w:val="13"/>
                <w:color w:val="auto"/>
              </w:rPr>
              <w:t>(49,908)</w:t>
            </w:r>
          </w:p>
        </w:tc>
        <w:tc>
          <w:tcPr>
            <w:tcW w:w="9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9,156</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959,033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w w:val="94"/>
              </w:rPr>
              <w:t>Micro-business loans</w:t>
            </w:r>
          </w:p>
        </w:tc>
        <w:tc>
          <w:tcPr>
            <w:tcW w:w="760" w:type="dxa"/>
            <w:vAlign w:val="bottom"/>
            <w:tcBorders>
              <w:left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1,295,025</w:t>
            </w:r>
          </w:p>
        </w:tc>
        <w:tc>
          <w:tcPr>
            <w:tcW w:w="16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36"/>
              <w:spacing w:after="0" w:line="131" w:lineRule="exact"/>
              <w:rPr>
                <w:sz w:val="20"/>
                <w:szCs w:val="20"/>
                <w:color w:val="auto"/>
              </w:rPr>
            </w:pPr>
            <w:r>
              <w:rPr>
                <w:rFonts w:ascii="Arial" w:cs="Arial" w:eastAsia="Arial" w:hAnsi="Arial"/>
                <w:sz w:val="13"/>
                <w:szCs w:val="13"/>
                <w:color w:val="auto"/>
              </w:rPr>
              <w:t>(13,543)</w:t>
            </w:r>
          </w:p>
        </w:tc>
        <w:tc>
          <w:tcPr>
            <w:tcW w:w="820" w:type="dxa"/>
            <w:vAlign w:val="bottom"/>
            <w:tcBorders>
              <w:right w:val="single" w:sz="8" w:color="CCEEFF"/>
            </w:tcBorders>
            <w:gridSpan w:val="3"/>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(8,582)</w:t>
            </w:r>
          </w:p>
        </w:tc>
        <w:tc>
          <w:tcPr>
            <w:tcW w:w="640" w:type="dxa"/>
            <w:vAlign w:val="bottom"/>
            <w:tcBorders>
              <w:right w:val="single" w:sz="8" w:color="CCEEFF"/>
            </w:tcBorders>
            <w:gridSpan w:val="2"/>
            <w:shd w:val="clear" w:color="auto" w:fill="CCEEFF"/>
          </w:tcPr>
          <w:p>
            <w:pPr>
              <w:ind w:left="200"/>
              <w:spacing w:after="0" w:line="131" w:lineRule="exact"/>
              <w:rPr>
                <w:sz w:val="20"/>
                <w:szCs w:val="20"/>
                <w:color w:val="auto"/>
              </w:rPr>
            </w:pPr>
            <w:r>
              <w:rPr>
                <w:rFonts w:ascii="Arial" w:cs="Arial" w:eastAsia="Arial" w:hAnsi="Arial"/>
                <w:sz w:val="13"/>
                <w:szCs w:val="13"/>
                <w:color w:val="auto"/>
                <w:w w:val="85"/>
              </w:rPr>
              <w:t>325,773</w:t>
            </w:r>
          </w:p>
        </w:tc>
        <w:tc>
          <w:tcPr>
            <w:tcW w:w="800" w:type="dxa"/>
            <w:vAlign w:val="bottom"/>
            <w:tcBorders>
              <w:right w:val="single" w:sz="8" w:color="CCEEFF"/>
            </w:tcBorders>
            <w:gridSpan w:val="3"/>
            <w:shd w:val="clear" w:color="auto" w:fill="CCEEFF"/>
          </w:tcPr>
          <w:p>
            <w:pPr>
              <w:ind w:left="360"/>
              <w:spacing w:after="0" w:line="131" w:lineRule="exact"/>
              <w:rPr>
                <w:sz w:val="20"/>
                <w:szCs w:val="20"/>
                <w:color w:val="auto"/>
              </w:rPr>
            </w:pPr>
            <w:r>
              <w:rPr>
                <w:rFonts w:ascii="Arial" w:cs="Arial" w:eastAsia="Arial" w:hAnsi="Arial"/>
                <w:sz w:val="13"/>
                <w:szCs w:val="13"/>
                <w:color w:val="auto"/>
                <w:w w:val="85"/>
              </w:rPr>
              <w:t>205,492</w:t>
            </w:r>
          </w:p>
        </w:tc>
        <w:tc>
          <w:tcPr>
            <w:tcW w:w="1040" w:type="dxa"/>
            <w:vAlign w:val="bottom"/>
            <w:tcBorders>
              <w:right w:val="single" w:sz="8" w:color="CCEEFF"/>
            </w:tcBorders>
            <w:gridSpan w:val="3"/>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rPr>
              <w:t>32,923</w:t>
            </w:r>
          </w:p>
        </w:tc>
        <w:tc>
          <w:tcPr>
            <w:tcW w:w="10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15"/>
              <w:spacing w:after="0" w:line="131" w:lineRule="exact"/>
              <w:rPr>
                <w:sz w:val="20"/>
                <w:szCs w:val="20"/>
                <w:color w:val="auto"/>
              </w:rPr>
            </w:pPr>
            <w:r>
              <w:rPr>
                <w:rFonts w:ascii="Arial" w:cs="Arial" w:eastAsia="Arial" w:hAnsi="Arial"/>
                <w:sz w:val="13"/>
                <w:szCs w:val="13"/>
                <w:color w:val="auto"/>
              </w:rPr>
              <w:t>(151,256)</w:t>
            </w:r>
          </w:p>
        </w:tc>
        <w:tc>
          <w:tcPr>
            <w:tcW w:w="880" w:type="dxa"/>
            <w:vAlign w:val="bottom"/>
            <w:gridSpan w:val="4"/>
            <w:shd w:val="clear" w:color="auto" w:fill="CCEEFF"/>
          </w:tcPr>
          <w:p>
            <w:pPr>
              <w:jc w:val="right"/>
              <w:ind w:right="62"/>
              <w:spacing w:after="0" w:line="131" w:lineRule="exact"/>
              <w:rPr>
                <w:sz w:val="20"/>
                <w:szCs w:val="20"/>
                <w:color w:val="auto"/>
              </w:rPr>
            </w:pPr>
            <w:r>
              <w:rPr>
                <w:rFonts w:ascii="Arial" w:cs="Arial" w:eastAsia="Arial" w:hAnsi="Arial"/>
                <w:sz w:val="13"/>
                <w:szCs w:val="13"/>
                <w:color w:val="auto"/>
              </w:rPr>
              <w:t>(357,753)</w:t>
            </w:r>
          </w:p>
        </w:tc>
        <w:tc>
          <w:tcPr>
            <w:tcW w:w="900" w:type="dxa"/>
            <w:vAlign w:val="bottom"/>
            <w:tcBorders>
              <w:right w:val="single" w:sz="8" w:color="CCEEFF"/>
            </w:tcBorders>
            <w:gridSpan w:val="5"/>
            <w:shd w:val="clear" w:color="auto" w:fill="CCEEFF"/>
          </w:tcPr>
          <w:p>
            <w:pPr>
              <w:jc w:val="right"/>
              <w:ind w:right="78"/>
              <w:spacing w:after="0" w:line="131" w:lineRule="exact"/>
              <w:rPr>
                <w:sz w:val="20"/>
                <w:szCs w:val="20"/>
                <w:color w:val="auto"/>
              </w:rPr>
            </w:pPr>
            <w:r>
              <w:rPr>
                <w:rFonts w:ascii="Arial" w:cs="Arial" w:eastAsia="Arial" w:hAnsi="Arial"/>
                <w:sz w:val="13"/>
                <w:szCs w:val="13"/>
                <w:color w:val="auto"/>
              </w:rPr>
              <w:t>(75,916)</w:t>
            </w:r>
          </w:p>
        </w:tc>
        <w:tc>
          <w:tcPr>
            <w:tcW w:w="900" w:type="dxa"/>
            <w:vAlign w:val="bottom"/>
            <w:tcBorders>
              <w:left w:val="single" w:sz="8" w:color="CCEEFF"/>
              <w:right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5,793</w:t>
            </w: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1,257,956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832,487</w:t>
            </w:r>
          </w:p>
        </w:tc>
        <w:tc>
          <w:tcPr>
            <w:tcW w:w="160" w:type="dxa"/>
            <w:vAlign w:val="bottom"/>
          </w:tcPr>
          <w:p>
            <w:pPr>
              <w:spacing w:after="0"/>
              <w:rPr>
                <w:sz w:val="12"/>
                <w:szCs w:val="12"/>
                <w:color w:val="auto"/>
              </w:rPr>
            </w:pPr>
          </w:p>
        </w:tc>
        <w:tc>
          <w:tcPr>
            <w:tcW w:w="860" w:type="dxa"/>
            <w:vAlign w:val="bottom"/>
            <w:gridSpan w:val="2"/>
          </w:tcPr>
          <w:p>
            <w:pPr>
              <w:jc w:val="right"/>
              <w:ind w:right="136"/>
              <w:spacing w:after="0" w:line="143" w:lineRule="exact"/>
              <w:rPr>
                <w:sz w:val="20"/>
                <w:szCs w:val="20"/>
                <w:color w:val="auto"/>
              </w:rPr>
            </w:pPr>
            <w:r>
              <w:rPr>
                <w:rFonts w:ascii="Arial" w:cs="Arial" w:eastAsia="Arial" w:hAnsi="Arial"/>
                <w:sz w:val="13"/>
                <w:szCs w:val="13"/>
                <w:color w:val="auto"/>
              </w:rPr>
              <w:t>(21,458)</w:t>
            </w:r>
          </w:p>
        </w:tc>
        <w:tc>
          <w:tcPr>
            <w:tcW w:w="820" w:type="dxa"/>
            <w:vAlign w:val="bottom"/>
            <w:gridSpan w:val="3"/>
          </w:tcPr>
          <w:p>
            <w:pPr>
              <w:jc w:val="right"/>
              <w:ind w:right="118"/>
              <w:spacing w:after="0" w:line="143" w:lineRule="exact"/>
              <w:rPr>
                <w:sz w:val="20"/>
                <w:szCs w:val="20"/>
                <w:color w:val="auto"/>
              </w:rPr>
            </w:pPr>
            <w:r>
              <w:rPr>
                <w:rFonts w:ascii="Arial" w:cs="Arial" w:eastAsia="Arial" w:hAnsi="Arial"/>
                <w:sz w:val="13"/>
                <w:szCs w:val="13"/>
                <w:color w:val="auto"/>
              </w:rPr>
              <w:t>(24,345)</w:t>
            </w:r>
          </w:p>
        </w:tc>
        <w:tc>
          <w:tcPr>
            <w:tcW w:w="640" w:type="dxa"/>
            <w:vAlign w:val="bottom"/>
            <w:gridSpan w:val="2"/>
          </w:tcPr>
          <w:p>
            <w:pPr>
              <w:ind w:left="200"/>
              <w:spacing w:after="0" w:line="143" w:lineRule="exact"/>
              <w:rPr>
                <w:sz w:val="20"/>
                <w:szCs w:val="20"/>
                <w:color w:val="auto"/>
              </w:rPr>
            </w:pPr>
            <w:r>
              <w:rPr>
                <w:rFonts w:ascii="Arial" w:cs="Arial" w:eastAsia="Arial" w:hAnsi="Arial"/>
                <w:sz w:val="13"/>
                <w:szCs w:val="13"/>
                <w:color w:val="auto"/>
                <w:w w:val="85"/>
              </w:rPr>
              <w:t>203,805</w:t>
            </w:r>
          </w:p>
        </w:tc>
        <w:tc>
          <w:tcPr>
            <w:tcW w:w="800" w:type="dxa"/>
            <w:vAlign w:val="bottom"/>
            <w:gridSpan w:val="3"/>
          </w:tcPr>
          <w:p>
            <w:pPr>
              <w:ind w:left="360"/>
              <w:spacing w:after="0" w:line="143" w:lineRule="exact"/>
              <w:rPr>
                <w:sz w:val="20"/>
                <w:szCs w:val="20"/>
                <w:color w:val="auto"/>
              </w:rPr>
            </w:pPr>
            <w:r>
              <w:rPr>
                <w:rFonts w:ascii="Arial" w:cs="Arial" w:eastAsia="Arial" w:hAnsi="Arial"/>
                <w:sz w:val="13"/>
                <w:szCs w:val="13"/>
                <w:color w:val="auto"/>
                <w:w w:val="85"/>
              </w:rPr>
              <w:t>199,903</w:t>
            </w:r>
          </w:p>
        </w:tc>
        <w:tc>
          <w:tcPr>
            <w:tcW w:w="104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(149)</w:t>
            </w:r>
          </w:p>
        </w:tc>
        <w:tc>
          <w:tcPr>
            <w:tcW w:w="100" w:type="dxa"/>
            <w:vAlign w:val="bottom"/>
          </w:tcPr>
          <w:p>
            <w:pPr>
              <w:spacing w:after="0"/>
              <w:rPr>
                <w:sz w:val="12"/>
                <w:szCs w:val="12"/>
                <w:color w:val="auto"/>
              </w:rPr>
            </w:pPr>
          </w:p>
        </w:tc>
        <w:tc>
          <w:tcPr>
            <w:tcW w:w="940" w:type="dxa"/>
            <w:vAlign w:val="bottom"/>
            <w:gridSpan w:val="4"/>
          </w:tcPr>
          <w:p>
            <w:pPr>
              <w:jc w:val="right"/>
              <w:ind w:right="15"/>
              <w:spacing w:after="0" w:line="143" w:lineRule="exact"/>
              <w:rPr>
                <w:sz w:val="20"/>
                <w:szCs w:val="20"/>
                <w:color w:val="auto"/>
              </w:rPr>
            </w:pPr>
            <w:r>
              <w:rPr>
                <w:rFonts w:ascii="Arial" w:cs="Arial" w:eastAsia="Arial" w:hAnsi="Arial"/>
                <w:sz w:val="13"/>
                <w:szCs w:val="13"/>
                <w:color w:val="auto"/>
              </w:rPr>
              <w:t>(74,552)</w:t>
            </w:r>
          </w:p>
        </w:tc>
        <w:tc>
          <w:tcPr>
            <w:tcW w:w="880" w:type="dxa"/>
            <w:vAlign w:val="bottom"/>
            <w:gridSpan w:val="4"/>
          </w:tcPr>
          <w:p>
            <w:pPr>
              <w:jc w:val="right"/>
              <w:ind w:right="62"/>
              <w:spacing w:after="0" w:line="143" w:lineRule="exact"/>
              <w:rPr>
                <w:sz w:val="20"/>
                <w:szCs w:val="20"/>
                <w:color w:val="auto"/>
              </w:rPr>
            </w:pPr>
            <w:r>
              <w:rPr>
                <w:rFonts w:ascii="Arial" w:cs="Arial" w:eastAsia="Arial" w:hAnsi="Arial"/>
                <w:sz w:val="13"/>
                <w:szCs w:val="13"/>
                <w:color w:val="auto"/>
              </w:rPr>
              <w:t>(402,837)</w:t>
            </w:r>
          </w:p>
        </w:tc>
        <w:tc>
          <w:tcPr>
            <w:tcW w:w="900" w:type="dxa"/>
            <w:vAlign w:val="bottom"/>
            <w:gridSpan w:val="5"/>
          </w:tcPr>
          <w:p>
            <w:pPr>
              <w:jc w:val="right"/>
              <w:ind w:right="78"/>
              <w:spacing w:after="0" w:line="143" w:lineRule="exact"/>
              <w:rPr>
                <w:sz w:val="20"/>
                <w:szCs w:val="20"/>
                <w:color w:val="auto"/>
              </w:rPr>
            </w:pPr>
            <w:r>
              <w:rPr>
                <w:rFonts w:ascii="Arial" w:cs="Arial" w:eastAsia="Arial" w:hAnsi="Arial"/>
                <w:sz w:val="13"/>
                <w:szCs w:val="13"/>
                <w:color w:val="auto"/>
              </w:rPr>
              <w:t>(13,843)</w:t>
            </w:r>
          </w:p>
        </w:tc>
        <w:tc>
          <w:tcPr>
            <w:tcW w:w="9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1,854</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700,865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00" w:type="dxa"/>
            <w:vAlign w:val="bottom"/>
            <w:tcBorders>
              <w:top w:val="single" w:sz="8" w:color="CCEEFF"/>
              <w:bottom w:val="single" w:sz="8" w:color="CCEEFF"/>
              <w:right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w:t>
            </w:r>
          </w:p>
        </w:tc>
        <w:tc>
          <w:tcPr>
            <w:tcW w:w="760" w:type="dxa"/>
            <w:vAlign w:val="bottom"/>
            <w:tcBorders>
              <w:top w:val="single" w:sz="8" w:color="auto"/>
              <w:left w:val="single" w:sz="8" w:color="CCEEFF"/>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6,243,717</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(65,218</w:t>
            </w:r>
          </w:p>
        </w:tc>
        <w:tc>
          <w:tcPr>
            <w:tcW w:w="200" w:type="dxa"/>
            <w:vAlign w:val="bottom"/>
            <w:tcBorders>
              <w:top w:val="single" w:sz="8" w:color="CCEEFF"/>
              <w:bottom w:val="single" w:sz="8" w:color="CCEEFF"/>
              <w:right w:val="single" w:sz="8" w:color="CCEEFF"/>
            </w:tcBorders>
            <w:shd w:val="clear" w:color="auto" w:fill="CCEEFF"/>
          </w:tcPr>
          <w:p>
            <w:pPr>
              <w:jc w:val="right"/>
              <w:ind w:right="136"/>
              <w:spacing w:after="0"/>
              <w:rPr>
                <w:sz w:val="20"/>
                <w:szCs w:val="20"/>
                <w:color w:val="auto"/>
              </w:rPr>
            </w:pPr>
            <w:r>
              <w:rPr>
                <w:rFonts w:ascii="Arial" w:cs="Arial" w:eastAsia="Arial" w:hAnsi="Arial"/>
                <w:sz w:val="1"/>
                <w:szCs w:val="1"/>
                <w:color w:val="auto"/>
                <w:w w:val="4294967281"/>
              </w:rPr>
              <w:t>)</w:t>
            </w: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(56,100</w:t>
            </w:r>
          </w:p>
        </w:tc>
        <w:tc>
          <w:tcPr>
            <w:tcW w:w="200" w:type="dxa"/>
            <w:vAlign w:val="bottom"/>
            <w:tcBorders>
              <w:top w:val="single" w:sz="8" w:color="CCEEFF"/>
              <w:bottom w:val="single" w:sz="8" w:color="CCEEFF"/>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right w:val="single" w:sz="8" w:color="CCEEFF"/>
            </w:tcBorders>
            <w:gridSpan w:val="2"/>
            <w:shd w:val="clear" w:color="auto" w:fill="CCEEFF"/>
          </w:tcPr>
          <w:p>
            <w:pPr>
              <w:ind w:left="200"/>
              <w:spacing w:after="0" w:line="123" w:lineRule="exact"/>
              <w:rPr>
                <w:sz w:val="20"/>
                <w:szCs w:val="20"/>
                <w:color w:val="auto"/>
              </w:rPr>
            </w:pPr>
            <w:r>
              <w:rPr>
                <w:rFonts w:ascii="Arial" w:cs="Arial" w:eastAsia="Arial" w:hAnsi="Arial"/>
                <w:sz w:val="13"/>
                <w:szCs w:val="13"/>
                <w:color w:val="auto"/>
                <w:w w:val="85"/>
              </w:rPr>
              <w:t>876,697</w:t>
            </w:r>
          </w:p>
        </w:tc>
        <w:tc>
          <w:tcPr>
            <w:tcW w:w="1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right w:val="single" w:sz="8" w:color="CCEEFF"/>
            </w:tcBorders>
            <w:gridSpan w:val="2"/>
            <w:shd w:val="clear" w:color="auto" w:fill="CCEEFF"/>
          </w:tcPr>
          <w:p>
            <w:pPr>
              <w:ind w:left="180"/>
              <w:spacing w:after="0" w:line="123" w:lineRule="exact"/>
              <w:rPr>
                <w:sz w:val="20"/>
                <w:szCs w:val="20"/>
                <w:color w:val="auto"/>
              </w:rPr>
            </w:pPr>
            <w:r>
              <w:rPr>
                <w:rFonts w:ascii="Arial" w:cs="Arial" w:eastAsia="Arial" w:hAnsi="Arial"/>
                <w:sz w:val="13"/>
                <w:szCs w:val="13"/>
                <w:color w:val="auto"/>
                <w:w w:val="85"/>
              </w:rPr>
              <w:t>834,918</w:t>
            </w:r>
          </w:p>
        </w:tc>
        <w:tc>
          <w:tcPr>
            <w:tcW w:w="2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right w:val="single" w:sz="8" w:color="CCEEFF"/>
            </w:tcBorders>
            <w:gridSpan w:val="2"/>
            <w:shd w:val="clear" w:color="auto" w:fill="CCEEFF"/>
          </w:tcPr>
          <w:p>
            <w:pPr>
              <w:jc w:val="right"/>
              <w:ind w:right="40"/>
              <w:spacing w:after="0" w:line="12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right w:val="single" w:sz="8" w:color="CCEEFF"/>
            </w:tcBorders>
            <w:gridSpan w:val="2"/>
            <w:shd w:val="clear" w:color="auto" w:fill="CCEEFF"/>
          </w:tcPr>
          <w:p>
            <w:pPr>
              <w:jc w:val="right"/>
              <w:ind w:right="20"/>
              <w:spacing w:after="0" w:line="123" w:lineRule="exact"/>
              <w:rPr>
                <w:sz w:val="20"/>
                <w:szCs w:val="20"/>
                <w:color w:val="auto"/>
              </w:rPr>
            </w:pPr>
            <w:r>
              <w:rPr>
                <w:rFonts w:ascii="Arial" w:cs="Arial" w:eastAsia="Arial" w:hAnsi="Arial"/>
                <w:sz w:val="13"/>
                <w:szCs w:val="13"/>
                <w:color w:val="auto"/>
              </w:rPr>
              <w:t>(499,371</w:t>
            </w:r>
          </w:p>
        </w:tc>
        <w:tc>
          <w:tcPr>
            <w:tcW w:w="40" w:type="dxa"/>
            <w:vAlign w:val="bottom"/>
            <w:tcBorders>
              <w:top w:val="single" w:sz="8" w:color="CCEEFF"/>
              <w:left w:val="single" w:sz="8" w:color="CCEEFF"/>
              <w:bottom w:val="single" w:sz="8" w:color="CCEEFF"/>
            </w:tcBorders>
            <w:shd w:val="clear" w:color="auto" w:fill="CCEEFF"/>
          </w:tcPr>
          <w:p>
            <w:pPr>
              <w:jc w:val="right"/>
              <w:ind w:right="15"/>
              <w:spacing w:after="0"/>
              <w:rPr>
                <w:sz w:val="20"/>
                <w:szCs w:val="20"/>
                <w:color w:val="auto"/>
              </w:rPr>
            </w:pPr>
            <w:r>
              <w:rPr>
                <w:rFonts w:ascii="Arial" w:cs="Arial" w:eastAsia="Arial" w:hAnsi="Arial"/>
                <w:sz w:val="1"/>
                <w:szCs w:val="1"/>
                <w:color w:val="auto"/>
                <w:w w:val="4294967281"/>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left w:val="single" w:sz="8" w:color="CCEEFF"/>
              <w:bottom w:val="single" w:sz="8" w:color="auto"/>
              <w:right w:val="single" w:sz="8" w:color="CCEEFF"/>
            </w:tcBorders>
            <w:gridSpan w:val="2"/>
            <w:shd w:val="clear" w:color="auto" w:fill="CCEEFF"/>
          </w:tcPr>
          <w:p>
            <w:pPr>
              <w:jc w:val="right"/>
              <w:spacing w:after="0" w:line="123" w:lineRule="exact"/>
              <w:rPr>
                <w:sz w:val="20"/>
                <w:szCs w:val="20"/>
                <w:color w:val="auto"/>
              </w:rPr>
            </w:pPr>
            <w:r>
              <w:rPr>
                <w:rFonts w:ascii="Arial" w:cs="Arial" w:eastAsia="Arial" w:hAnsi="Arial"/>
                <w:sz w:val="13"/>
                <w:szCs w:val="13"/>
                <w:color w:val="auto"/>
              </w:rPr>
              <w:t>(874,055</w:t>
            </w:r>
          </w:p>
        </w:tc>
        <w:tc>
          <w:tcPr>
            <w:tcW w:w="1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left w:val="single" w:sz="8" w:color="CCEEFF"/>
              <w:bottom w:val="single" w:sz="8" w:color="auto"/>
            </w:tcBorders>
            <w:gridSpan w:val="3"/>
            <w:shd w:val="clear" w:color="auto" w:fill="CCEEFF"/>
          </w:tcPr>
          <w:p>
            <w:pPr>
              <w:jc w:val="right"/>
              <w:spacing w:after="0" w:line="123" w:lineRule="exact"/>
              <w:rPr>
                <w:sz w:val="20"/>
                <w:szCs w:val="20"/>
                <w:color w:val="auto"/>
              </w:rPr>
            </w:pPr>
            <w:r>
              <w:rPr>
                <w:rFonts w:ascii="Arial" w:cs="Arial" w:eastAsia="Arial" w:hAnsi="Arial"/>
                <w:sz w:val="13"/>
                <w:szCs w:val="13"/>
                <w:color w:val="auto"/>
              </w:rPr>
              <w:t>(197,623</w:t>
            </w:r>
          </w:p>
        </w:tc>
        <w:tc>
          <w:tcPr>
            <w:tcW w:w="160" w:type="dxa"/>
            <w:vAlign w:val="bottom"/>
            <w:tcBorders>
              <w:top w:val="single" w:sz="8" w:color="CCEEFF"/>
              <w:bottom w:val="single" w:sz="8" w:color="CCEEFF"/>
              <w:right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left w:val="single" w:sz="8" w:color="CCEEFF"/>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53,789</w:t>
            </w:r>
          </w:p>
        </w:tc>
        <w:tc>
          <w:tcPr>
            <w:tcW w:w="2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6,316,754</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2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3"/>
              </w:rPr>
              <w:t>Consolidated 3 Stages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6"/>
              </w:rPr>
              <w:t>Balance at</w:t>
            </w: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Transfers</w:t>
            </w:r>
          </w:p>
        </w:tc>
        <w:tc>
          <w:tcPr>
            <w:tcW w:w="1040" w:type="dxa"/>
            <w:vAlign w:val="bottom"/>
            <w:gridSpan w:val="5"/>
            <w:vMerge w:val="restart"/>
          </w:tcPr>
          <w:p>
            <w:pPr>
              <w:jc w:val="right"/>
              <w:ind w:right="235"/>
              <w:spacing w:after="0"/>
              <w:rPr>
                <w:sz w:val="20"/>
                <w:szCs w:val="20"/>
                <w:color w:val="auto"/>
              </w:rPr>
            </w:pPr>
            <w:r>
              <w:rPr>
                <w:rFonts w:ascii="Arial" w:cs="Arial" w:eastAsia="Arial" w:hAnsi="Arial"/>
                <w:sz w:val="13"/>
                <w:szCs w:val="13"/>
                <w:b w:val="1"/>
                <w:bCs w:val="1"/>
                <w:color w:val="auto"/>
                <w:w w:val="85"/>
              </w:rPr>
              <w:t>New loans and</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5"/>
            <w:vMerge w:val="restart"/>
          </w:tcPr>
          <w:p>
            <w:pPr>
              <w:jc w:val="right"/>
              <w:ind w:right="238"/>
              <w:spacing w:after="0"/>
              <w:rPr>
                <w:sz w:val="20"/>
                <w:szCs w:val="20"/>
                <w:color w:val="auto"/>
              </w:rPr>
            </w:pPr>
            <w:r>
              <w:rPr>
                <w:rFonts w:ascii="Arial" w:cs="Arial" w:eastAsia="Arial" w:hAnsi="Arial"/>
                <w:sz w:val="13"/>
                <w:szCs w:val="13"/>
                <w:b w:val="1"/>
                <w:bCs w:val="1"/>
                <w:color w:val="auto"/>
                <w:w w:val="82"/>
              </w:rPr>
              <w:t>Sale of loan</w:t>
            </w: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Exchange</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auto"/>
            </w:tcBorders>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8"/>
              </w:rPr>
              <w:t>January</w:t>
            </w: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1"/>
              </w:rPr>
              <w:t>between classes</w:t>
            </w:r>
          </w:p>
        </w:tc>
        <w:tc>
          <w:tcPr>
            <w:tcW w:w="10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0"/>
              </w:rPr>
              <w:t>differences</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22"/>
        </w:trPr>
        <w:tc>
          <w:tcPr>
            <w:tcW w:w="120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rPr>
              <w:t>Loans by class</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4"/>
          </w:tcPr>
          <w:p>
            <w:pPr>
              <w:jc w:val="center"/>
              <w:ind w:right="220"/>
              <w:spacing w:after="0" w:line="123" w:lineRule="exact"/>
              <w:rPr>
                <w:sz w:val="20"/>
                <w:szCs w:val="20"/>
                <w:color w:val="auto"/>
              </w:rPr>
            </w:pPr>
            <w:r>
              <w:rPr>
                <w:rFonts w:ascii="Arial" w:cs="Arial" w:eastAsia="Arial" w:hAnsi="Arial"/>
                <w:sz w:val="13"/>
                <w:szCs w:val="13"/>
                <w:b w:val="1"/>
                <w:bCs w:val="1"/>
                <w:color w:val="auto"/>
                <w:w w:val="86"/>
              </w:rPr>
              <w:t>1rst, 2018</w:t>
            </w:r>
          </w:p>
        </w:tc>
        <w:tc>
          <w:tcPr>
            <w:tcW w:w="200" w:type="dxa"/>
            <w:vAlign w:val="bottom"/>
          </w:tcPr>
          <w:p>
            <w:pPr>
              <w:spacing w:after="0"/>
              <w:rPr>
                <w:sz w:val="10"/>
                <w:szCs w:val="10"/>
                <w:color w:val="auto"/>
              </w:rPr>
            </w:pPr>
          </w:p>
        </w:tc>
        <w:tc>
          <w:tcPr>
            <w:tcW w:w="840" w:type="dxa"/>
            <w:vAlign w:val="bottom"/>
            <w:gridSpan w:val="2"/>
          </w:tcPr>
          <w:p>
            <w:pPr>
              <w:jc w:val="center"/>
              <w:ind w:right="420"/>
              <w:spacing w:after="0" w:line="123" w:lineRule="exact"/>
              <w:rPr>
                <w:sz w:val="20"/>
                <w:szCs w:val="20"/>
                <w:color w:val="auto"/>
              </w:rPr>
            </w:pPr>
            <w:r>
              <w:rPr>
                <w:rFonts w:ascii="Arial" w:cs="Arial" w:eastAsia="Arial" w:hAnsi="Arial"/>
                <w:sz w:val="13"/>
                <w:szCs w:val="13"/>
                <w:b w:val="1"/>
                <w:bCs w:val="1"/>
                <w:color w:val="auto"/>
                <w:w w:val="84"/>
              </w:rPr>
              <w:t>of loans</w:t>
            </w:r>
          </w:p>
        </w:tc>
        <w:tc>
          <w:tcPr>
            <w:tcW w:w="1040" w:type="dxa"/>
            <w:vAlign w:val="bottom"/>
            <w:gridSpan w:val="5"/>
          </w:tcPr>
          <w:p>
            <w:pPr>
              <w:jc w:val="right"/>
              <w:ind w:right="215"/>
              <w:spacing w:after="0" w:line="123" w:lineRule="exact"/>
              <w:rPr>
                <w:sz w:val="20"/>
                <w:szCs w:val="20"/>
                <w:color w:val="auto"/>
              </w:rPr>
            </w:pPr>
            <w:r>
              <w:rPr>
                <w:rFonts w:ascii="Arial" w:cs="Arial" w:eastAsia="Arial" w:hAnsi="Arial"/>
                <w:sz w:val="13"/>
                <w:szCs w:val="13"/>
                <w:b w:val="1"/>
                <w:bCs w:val="1"/>
                <w:color w:val="auto"/>
                <w:w w:val="86"/>
              </w:rPr>
              <w:t>liquidation, net</w:t>
            </w:r>
          </w:p>
        </w:tc>
        <w:tc>
          <w:tcPr>
            <w:tcW w:w="880" w:type="dxa"/>
            <w:vAlign w:val="bottom"/>
            <w:gridSpan w:val="4"/>
          </w:tcPr>
          <w:p>
            <w:pPr>
              <w:jc w:val="right"/>
              <w:ind w:right="262"/>
              <w:spacing w:after="0" w:line="123" w:lineRule="exact"/>
              <w:rPr>
                <w:sz w:val="20"/>
                <w:szCs w:val="20"/>
                <w:color w:val="auto"/>
              </w:rPr>
            </w:pPr>
            <w:r>
              <w:rPr>
                <w:rFonts w:ascii="Arial" w:cs="Arial" w:eastAsia="Arial" w:hAnsi="Arial"/>
                <w:sz w:val="13"/>
                <w:szCs w:val="13"/>
                <w:b w:val="1"/>
                <w:bCs w:val="1"/>
                <w:color w:val="auto"/>
                <w:w w:val="95"/>
              </w:rPr>
              <w:t>Write-offs</w:t>
            </w:r>
          </w:p>
        </w:tc>
        <w:tc>
          <w:tcPr>
            <w:tcW w:w="80" w:type="dxa"/>
            <w:vAlign w:val="bottom"/>
          </w:tcPr>
          <w:p>
            <w:pPr>
              <w:spacing w:after="0"/>
              <w:rPr>
                <w:sz w:val="10"/>
                <w:szCs w:val="10"/>
                <w:color w:val="auto"/>
              </w:rPr>
            </w:pPr>
          </w:p>
        </w:tc>
        <w:tc>
          <w:tcPr>
            <w:tcW w:w="820" w:type="dxa"/>
            <w:vAlign w:val="bottom"/>
            <w:gridSpan w:val="4"/>
          </w:tcPr>
          <w:p>
            <w:pPr>
              <w:jc w:val="right"/>
              <w:ind w:right="318"/>
              <w:spacing w:after="0" w:line="123" w:lineRule="exact"/>
              <w:rPr>
                <w:sz w:val="20"/>
                <w:szCs w:val="20"/>
                <w:color w:val="auto"/>
              </w:rPr>
            </w:pPr>
            <w:r>
              <w:rPr>
                <w:rFonts w:ascii="Arial" w:cs="Arial" w:eastAsia="Arial" w:hAnsi="Arial"/>
                <w:sz w:val="13"/>
                <w:szCs w:val="13"/>
                <w:b w:val="1"/>
                <w:bCs w:val="1"/>
                <w:color w:val="auto"/>
                <w:w w:val="83"/>
              </w:rPr>
              <w:t>portfolio</w:t>
            </w:r>
          </w:p>
        </w:tc>
        <w:tc>
          <w:tcPr>
            <w:tcW w:w="900" w:type="dxa"/>
            <w:vAlign w:val="bottom"/>
            <w:gridSpan w:val="2"/>
          </w:tcPr>
          <w:p>
            <w:pPr>
              <w:jc w:val="center"/>
              <w:ind w:right="340"/>
              <w:spacing w:after="0" w:line="123" w:lineRule="exact"/>
              <w:rPr>
                <w:sz w:val="20"/>
                <w:szCs w:val="20"/>
                <w:color w:val="auto"/>
              </w:rPr>
            </w:pPr>
            <w:r>
              <w:rPr>
                <w:rFonts w:ascii="Arial" w:cs="Arial" w:eastAsia="Arial" w:hAnsi="Arial"/>
                <w:sz w:val="13"/>
                <w:szCs w:val="13"/>
                <w:b w:val="1"/>
                <w:bCs w:val="1"/>
                <w:color w:val="auto"/>
                <w:w w:val="84"/>
              </w:rPr>
              <w:t>and others</w:t>
            </w:r>
          </w:p>
        </w:tc>
        <w:tc>
          <w:tcPr>
            <w:tcW w:w="660" w:type="dxa"/>
            <w:vAlign w:val="bottom"/>
          </w:tcPr>
          <w:p>
            <w:pPr>
              <w:jc w:val="center"/>
              <w:ind w:right="17"/>
              <w:spacing w:after="0" w:line="123" w:lineRule="exact"/>
              <w:rPr>
                <w:sz w:val="20"/>
                <w:szCs w:val="20"/>
                <w:color w:val="auto"/>
              </w:rPr>
            </w:pPr>
            <w:r>
              <w:rPr>
                <w:rFonts w:ascii="Arial" w:cs="Arial" w:eastAsia="Arial" w:hAnsi="Arial"/>
                <w:sz w:val="13"/>
                <w:szCs w:val="13"/>
                <w:b w:val="1"/>
                <w:bCs w:val="1"/>
                <w:color w:val="auto"/>
                <w:w w:val="85"/>
              </w:rPr>
              <w:t>31, 2018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rPr>
              <w:t>Commercial loans</w:t>
            </w:r>
          </w:p>
        </w:tc>
        <w:tc>
          <w:tcPr>
            <w:tcW w:w="760" w:type="dxa"/>
            <w:vAlign w:val="bottom"/>
            <w:tcBorders>
              <w:left w:val="single" w:sz="8" w:color="CCEEFF"/>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0" w:type="dxa"/>
            <w:vAlign w:val="bottom"/>
            <w:tcBorders>
              <w:right w:val="single" w:sz="8" w:color="CCEEFF"/>
            </w:tcBorders>
            <w:gridSpan w:val="3"/>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w w:val="86"/>
              </w:rPr>
              <w:t>77,341,932</w:t>
            </w:r>
          </w:p>
        </w:tc>
        <w:tc>
          <w:tcPr>
            <w:tcW w:w="1040" w:type="dxa"/>
            <w:vAlign w:val="bottom"/>
            <w:tcBorders>
              <w:right w:val="single" w:sz="8" w:color="CCEEFF"/>
            </w:tcBorders>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392,047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6,797,559</w:t>
            </w:r>
          </w:p>
        </w:tc>
        <w:tc>
          <w:tcPr>
            <w:tcW w:w="18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780" w:type="dxa"/>
            <w:vAlign w:val="bottom"/>
            <w:tcBorders>
              <w:right w:val="single" w:sz="8" w:color="CCEEFF"/>
            </w:tcBorders>
            <w:gridSpan w:val="3"/>
            <w:shd w:val="clear" w:color="auto" w:fill="CCEEFF"/>
          </w:tcPr>
          <w:p>
            <w:pPr>
              <w:jc w:val="right"/>
              <w:ind w:right="38"/>
              <w:spacing w:after="0" w:line="131" w:lineRule="exact"/>
              <w:rPr>
                <w:sz w:val="20"/>
                <w:szCs w:val="20"/>
                <w:color w:val="auto"/>
              </w:rPr>
            </w:pPr>
            <w:r>
              <w:rPr>
                <w:rFonts w:ascii="Arial" w:cs="Arial" w:eastAsia="Arial" w:hAnsi="Arial"/>
                <w:sz w:val="13"/>
                <w:szCs w:val="13"/>
                <w:color w:val="auto"/>
              </w:rPr>
              <w:t>(115,040)</w:t>
            </w:r>
          </w:p>
        </w:tc>
        <w:tc>
          <w:tcPr>
            <w:tcW w:w="10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(57,956)</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left w:val="single" w:sz="8" w:color="CCEEFF"/>
              <w:right w:val="single" w:sz="8" w:color="CCEEFF"/>
            </w:tcBorders>
            <w:shd w:val="clear" w:color="auto" w:fill="CCEEFF"/>
          </w:tcPr>
          <w:p>
            <w:pPr>
              <w:jc w:val="right"/>
              <w:ind w:right="57"/>
              <w:spacing w:after="0" w:line="131" w:lineRule="exact"/>
              <w:rPr>
                <w:sz w:val="20"/>
                <w:szCs w:val="20"/>
                <w:color w:val="auto"/>
              </w:rPr>
            </w:pPr>
            <w:r>
              <w:rPr>
                <w:rFonts w:ascii="Arial" w:cs="Arial" w:eastAsia="Arial" w:hAnsi="Arial"/>
                <w:sz w:val="13"/>
                <w:szCs w:val="13"/>
                <w:color w:val="auto"/>
              </w:rPr>
              <w:t>780,532</w:t>
            </w:r>
          </w:p>
        </w:tc>
        <w:tc>
          <w:tcPr>
            <w:tcW w:w="2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5"/>
              </w:rPr>
              <w:t>85,139,074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00" w:type="dxa"/>
            <w:vAlign w:val="bottom"/>
            <w:gridSpan w:val="2"/>
          </w:tcPr>
          <w:p>
            <w:pPr>
              <w:spacing w:after="0" w:line="114" w:lineRule="exact"/>
              <w:rPr>
                <w:sz w:val="20"/>
                <w:szCs w:val="20"/>
                <w:color w:val="auto"/>
              </w:rPr>
            </w:pPr>
            <w:r>
              <w:rPr>
                <w:rFonts w:ascii="Arial" w:cs="Arial" w:eastAsia="Arial" w:hAnsi="Arial"/>
                <w:sz w:val="13"/>
                <w:szCs w:val="13"/>
                <w:color w:val="auto"/>
                <w:w w:val="94"/>
              </w:rPr>
              <w:t>Residential mortgage</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00" w:type="dxa"/>
            <w:vAlign w:val="bottom"/>
            <w:gridSpan w:val="2"/>
          </w:tcPr>
          <w:p>
            <w:pPr>
              <w:spacing w:after="0" w:line="146" w:lineRule="exact"/>
              <w:rPr>
                <w:sz w:val="20"/>
                <w:szCs w:val="20"/>
                <w:color w:val="auto"/>
              </w:rPr>
            </w:pPr>
            <w:r>
              <w:rPr>
                <w:rFonts w:ascii="Arial" w:cs="Arial" w:eastAsia="Arial" w:hAnsi="Arial"/>
                <w:sz w:val="13"/>
                <w:szCs w:val="13"/>
                <w:color w:val="auto"/>
              </w:rPr>
              <w:t>loans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220"/>
              <w:spacing w:after="0" w:line="146" w:lineRule="exact"/>
              <w:rPr>
                <w:sz w:val="20"/>
                <w:szCs w:val="20"/>
                <w:color w:val="auto"/>
              </w:rPr>
            </w:pPr>
            <w:r>
              <w:rPr>
                <w:rFonts w:ascii="Arial" w:cs="Arial" w:eastAsia="Arial" w:hAnsi="Arial"/>
                <w:sz w:val="13"/>
                <w:szCs w:val="13"/>
                <w:color w:val="auto"/>
                <w:w w:val="86"/>
              </w:rPr>
              <w:t>15,551,551</w:t>
            </w:r>
          </w:p>
        </w:tc>
        <w:tc>
          <w:tcPr>
            <w:tcW w:w="1040" w:type="dxa"/>
            <w:vAlign w:val="bottom"/>
            <w:gridSpan w:val="3"/>
          </w:tcPr>
          <w:p>
            <w:pPr>
              <w:jc w:val="right"/>
              <w:ind w:right="200"/>
              <w:spacing w:after="0" w:line="146" w:lineRule="exact"/>
              <w:rPr>
                <w:sz w:val="20"/>
                <w:szCs w:val="20"/>
                <w:color w:val="auto"/>
              </w:rPr>
            </w:pPr>
            <w:r>
              <w:rPr>
                <w:rFonts w:ascii="Arial" w:cs="Arial" w:eastAsia="Arial" w:hAnsi="Arial"/>
                <w:sz w:val="13"/>
                <w:szCs w:val="13"/>
                <w:color w:val="auto"/>
              </w:rPr>
              <w:t>15,375</w:t>
            </w:r>
          </w:p>
        </w:tc>
        <w:tc>
          <w:tcPr>
            <w:tcW w:w="100" w:type="dxa"/>
            <w:vAlign w:val="bottom"/>
          </w:tcPr>
          <w:p>
            <w:pPr>
              <w:spacing w:after="0"/>
              <w:rPr>
                <w:sz w:val="12"/>
                <w:szCs w:val="12"/>
                <w:color w:val="auto"/>
              </w:rPr>
            </w:pP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2,100,819</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38"/>
              <w:spacing w:after="0" w:line="146" w:lineRule="exact"/>
              <w:rPr>
                <w:sz w:val="20"/>
                <w:szCs w:val="20"/>
                <w:color w:val="auto"/>
              </w:rPr>
            </w:pPr>
            <w:r>
              <w:rPr>
                <w:rFonts w:ascii="Arial" w:cs="Arial" w:eastAsia="Arial" w:hAnsi="Arial"/>
                <w:sz w:val="13"/>
                <w:szCs w:val="13"/>
                <w:color w:val="auto"/>
              </w:rPr>
              <w:t>(11,383)</w:t>
            </w:r>
          </w:p>
        </w:tc>
        <w:tc>
          <w:tcPr>
            <w:tcW w:w="100" w:type="dxa"/>
            <w:vAlign w:val="bottom"/>
          </w:tcPr>
          <w:p>
            <w:pPr>
              <w:spacing w:after="0"/>
              <w:rPr>
                <w:sz w:val="12"/>
                <w:szCs w:val="12"/>
                <w:color w:val="auto"/>
              </w:rPr>
            </w:pPr>
          </w:p>
        </w:tc>
        <w:tc>
          <w:tcPr>
            <w:tcW w:w="720" w:type="dxa"/>
            <w:vAlign w:val="bottom"/>
            <w:gridSpan w:val="3"/>
          </w:tcPr>
          <w:p>
            <w:pPr>
              <w:jc w:val="right"/>
              <w:spacing w:after="0" w:line="146" w:lineRule="exact"/>
              <w:rPr>
                <w:sz w:val="20"/>
                <w:szCs w:val="20"/>
                <w:color w:val="auto"/>
              </w:rPr>
            </w:pPr>
            <w:r>
              <w:rPr>
                <w:rFonts w:ascii="Arial" w:cs="Arial" w:eastAsia="Arial" w:hAnsi="Arial"/>
                <w:sz w:val="13"/>
                <w:szCs w:val="13"/>
                <w:color w:val="auto"/>
              </w:rPr>
              <w:t>(50,196)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164,526</w:t>
            </w:r>
          </w:p>
        </w:tc>
        <w:tc>
          <w:tcPr>
            <w:tcW w:w="20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w w:val="95"/>
              </w:rPr>
              <w:t>17,770,692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0" w:type="dxa"/>
            <w:vAlign w:val="bottom"/>
            <w:tcBorders>
              <w:right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w w:val="94"/>
              </w:rPr>
              <w:t>Micro-business loans</w:t>
            </w:r>
          </w:p>
        </w:tc>
        <w:tc>
          <w:tcPr>
            <w:tcW w:w="760" w:type="dxa"/>
            <w:vAlign w:val="bottom"/>
            <w:tcBorders>
              <w:left w:val="single" w:sz="8" w:color="CCEEFF"/>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0" w:type="dxa"/>
            <w:vAlign w:val="bottom"/>
            <w:tcBorders>
              <w:right w:val="single" w:sz="8" w:color="CCEEFF"/>
            </w:tcBorders>
            <w:gridSpan w:val="3"/>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w w:val="86"/>
              </w:rPr>
              <w:t>14,842,600</w:t>
            </w:r>
          </w:p>
        </w:tc>
        <w:tc>
          <w:tcPr>
            <w:tcW w:w="1040" w:type="dxa"/>
            <w:vAlign w:val="bottom"/>
            <w:tcBorders>
              <w:right w:val="single" w:sz="8" w:color="CCEEFF"/>
            </w:tcBorders>
            <w:gridSpan w:val="3"/>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(372,407)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1,690,098</w:t>
            </w:r>
          </w:p>
        </w:tc>
        <w:tc>
          <w:tcPr>
            <w:tcW w:w="18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780" w:type="dxa"/>
            <w:vAlign w:val="bottom"/>
            <w:tcBorders>
              <w:right w:val="single" w:sz="8" w:color="CCEEFF"/>
            </w:tcBorders>
            <w:gridSpan w:val="3"/>
            <w:shd w:val="clear" w:color="auto" w:fill="CCEEFF"/>
          </w:tcPr>
          <w:p>
            <w:pPr>
              <w:jc w:val="right"/>
              <w:ind w:right="38"/>
              <w:spacing w:after="0" w:line="131" w:lineRule="exact"/>
              <w:rPr>
                <w:sz w:val="20"/>
                <w:szCs w:val="20"/>
                <w:color w:val="auto"/>
              </w:rPr>
            </w:pPr>
            <w:r>
              <w:rPr>
                <w:rFonts w:ascii="Arial" w:cs="Arial" w:eastAsia="Arial" w:hAnsi="Arial"/>
                <w:sz w:val="13"/>
                <w:szCs w:val="13"/>
                <w:color w:val="auto"/>
              </w:rPr>
              <w:t>(666,506)</w:t>
            </w:r>
          </w:p>
        </w:tc>
        <w:tc>
          <w:tcPr>
            <w:tcW w:w="10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(75,916)</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left w:val="single" w:sz="8" w:color="CCEEFF"/>
              <w:right w:val="single" w:sz="8" w:color="CCEEFF"/>
            </w:tcBorders>
            <w:shd w:val="clear" w:color="auto" w:fill="CCEEFF"/>
          </w:tcPr>
          <w:p>
            <w:pPr>
              <w:ind w:left="240"/>
              <w:spacing w:after="0" w:line="131" w:lineRule="exact"/>
              <w:rPr>
                <w:sz w:val="20"/>
                <w:szCs w:val="20"/>
                <w:color w:val="auto"/>
              </w:rPr>
            </w:pPr>
            <w:r>
              <w:rPr>
                <w:rFonts w:ascii="Arial" w:cs="Arial" w:eastAsia="Arial" w:hAnsi="Arial"/>
                <w:sz w:val="13"/>
                <w:szCs w:val="13"/>
                <w:color w:val="auto"/>
              </w:rPr>
              <w:t>41,288</w:t>
            </w:r>
          </w:p>
        </w:tc>
        <w:tc>
          <w:tcPr>
            <w:tcW w:w="2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5"/>
              </w:rPr>
              <w:t>15,459,157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220"/>
              <w:spacing w:after="0" w:line="143" w:lineRule="exact"/>
              <w:rPr>
                <w:sz w:val="20"/>
                <w:szCs w:val="20"/>
                <w:color w:val="auto"/>
              </w:rPr>
            </w:pPr>
            <w:r>
              <w:rPr>
                <w:rFonts w:ascii="Arial" w:cs="Arial" w:eastAsia="Arial" w:hAnsi="Arial"/>
                <w:sz w:val="13"/>
                <w:szCs w:val="13"/>
                <w:color w:val="auto"/>
                <w:w w:val="86"/>
              </w:rPr>
              <w:t>11,930,424</w:t>
            </w:r>
          </w:p>
        </w:tc>
        <w:tc>
          <w:tcPr>
            <w:tcW w:w="1040" w:type="dxa"/>
            <w:vAlign w:val="bottom"/>
            <w:gridSpan w:val="3"/>
          </w:tcPr>
          <w:p>
            <w:pPr>
              <w:jc w:val="right"/>
              <w:ind w:right="160"/>
              <w:spacing w:after="0" w:line="143" w:lineRule="exact"/>
              <w:rPr>
                <w:sz w:val="20"/>
                <w:szCs w:val="20"/>
                <w:color w:val="auto"/>
              </w:rPr>
            </w:pPr>
            <w:r>
              <w:rPr>
                <w:rFonts w:ascii="Arial" w:cs="Arial" w:eastAsia="Arial" w:hAnsi="Arial"/>
                <w:sz w:val="13"/>
                <w:szCs w:val="13"/>
                <w:color w:val="auto"/>
              </w:rPr>
              <w:t>(35,015)</w:t>
            </w:r>
          </w:p>
        </w:tc>
        <w:tc>
          <w:tcPr>
            <w:tcW w:w="100" w:type="dxa"/>
            <w:vAlign w:val="bottom"/>
          </w:tcPr>
          <w:p>
            <w:pPr>
              <w:spacing w:after="0"/>
              <w:rPr>
                <w:sz w:val="12"/>
                <w:szCs w:val="12"/>
                <w:color w:val="auto"/>
              </w:rPr>
            </w:pPr>
          </w:p>
        </w:tc>
        <w:tc>
          <w:tcPr>
            <w:tcW w:w="7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2,168,138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38"/>
              <w:spacing w:after="0" w:line="143" w:lineRule="exact"/>
              <w:rPr>
                <w:sz w:val="20"/>
                <w:szCs w:val="20"/>
                <w:color w:val="auto"/>
              </w:rPr>
            </w:pPr>
            <w:r>
              <w:rPr>
                <w:rFonts w:ascii="Arial" w:cs="Arial" w:eastAsia="Arial" w:hAnsi="Arial"/>
                <w:sz w:val="13"/>
                <w:szCs w:val="13"/>
                <w:color w:val="auto"/>
              </w:rPr>
              <w:t>(747,948)</w:t>
            </w:r>
          </w:p>
        </w:tc>
        <w:tc>
          <w:tcPr>
            <w:tcW w:w="100" w:type="dxa"/>
            <w:vAlign w:val="bottom"/>
          </w:tcPr>
          <w:p>
            <w:pPr>
              <w:spacing w:after="0"/>
              <w:rPr>
                <w:sz w:val="12"/>
                <w:szCs w:val="12"/>
                <w:color w:val="auto"/>
              </w:rPr>
            </w:pPr>
          </w:p>
        </w:tc>
        <w:tc>
          <w:tcPr>
            <w:tcW w:w="72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(13,843)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240"/>
              <w:spacing w:after="0" w:line="143" w:lineRule="exact"/>
              <w:rPr>
                <w:sz w:val="20"/>
                <w:szCs w:val="20"/>
                <w:color w:val="auto"/>
              </w:rPr>
            </w:pPr>
            <w:r>
              <w:rPr>
                <w:rFonts w:ascii="Arial" w:cs="Arial" w:eastAsia="Arial" w:hAnsi="Arial"/>
                <w:sz w:val="13"/>
                <w:szCs w:val="13"/>
                <w:color w:val="auto"/>
              </w:rPr>
              <w:t>32,184</w:t>
            </w:r>
          </w:p>
        </w:tc>
        <w:tc>
          <w:tcPr>
            <w:tcW w:w="2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w w:val="95"/>
              </w:rPr>
              <w:t>13,333,940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00" w:type="dxa"/>
            <w:vAlign w:val="bottom"/>
            <w:tcBorders>
              <w:right w:val="single" w:sz="8" w:color="CCEEFF"/>
            </w:tcBorders>
            <w:gridSpan w:val="2"/>
            <w:vMerge w:val="continue"/>
            <w:shd w:val="clear" w:color="auto" w:fill="CCEEFF"/>
          </w:tcPr>
          <w:p>
            <w:pPr>
              <w:spacing w:after="0"/>
              <w:rPr>
                <w:sz w:val="13"/>
                <w:szCs w:val="13"/>
                <w:color w:val="auto"/>
              </w:rPr>
            </w:pPr>
          </w:p>
        </w:tc>
        <w:tc>
          <w:tcPr>
            <w:tcW w:w="7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3"/>
                <w:szCs w:val="13"/>
                <w:color w:val="auto"/>
                <w:w w:val="96"/>
              </w:rPr>
              <w:t>119,666,507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12,756,614</w:t>
            </w:r>
          </w:p>
        </w:tc>
        <w:tc>
          <w:tcPr>
            <w:tcW w:w="18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(1,540,877</w:t>
            </w: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(197,911</w:t>
            </w:r>
          </w:p>
        </w:tc>
        <w:tc>
          <w:tcPr>
            <w:tcW w:w="8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1,018,530</w:t>
            </w:r>
          </w:p>
        </w:tc>
        <w:tc>
          <w:tcPr>
            <w:tcW w:w="20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131,702,863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1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6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00" w:type="dxa"/>
            <w:vAlign w:val="bottom"/>
            <w:tcBorders>
              <w:left w:val="single" w:sz="8" w:color="auto"/>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0" w:hanging="276"/>
        <w:spacing w:after="0" w:line="312" w:lineRule="auto"/>
        <w:tabs>
          <w:tab w:leader="none" w:pos="5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Movement of gross balance of loan portfolio includes the balance of direct and indirect loans and banker’s acceptances for approximately S/109,960.6 million, S/20,774.3 million and S/968.0 million, respectively, at December 31, 2018 (approximately S/99,764.9 million, S/19,369.6 million and S/532.0 million, respectively, at January 1, 2018). Banker’s acceptances are included in “Banker’s acceptances outstanding " caption of the consolidated statement of financial position.</w:t>
      </w:r>
    </w:p>
    <w:p>
      <w:pPr>
        <w:spacing w:after="0" w:line="320" w:lineRule="exact"/>
        <w:rPr>
          <w:rFonts w:ascii="Arial" w:cs="Arial" w:eastAsia="Arial" w:hAnsi="Arial"/>
          <w:sz w:val="14"/>
          <w:szCs w:val="14"/>
          <w:color w:val="auto"/>
        </w:rPr>
      </w:pPr>
    </w:p>
    <w:p>
      <w:pPr>
        <w:ind w:left="5360" w:hanging="91"/>
        <w:spacing w:after="0"/>
        <w:tabs>
          <w:tab w:leader="none" w:pos="53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0"/>
          </w:cols>
          <w:pgMar w:left="520" w:top="838" w:right="239" w:bottom="1440" w:gutter="0" w:footer="0" w:header="0"/>
        </w:sectPr>
      </w:pPr>
    </w:p>
    <w:bookmarkStart w:id="81" w:name="page82"/>
    <w:bookmarkEnd w:id="81"/>
    <w:p>
      <w:pPr>
        <w:ind w:left="281" w:hanging="281"/>
        <w:spacing w:after="0"/>
        <w:tabs>
          <w:tab w:leader="none" w:pos="281"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Interest rates on loans are set considering the rates prevailing in the markets where the Group’s subsidiaries operate.</w:t>
      </w:r>
    </w:p>
    <w:p>
      <w:pPr>
        <w:spacing w:after="0" w:line="195" w:lineRule="exact"/>
        <w:rPr>
          <w:rFonts w:ascii="Arial" w:cs="Arial" w:eastAsia="Arial" w:hAnsi="Arial"/>
          <w:sz w:val="16"/>
          <w:szCs w:val="16"/>
          <w:color w:val="auto"/>
        </w:rPr>
      </w:pPr>
    </w:p>
    <w:p>
      <w:pPr>
        <w:ind w:left="281" w:right="220" w:hanging="281"/>
        <w:spacing w:after="0" w:line="269" w:lineRule="auto"/>
        <w:tabs>
          <w:tab w:leader="none" w:pos="281" w:val="left"/>
        </w:tabs>
        <w:numPr>
          <w:ilvl w:val="0"/>
          <w:numId w:val="93"/>
        </w:numPr>
        <w:rPr>
          <w:rFonts w:ascii="Arial" w:cs="Arial" w:eastAsia="Arial" w:hAnsi="Arial"/>
          <w:sz w:val="16"/>
          <w:szCs w:val="16"/>
          <w:color w:val="auto"/>
        </w:rPr>
      </w:pPr>
      <w:r>
        <w:rPr>
          <w:rFonts w:ascii="Arial" w:cs="Arial" w:eastAsia="Arial" w:hAnsi="Arial"/>
          <w:sz w:val="16"/>
          <w:szCs w:val="16"/>
          <w:color w:val="auto"/>
        </w:rPr>
        <w:t>At December 31, 2018, the allowance for loan losses for direct and indirect loans was determined under the expected credit loss model as established in IFRS 9. The movement in the allowance for loan losses is shown below for direct and indirect loans:</w:t>
      </w:r>
    </w:p>
    <w:p>
      <w:pPr>
        <w:spacing w:after="0" w:line="130" w:lineRule="exact"/>
        <w:rPr>
          <w:sz w:val="20"/>
          <w:szCs w:val="20"/>
          <w:color w:val="auto"/>
        </w:rPr>
      </w:pPr>
    </w:p>
    <w:tbl>
      <w:tblPr>
        <w:tblLayout w:type="fixed"/>
        <w:tblInd w:w="281"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Restated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8"/>
              </w:rPr>
              <w:t>Transfer</w:t>
            </w: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8"/>
              </w:rPr>
              <w:t>Transfer</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New loans</w:t>
            </w:r>
          </w:p>
        </w:tc>
        <w:tc>
          <w:tcPr>
            <w:tcW w:w="100" w:type="dxa"/>
            <w:vAlign w:val="bottom"/>
          </w:tcPr>
          <w:p>
            <w:pPr>
              <w:spacing w:after="0"/>
              <w:rPr>
                <w:sz w:val="13"/>
                <w:szCs w:val="13"/>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Changes in</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4"/>
              </w:rPr>
              <w:t>Sale of</w:t>
            </w:r>
          </w:p>
        </w:tc>
        <w:tc>
          <w:tcPr>
            <w:tcW w:w="80" w:type="dxa"/>
            <w:vAlign w:val="bottom"/>
          </w:tcPr>
          <w:p>
            <w:pPr>
              <w:spacing w:after="0"/>
              <w:rPr>
                <w:sz w:val="13"/>
                <w:szCs w:val="13"/>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3"/>
                <w:szCs w:val="13"/>
                <w:b w:val="1"/>
                <w:bCs w:val="1"/>
                <w:color w:val="auto"/>
                <w:w w:val="84"/>
              </w:rPr>
              <w:t>Exchange</w:t>
            </w: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30"/>
        </w:trPr>
        <w:tc>
          <w:tcPr>
            <w:tcW w:w="1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Stage 1</w:t>
            </w: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4"/>
              </w:rPr>
              <w:t>balance at</w:t>
            </w:r>
          </w:p>
        </w:tc>
        <w:tc>
          <w:tcPr>
            <w:tcW w:w="80" w:type="dxa"/>
            <w:vAlign w:val="bottom"/>
          </w:tcPr>
          <w:p>
            <w:pPr>
              <w:spacing w:after="0"/>
              <w:rPr>
                <w:sz w:val="11"/>
                <w:szCs w:val="11"/>
                <w:color w:val="auto"/>
              </w:rPr>
            </w:pPr>
          </w:p>
        </w:tc>
        <w:tc>
          <w:tcPr>
            <w:tcW w:w="720" w:type="dxa"/>
            <w:vAlign w:val="bottom"/>
            <w:gridSpan w:val="3"/>
            <w:vMerge w:val="restart"/>
          </w:tcPr>
          <w:p>
            <w:pPr>
              <w:jc w:val="center"/>
              <w:ind w:right="38"/>
              <w:spacing w:after="0"/>
              <w:rPr>
                <w:sz w:val="20"/>
                <w:szCs w:val="20"/>
                <w:color w:val="auto"/>
              </w:rPr>
            </w:pPr>
            <w:r>
              <w:rPr>
                <w:rFonts w:ascii="Arial" w:cs="Arial" w:eastAsia="Arial" w:hAnsi="Arial"/>
                <w:sz w:val="13"/>
                <w:szCs w:val="13"/>
                <w:b w:val="1"/>
                <w:bCs w:val="1"/>
                <w:color w:val="auto"/>
                <w:w w:val="88"/>
              </w:rPr>
              <w:t>Transfer to</w:t>
            </w:r>
          </w:p>
        </w:tc>
        <w:tc>
          <w:tcPr>
            <w:tcW w:w="100" w:type="dxa"/>
            <w:vAlign w:val="bottom"/>
          </w:tcPr>
          <w:p>
            <w:pPr>
              <w:spacing w:after="0"/>
              <w:rPr>
                <w:sz w:val="11"/>
                <w:szCs w:val="11"/>
                <w:color w:val="auto"/>
              </w:rPr>
            </w:pPr>
          </w:p>
        </w:tc>
        <w:tc>
          <w:tcPr>
            <w:tcW w:w="800" w:type="dxa"/>
            <w:vAlign w:val="bottom"/>
            <w:gridSpan w:val="4"/>
            <w:vMerge w:val="restart"/>
          </w:tcPr>
          <w:p>
            <w:pPr>
              <w:jc w:val="center"/>
              <w:ind w:right="200"/>
              <w:spacing w:after="0"/>
              <w:rPr>
                <w:sz w:val="20"/>
                <w:szCs w:val="20"/>
                <w:color w:val="auto"/>
              </w:rPr>
            </w:pPr>
            <w:r>
              <w:rPr>
                <w:rFonts w:ascii="Arial" w:cs="Arial" w:eastAsia="Arial" w:hAnsi="Arial"/>
                <w:sz w:val="13"/>
                <w:szCs w:val="13"/>
                <w:b w:val="1"/>
                <w:bCs w:val="1"/>
                <w:color w:val="auto"/>
                <w:w w:val="88"/>
              </w:rPr>
              <w:t>Transfer to</w:t>
            </w:r>
          </w:p>
        </w:tc>
        <w:tc>
          <w:tcPr>
            <w:tcW w:w="800" w:type="dxa"/>
            <w:vAlign w:val="bottom"/>
            <w:gridSpan w:val="3"/>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4"/>
              </w:rPr>
              <w:t>between</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January 1,</w:t>
            </w: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from</w:t>
            </w:r>
          </w:p>
        </w:tc>
        <w:tc>
          <w:tcPr>
            <w:tcW w:w="8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from</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6"/>
              </w:rPr>
              <w:t>classes of</w:t>
            </w:r>
          </w:p>
        </w:tc>
        <w:tc>
          <w:tcPr>
            <w:tcW w:w="10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liquidation,</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PDs, LGDs,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2"/>
              </w:rPr>
              <w:t>loan</w:t>
            </w:r>
          </w:p>
        </w:tc>
        <w:tc>
          <w:tcPr>
            <w:tcW w:w="80" w:type="dxa"/>
            <w:vAlign w:val="bottom"/>
          </w:tcPr>
          <w:p>
            <w:pPr>
              <w:spacing w:after="0"/>
              <w:rPr>
                <w:sz w:val="13"/>
                <w:szCs w:val="13"/>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3"/>
              </w:rPr>
              <w:t>differences</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b w:val="1"/>
                <w:bCs w:val="1"/>
                <w:color w:val="auto"/>
                <w:w w:val="89"/>
              </w:rPr>
              <w:t>December</w:t>
            </w:r>
          </w:p>
        </w:tc>
        <w:tc>
          <w:tcPr>
            <w:tcW w:w="0" w:type="dxa"/>
            <w:vAlign w:val="bottom"/>
          </w:tcPr>
          <w:p>
            <w:pPr>
              <w:spacing w:after="0"/>
              <w:rPr>
                <w:sz w:val="1"/>
                <w:szCs w:val="1"/>
                <w:color w:val="auto"/>
              </w:rPr>
            </w:pPr>
          </w:p>
        </w:tc>
      </w:tr>
      <w:tr>
        <w:trPr>
          <w:trHeight w:val="122"/>
        </w:trPr>
        <w:tc>
          <w:tcPr>
            <w:tcW w:w="104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jc w:val="center"/>
              <w:ind w:left="37"/>
              <w:spacing w:after="0" w:line="123" w:lineRule="exact"/>
              <w:rPr>
                <w:sz w:val="20"/>
                <w:szCs w:val="20"/>
                <w:color w:val="auto"/>
              </w:rPr>
            </w:pPr>
            <w:r>
              <w:rPr>
                <w:rFonts w:ascii="Arial" w:cs="Arial" w:eastAsia="Arial" w:hAnsi="Arial"/>
                <w:sz w:val="13"/>
                <w:szCs w:val="13"/>
                <w:b w:val="1"/>
                <w:bCs w:val="1"/>
                <w:color w:val="auto"/>
                <w:w w:val="89"/>
              </w:rPr>
              <w:t>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38"/>
              <w:spacing w:after="0" w:line="123" w:lineRule="exact"/>
              <w:rPr>
                <w:sz w:val="20"/>
                <w:szCs w:val="20"/>
                <w:color w:val="auto"/>
              </w:rPr>
            </w:pPr>
            <w:r>
              <w:rPr>
                <w:rFonts w:ascii="Arial" w:cs="Arial" w:eastAsia="Arial" w:hAnsi="Arial"/>
                <w:sz w:val="13"/>
                <w:szCs w:val="13"/>
                <w:b w:val="1"/>
                <w:bCs w:val="1"/>
                <w:color w:val="auto"/>
                <w:w w:val="86"/>
              </w:rPr>
              <w:t>Stage 2</w:t>
            </w:r>
          </w:p>
        </w:tc>
        <w:tc>
          <w:tcPr>
            <w:tcW w:w="100" w:type="dxa"/>
            <w:vAlign w:val="bottom"/>
          </w:tcPr>
          <w:p>
            <w:pPr>
              <w:spacing w:after="0"/>
              <w:rPr>
                <w:sz w:val="10"/>
                <w:szCs w:val="10"/>
                <w:color w:val="auto"/>
              </w:rPr>
            </w:pPr>
          </w:p>
        </w:tc>
        <w:tc>
          <w:tcPr>
            <w:tcW w:w="800" w:type="dxa"/>
            <w:vAlign w:val="bottom"/>
            <w:gridSpan w:val="4"/>
          </w:tcPr>
          <w:p>
            <w:pPr>
              <w:jc w:val="center"/>
              <w:ind w:right="200"/>
              <w:spacing w:after="0" w:line="123" w:lineRule="exact"/>
              <w:rPr>
                <w:sz w:val="20"/>
                <w:szCs w:val="20"/>
                <w:color w:val="auto"/>
              </w:rPr>
            </w:pPr>
            <w:r>
              <w:rPr>
                <w:rFonts w:ascii="Arial" w:cs="Arial" w:eastAsia="Arial" w:hAnsi="Arial"/>
                <w:sz w:val="13"/>
                <w:szCs w:val="13"/>
                <w:b w:val="1"/>
                <w:bCs w:val="1"/>
                <w:color w:val="auto"/>
                <w:w w:val="86"/>
              </w:rPr>
              <w:t>Stage 3</w:t>
            </w:r>
          </w:p>
        </w:tc>
        <w:tc>
          <w:tcPr>
            <w:tcW w:w="800" w:type="dxa"/>
            <w:vAlign w:val="bottom"/>
            <w:gridSpan w:val="3"/>
          </w:tcPr>
          <w:p>
            <w:pPr>
              <w:jc w:val="center"/>
              <w:ind w:right="180"/>
              <w:spacing w:after="0" w:line="123" w:lineRule="exact"/>
              <w:rPr>
                <w:sz w:val="20"/>
                <w:szCs w:val="20"/>
                <w:color w:val="auto"/>
              </w:rPr>
            </w:pPr>
            <w:r>
              <w:rPr>
                <w:rFonts w:ascii="Arial" w:cs="Arial" w:eastAsia="Arial" w:hAnsi="Arial"/>
                <w:sz w:val="13"/>
                <w:szCs w:val="13"/>
                <w:b w:val="1"/>
                <w:bCs w:val="1"/>
                <w:color w:val="auto"/>
                <w:w w:val="82"/>
              </w:rPr>
              <w:t>Stage 2</w:t>
            </w:r>
          </w:p>
        </w:tc>
        <w:tc>
          <w:tcPr>
            <w:tcW w:w="820" w:type="dxa"/>
            <w:vAlign w:val="bottom"/>
            <w:gridSpan w:val="3"/>
          </w:tcPr>
          <w:p>
            <w:pPr>
              <w:jc w:val="center"/>
              <w:ind w:right="200"/>
              <w:spacing w:after="0" w:line="123" w:lineRule="exact"/>
              <w:rPr>
                <w:sz w:val="20"/>
                <w:szCs w:val="20"/>
                <w:color w:val="auto"/>
              </w:rPr>
            </w:pPr>
            <w:r>
              <w:rPr>
                <w:rFonts w:ascii="Arial" w:cs="Arial" w:eastAsia="Arial" w:hAnsi="Arial"/>
                <w:sz w:val="13"/>
                <w:szCs w:val="13"/>
                <w:b w:val="1"/>
                <w:bCs w:val="1"/>
                <w:color w:val="auto"/>
                <w:w w:val="82"/>
              </w:rPr>
              <w:t>Stage 3</w:t>
            </w:r>
          </w:p>
        </w:tc>
        <w:tc>
          <w:tcPr>
            <w:tcW w:w="70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2"/>
              </w:rPr>
              <w:t>loans</w:t>
            </w:r>
          </w:p>
        </w:tc>
        <w:tc>
          <w:tcPr>
            <w:tcW w:w="100" w:type="dxa"/>
            <w:vAlign w:val="bottom"/>
          </w:tcPr>
          <w:p>
            <w:pPr>
              <w:spacing w:after="0"/>
              <w:rPr>
                <w:sz w:val="10"/>
                <w:szCs w:val="10"/>
                <w:color w:val="auto"/>
              </w:rPr>
            </w:pPr>
          </w:p>
        </w:tc>
        <w:tc>
          <w:tcPr>
            <w:tcW w:w="700" w:type="dxa"/>
            <w:vAlign w:val="bottom"/>
            <w:gridSpan w:val="2"/>
          </w:tcPr>
          <w:p>
            <w:pPr>
              <w:jc w:val="center"/>
              <w:ind w:right="80"/>
              <w:spacing w:after="0" w:line="123" w:lineRule="exact"/>
              <w:rPr>
                <w:sz w:val="20"/>
                <w:szCs w:val="20"/>
                <w:color w:val="auto"/>
              </w:rPr>
            </w:pPr>
            <w:r>
              <w:rPr>
                <w:rFonts w:ascii="Arial" w:cs="Arial" w:eastAsia="Arial" w:hAnsi="Arial"/>
                <w:sz w:val="13"/>
                <w:szCs w:val="13"/>
                <w:b w:val="1"/>
                <w:bCs w:val="1"/>
                <w:color w:val="auto"/>
                <w:w w:val="92"/>
              </w:rPr>
              <w:t>net</w:t>
            </w: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2"/>
              </w:rPr>
              <w:t>EADs</w:t>
            </w:r>
          </w:p>
        </w:tc>
        <w:tc>
          <w:tcPr>
            <w:tcW w:w="100" w:type="dxa"/>
            <w:vAlign w:val="bottom"/>
          </w:tcPr>
          <w:p>
            <w:pPr>
              <w:spacing w:after="0"/>
              <w:rPr>
                <w:sz w:val="10"/>
                <w:szCs w:val="10"/>
                <w:color w:val="auto"/>
              </w:rPr>
            </w:pPr>
          </w:p>
        </w:tc>
        <w:tc>
          <w:tcPr>
            <w:tcW w:w="800" w:type="dxa"/>
            <w:vAlign w:val="bottom"/>
            <w:gridSpan w:val="4"/>
          </w:tcPr>
          <w:p>
            <w:pPr>
              <w:jc w:val="center"/>
              <w:ind w:right="200"/>
              <w:spacing w:after="0" w:line="123" w:lineRule="exact"/>
              <w:rPr>
                <w:sz w:val="20"/>
                <w:szCs w:val="20"/>
                <w:color w:val="auto"/>
              </w:rPr>
            </w:pPr>
            <w:r>
              <w:rPr>
                <w:rFonts w:ascii="Arial" w:cs="Arial" w:eastAsia="Arial" w:hAnsi="Arial"/>
                <w:sz w:val="13"/>
                <w:szCs w:val="13"/>
                <w:b w:val="1"/>
                <w:bCs w:val="1"/>
                <w:color w:val="auto"/>
                <w:w w:val="92"/>
              </w:rPr>
              <w:t>Write-offs</w:t>
            </w:r>
          </w:p>
        </w:tc>
        <w:tc>
          <w:tcPr>
            <w:tcW w:w="720" w:type="dxa"/>
            <w:vAlign w:val="bottom"/>
            <w:gridSpan w:val="3"/>
          </w:tcPr>
          <w:p>
            <w:pPr>
              <w:jc w:val="center"/>
              <w:ind w:right="100"/>
              <w:spacing w:after="0" w:line="123" w:lineRule="exact"/>
              <w:rPr>
                <w:sz w:val="20"/>
                <w:szCs w:val="20"/>
                <w:color w:val="auto"/>
              </w:rPr>
            </w:pPr>
            <w:r>
              <w:rPr>
                <w:rFonts w:ascii="Arial" w:cs="Arial" w:eastAsia="Arial" w:hAnsi="Arial"/>
                <w:sz w:val="13"/>
                <w:szCs w:val="13"/>
                <w:b w:val="1"/>
                <w:bCs w:val="1"/>
                <w:color w:val="auto"/>
                <w:w w:val="87"/>
              </w:rPr>
              <w:t>portfolio</w:t>
            </w:r>
          </w:p>
        </w:tc>
        <w:tc>
          <w:tcPr>
            <w:tcW w:w="80" w:type="dxa"/>
            <w:vAlign w:val="bottom"/>
          </w:tcPr>
          <w:p>
            <w:pPr>
              <w:spacing w:after="0"/>
              <w:rPr>
                <w:sz w:val="10"/>
                <w:szCs w:val="10"/>
                <w:color w:val="auto"/>
              </w:rPr>
            </w:pPr>
          </w:p>
        </w:tc>
        <w:tc>
          <w:tcPr>
            <w:tcW w:w="720" w:type="dxa"/>
            <w:vAlign w:val="bottom"/>
            <w:gridSpan w:val="2"/>
          </w:tcPr>
          <w:p>
            <w:pPr>
              <w:jc w:val="center"/>
              <w:ind w:right="58"/>
              <w:spacing w:after="0" w:line="123" w:lineRule="exact"/>
              <w:rPr>
                <w:sz w:val="20"/>
                <w:szCs w:val="20"/>
                <w:color w:val="auto"/>
              </w:rPr>
            </w:pPr>
            <w:r>
              <w:rPr>
                <w:rFonts w:ascii="Arial" w:cs="Arial" w:eastAsia="Arial" w:hAnsi="Arial"/>
                <w:sz w:val="13"/>
                <w:szCs w:val="13"/>
                <w:b w:val="1"/>
                <w:bCs w:val="1"/>
                <w:color w:val="auto"/>
                <w:w w:val="87"/>
              </w:rPr>
              <w:t>and others</w:t>
            </w:r>
          </w:p>
        </w:tc>
        <w:tc>
          <w:tcPr>
            <w:tcW w:w="700" w:type="dxa"/>
            <w:vAlign w:val="bottom"/>
            <w:gridSpan w:val="2"/>
          </w:tcPr>
          <w:p>
            <w:pPr>
              <w:jc w:val="center"/>
              <w:spacing w:after="0" w:line="123" w:lineRule="exact"/>
              <w:rPr>
                <w:sz w:val="20"/>
                <w:szCs w:val="20"/>
                <w:color w:val="auto"/>
              </w:rPr>
            </w:pPr>
            <w:r>
              <w:rPr>
                <w:rFonts w:ascii="Arial" w:cs="Arial" w:eastAsia="Arial" w:hAnsi="Arial"/>
                <w:sz w:val="13"/>
                <w:szCs w:val="13"/>
                <w:b w:val="1"/>
                <w:bCs w:val="1"/>
                <w:color w:val="auto"/>
                <w:w w:val="86"/>
              </w:rPr>
              <w:t>31, 2018</w:t>
            </w:r>
          </w:p>
        </w:tc>
        <w:tc>
          <w:tcPr>
            <w:tcW w:w="0" w:type="dxa"/>
            <w:vAlign w:val="bottom"/>
          </w:tcPr>
          <w:p>
            <w:pPr>
              <w:spacing w:after="0"/>
              <w:rPr>
                <w:sz w:val="1"/>
                <w:szCs w:val="1"/>
                <w:color w:val="auto"/>
              </w:rPr>
            </w:pPr>
          </w:p>
        </w:tc>
      </w:tr>
      <w:tr>
        <w:trPr>
          <w:trHeight w:val="122"/>
        </w:trPr>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0" w:type="dxa"/>
            <w:vAlign w:val="bottom"/>
          </w:tcPr>
          <w:p>
            <w:pPr>
              <w:spacing w:after="0"/>
              <w:rPr>
                <w:sz w:val="1"/>
                <w:szCs w:val="1"/>
                <w:color w:val="auto"/>
              </w:rPr>
            </w:pPr>
          </w:p>
        </w:tc>
      </w:tr>
      <w:tr>
        <w:trPr>
          <w:trHeight w:val="130"/>
        </w:trPr>
        <w:tc>
          <w:tcPr>
            <w:tcW w:w="10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w w:val="98"/>
              </w:rPr>
              <w:t>Commercial loans</w:t>
            </w:r>
          </w:p>
        </w:tc>
        <w:tc>
          <w:tcPr>
            <w:tcW w:w="82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280,211</w:t>
            </w:r>
          </w:p>
        </w:tc>
        <w:tc>
          <w:tcPr>
            <w:tcW w:w="800" w:type="dxa"/>
            <w:vAlign w:val="bottom"/>
            <w:gridSpan w:val="4"/>
            <w:shd w:val="clear" w:color="auto" w:fill="CCEEFF"/>
          </w:tcPr>
          <w:p>
            <w:pPr>
              <w:jc w:val="right"/>
              <w:ind w:right="18"/>
              <w:spacing w:after="0" w:line="131" w:lineRule="exact"/>
              <w:rPr>
                <w:sz w:val="20"/>
                <w:szCs w:val="20"/>
                <w:color w:val="auto"/>
              </w:rPr>
            </w:pPr>
            <w:r>
              <w:rPr>
                <w:rFonts w:ascii="Arial" w:cs="Arial" w:eastAsia="Arial" w:hAnsi="Arial"/>
                <w:sz w:val="13"/>
                <w:szCs w:val="13"/>
                <w:color w:val="auto"/>
              </w:rPr>
              <w:t>(13,311)</w:t>
            </w:r>
          </w:p>
        </w:tc>
        <w:tc>
          <w:tcPr>
            <w:tcW w:w="800" w:type="dxa"/>
            <w:vAlign w:val="bottom"/>
            <w:gridSpan w:val="4"/>
            <w:shd w:val="clear" w:color="auto" w:fill="CCEEFF"/>
          </w:tcPr>
          <w:p>
            <w:pPr>
              <w:jc w:val="right"/>
              <w:spacing w:after="0" w:line="131" w:lineRule="exact"/>
              <w:rPr>
                <w:sz w:val="20"/>
                <w:szCs w:val="20"/>
                <w:color w:val="auto"/>
              </w:rPr>
            </w:pPr>
            <w:r>
              <w:rPr>
                <w:rFonts w:ascii="Arial" w:cs="Arial" w:eastAsia="Arial" w:hAnsi="Arial"/>
                <w:sz w:val="13"/>
                <w:szCs w:val="13"/>
                <w:color w:val="auto"/>
              </w:rPr>
              <w:t>(6,647)</w:t>
            </w: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16,464</w:t>
            </w:r>
          </w:p>
        </w:tc>
        <w:tc>
          <w:tcPr>
            <w:tcW w:w="8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10,864</w:t>
            </w:r>
          </w:p>
        </w:tc>
        <w:tc>
          <w:tcPr>
            <w:tcW w:w="100" w:type="dxa"/>
            <w:vAlign w:val="bottom"/>
            <w:tcBorders>
              <w:right w:val="single" w:sz="8" w:color="CCEEFF"/>
            </w:tcBorders>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5,238</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30,376</w:t>
            </w:r>
          </w:p>
        </w:tc>
        <w:tc>
          <w:tcPr>
            <w:tcW w:w="84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(5,007)</w:t>
            </w:r>
          </w:p>
        </w:tc>
        <w:tc>
          <w:tcPr>
            <w:tcW w:w="800" w:type="dxa"/>
            <w:vAlign w:val="bottom"/>
            <w:gridSpan w:val="4"/>
            <w:shd w:val="clear" w:color="auto" w:fill="CCEEFF"/>
          </w:tcPr>
          <w:p>
            <w:pPr>
              <w:jc w:val="right"/>
              <w:spacing w:after="0" w:line="131" w:lineRule="exact"/>
              <w:rPr>
                <w:sz w:val="20"/>
                <w:szCs w:val="20"/>
                <w:color w:val="auto"/>
              </w:rPr>
            </w:pPr>
            <w:r>
              <w:rPr>
                <w:rFonts w:ascii="Arial" w:cs="Arial" w:eastAsia="Arial" w:hAnsi="Arial"/>
                <w:sz w:val="13"/>
                <w:szCs w:val="13"/>
                <w:color w:val="auto"/>
              </w:rPr>
              <w:t>(7,972)</w:t>
            </w: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1,551</w:t>
            </w:r>
          </w:p>
        </w:tc>
        <w:tc>
          <w:tcPr>
            <w:tcW w:w="70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311,767</w:t>
            </w:r>
          </w:p>
        </w:tc>
        <w:tc>
          <w:tcPr>
            <w:tcW w:w="0" w:type="dxa"/>
            <w:vAlign w:val="bottom"/>
          </w:tcPr>
          <w:p>
            <w:pPr>
              <w:spacing w:after="0"/>
              <w:rPr>
                <w:sz w:val="1"/>
                <w:szCs w:val="1"/>
                <w:color w:val="auto"/>
              </w:rPr>
            </w:pPr>
          </w:p>
        </w:tc>
      </w:tr>
      <w:tr>
        <w:trPr>
          <w:trHeight w:val="114"/>
        </w:trPr>
        <w:tc>
          <w:tcPr>
            <w:tcW w:w="1040" w:type="dxa"/>
            <w:vAlign w:val="bottom"/>
            <w:gridSpan w:val="2"/>
          </w:tcPr>
          <w:p>
            <w:pPr>
              <w:spacing w:after="0" w:line="114" w:lineRule="exact"/>
              <w:rPr>
                <w:sz w:val="20"/>
                <w:szCs w:val="20"/>
                <w:color w:val="auto"/>
              </w:rPr>
            </w:pPr>
            <w:r>
              <w:rPr>
                <w:rFonts w:ascii="Arial" w:cs="Arial" w:eastAsia="Arial" w:hAnsi="Arial"/>
                <w:sz w:val="13"/>
                <w:szCs w:val="13"/>
                <w:color w:val="auto"/>
              </w:rPr>
              <w:t>Residential</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40" w:type="dxa"/>
            <w:vAlign w:val="bottom"/>
            <w:gridSpan w:val="2"/>
          </w:tcPr>
          <w:p>
            <w:pPr>
              <w:spacing w:after="0" w:line="146" w:lineRule="exact"/>
              <w:rPr>
                <w:sz w:val="20"/>
                <w:szCs w:val="20"/>
                <w:color w:val="auto"/>
              </w:rPr>
            </w:pPr>
            <w:r>
              <w:rPr>
                <w:rFonts w:ascii="Arial" w:cs="Arial" w:eastAsia="Arial" w:hAnsi="Arial"/>
                <w:sz w:val="13"/>
                <w:szCs w:val="13"/>
                <w:color w:val="auto"/>
              </w:rPr>
              <w:t>mortgage loans</w:t>
            </w:r>
          </w:p>
        </w:tc>
        <w:tc>
          <w:tcPr>
            <w:tcW w:w="82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18,614</w:t>
            </w:r>
          </w:p>
        </w:tc>
        <w:tc>
          <w:tcPr>
            <w:tcW w:w="800" w:type="dxa"/>
            <w:vAlign w:val="bottom"/>
            <w:gridSpan w:val="4"/>
          </w:tcPr>
          <w:p>
            <w:pPr>
              <w:jc w:val="right"/>
              <w:ind w:right="18"/>
              <w:spacing w:after="0" w:line="146" w:lineRule="exact"/>
              <w:rPr>
                <w:sz w:val="20"/>
                <w:szCs w:val="20"/>
                <w:color w:val="auto"/>
              </w:rPr>
            </w:pPr>
            <w:r>
              <w:rPr>
                <w:rFonts w:ascii="Arial" w:cs="Arial" w:eastAsia="Arial" w:hAnsi="Arial"/>
                <w:sz w:val="13"/>
                <w:szCs w:val="13"/>
                <w:color w:val="auto"/>
              </w:rPr>
              <w:t>(1,716)</w:t>
            </w:r>
          </w:p>
        </w:tc>
        <w:tc>
          <w:tcPr>
            <w:tcW w:w="800" w:type="dxa"/>
            <w:vAlign w:val="bottom"/>
            <w:gridSpan w:val="4"/>
          </w:tcPr>
          <w:p>
            <w:pPr>
              <w:jc w:val="right"/>
              <w:spacing w:after="0" w:line="146" w:lineRule="exact"/>
              <w:rPr>
                <w:sz w:val="20"/>
                <w:szCs w:val="20"/>
                <w:color w:val="auto"/>
              </w:rPr>
            </w:pPr>
            <w:r>
              <w:rPr>
                <w:rFonts w:ascii="Arial" w:cs="Arial" w:eastAsia="Arial" w:hAnsi="Arial"/>
                <w:sz w:val="13"/>
                <w:szCs w:val="13"/>
                <w:color w:val="auto"/>
              </w:rPr>
              <w:t>(817)</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2,565</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5,556</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449</w:t>
            </w:r>
          </w:p>
        </w:tc>
        <w:tc>
          <w:tcPr>
            <w:tcW w:w="80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7,674</w:t>
            </w:r>
          </w:p>
        </w:tc>
        <w:tc>
          <w:tcPr>
            <w:tcW w:w="84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(1,114)</w:t>
            </w:r>
          </w:p>
        </w:tc>
        <w:tc>
          <w:tcPr>
            <w:tcW w:w="800" w:type="dxa"/>
            <w:vAlign w:val="bottom"/>
            <w:gridSpan w:val="4"/>
          </w:tcPr>
          <w:p>
            <w:pPr>
              <w:jc w:val="right"/>
              <w:spacing w:after="0" w:line="146" w:lineRule="exact"/>
              <w:rPr>
                <w:sz w:val="20"/>
                <w:szCs w:val="20"/>
                <w:color w:val="auto"/>
              </w:rPr>
            </w:pPr>
            <w:r>
              <w:rPr>
                <w:rFonts w:ascii="Arial" w:cs="Arial" w:eastAsia="Arial" w:hAnsi="Arial"/>
                <w:sz w:val="13"/>
                <w:szCs w:val="13"/>
                <w:color w:val="auto"/>
              </w:rPr>
              <w:t>(142)</w:t>
            </w: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58"/>
              <w:spacing w:after="0" w:line="146" w:lineRule="exact"/>
              <w:rPr>
                <w:sz w:val="20"/>
                <w:szCs w:val="20"/>
                <w:color w:val="auto"/>
              </w:rPr>
            </w:pPr>
            <w:r>
              <w:rPr>
                <w:rFonts w:ascii="Arial" w:cs="Arial" w:eastAsia="Arial" w:hAnsi="Arial"/>
                <w:sz w:val="13"/>
                <w:szCs w:val="13"/>
                <w:color w:val="auto"/>
              </w:rPr>
              <w:t>410</w:t>
            </w: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31,479</w:t>
            </w:r>
          </w:p>
        </w:tc>
        <w:tc>
          <w:tcPr>
            <w:tcW w:w="0" w:type="dxa"/>
            <w:vAlign w:val="bottom"/>
          </w:tcPr>
          <w:p>
            <w:pPr>
              <w:spacing w:after="0"/>
              <w:rPr>
                <w:sz w:val="1"/>
                <w:szCs w:val="1"/>
                <w:color w:val="auto"/>
              </w:rPr>
            </w:pPr>
          </w:p>
        </w:tc>
      </w:tr>
      <w:tr>
        <w:trPr>
          <w:trHeight w:val="114"/>
        </w:trPr>
        <w:tc>
          <w:tcPr>
            <w:tcW w:w="104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Micro-business</w:t>
            </w: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lef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loans</w:t>
            </w:r>
          </w:p>
        </w:tc>
        <w:tc>
          <w:tcPr>
            <w:tcW w:w="82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350,134</w:t>
            </w:r>
          </w:p>
        </w:tc>
        <w:tc>
          <w:tcPr>
            <w:tcW w:w="800" w:type="dxa"/>
            <w:vAlign w:val="bottom"/>
            <w:gridSpan w:val="4"/>
            <w:shd w:val="clear" w:color="auto" w:fill="CCEEFF"/>
          </w:tcPr>
          <w:p>
            <w:pPr>
              <w:jc w:val="right"/>
              <w:ind w:right="18"/>
              <w:spacing w:after="0" w:line="146" w:lineRule="exact"/>
              <w:rPr>
                <w:sz w:val="20"/>
                <w:szCs w:val="20"/>
                <w:color w:val="auto"/>
              </w:rPr>
            </w:pPr>
            <w:r>
              <w:rPr>
                <w:rFonts w:ascii="Arial" w:cs="Arial" w:eastAsia="Arial" w:hAnsi="Arial"/>
                <w:sz w:val="13"/>
                <w:szCs w:val="13"/>
                <w:color w:val="auto"/>
              </w:rPr>
              <w:t>(27,116)</w:t>
            </w:r>
          </w:p>
        </w:tc>
        <w:tc>
          <w:tcPr>
            <w:tcW w:w="80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(17,238)</w:t>
            </w: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46,522</w:t>
            </w:r>
          </w:p>
        </w:tc>
        <w:tc>
          <w:tcPr>
            <w:tcW w:w="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13,148</w:t>
            </w: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(5,634)</w:t>
            </w:r>
          </w:p>
        </w:tc>
        <w:tc>
          <w:tcPr>
            <w:tcW w:w="800" w:type="dxa"/>
            <w:vAlign w:val="bottom"/>
            <w:gridSpan w:val="3"/>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68,232</w:t>
            </w:r>
          </w:p>
        </w:tc>
        <w:tc>
          <w:tcPr>
            <w:tcW w:w="84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86,904</w:t>
            </w:r>
          </w:p>
        </w:tc>
        <w:tc>
          <w:tcPr>
            <w:tcW w:w="80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(178,657)</w:t>
            </w: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58"/>
              <w:spacing w:after="0" w:line="146" w:lineRule="exact"/>
              <w:rPr>
                <w:sz w:val="20"/>
                <w:szCs w:val="20"/>
                <w:color w:val="auto"/>
              </w:rPr>
            </w:pPr>
            <w:r>
              <w:rPr>
                <w:rFonts w:ascii="Arial" w:cs="Arial" w:eastAsia="Arial" w:hAnsi="Arial"/>
                <w:sz w:val="13"/>
                <w:szCs w:val="13"/>
                <w:color w:val="auto"/>
              </w:rPr>
              <w:t>6,224</w:t>
            </w:r>
          </w:p>
        </w:tc>
        <w:tc>
          <w:tcPr>
            <w:tcW w:w="70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342,519</w:t>
            </w:r>
          </w:p>
        </w:tc>
        <w:tc>
          <w:tcPr>
            <w:tcW w:w="0" w:type="dxa"/>
            <w:vAlign w:val="bottom"/>
          </w:tcPr>
          <w:p>
            <w:pPr>
              <w:spacing w:after="0"/>
              <w:rPr>
                <w:sz w:val="1"/>
                <w:szCs w:val="1"/>
                <w:color w:val="auto"/>
              </w:rPr>
            </w:pPr>
          </w:p>
        </w:tc>
      </w:tr>
      <w:tr>
        <w:trPr>
          <w:trHeight w:val="142"/>
        </w:trPr>
        <w:tc>
          <w:tcPr>
            <w:tcW w:w="104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10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356,938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8"/>
              <w:spacing w:after="0" w:line="143" w:lineRule="exact"/>
              <w:rPr>
                <w:sz w:val="20"/>
                <w:szCs w:val="20"/>
                <w:color w:val="auto"/>
              </w:rPr>
            </w:pPr>
            <w:r>
              <w:rPr>
                <w:rFonts w:ascii="Arial" w:cs="Arial" w:eastAsia="Arial" w:hAnsi="Arial"/>
                <w:sz w:val="13"/>
                <w:szCs w:val="13"/>
                <w:color w:val="auto"/>
              </w:rPr>
              <w:t>(29,407)</w:t>
            </w:r>
          </w:p>
        </w:tc>
        <w:tc>
          <w:tcPr>
            <w:tcW w:w="80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(9,568)</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91,969</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19,765</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(53)</w:t>
            </w:r>
          </w:p>
        </w:tc>
        <w:tc>
          <w:tcPr>
            <w:tcW w:w="80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38,423</w:t>
            </w:r>
          </w:p>
        </w:tc>
        <w:tc>
          <w:tcPr>
            <w:tcW w:w="84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(43,030)</w:t>
            </w:r>
          </w:p>
        </w:tc>
        <w:tc>
          <w:tcPr>
            <w:tcW w:w="80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(149,573)</w:t>
            </w: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58"/>
              <w:spacing w:after="0" w:line="143" w:lineRule="exact"/>
              <w:rPr>
                <w:sz w:val="20"/>
                <w:szCs w:val="20"/>
                <w:color w:val="auto"/>
              </w:rPr>
            </w:pPr>
            <w:r>
              <w:rPr>
                <w:rFonts w:ascii="Arial" w:cs="Arial" w:eastAsia="Arial" w:hAnsi="Arial"/>
                <w:sz w:val="13"/>
                <w:szCs w:val="13"/>
                <w:color w:val="auto"/>
              </w:rPr>
              <w:t>555</w:t>
            </w:r>
          </w:p>
        </w:tc>
        <w:tc>
          <w:tcPr>
            <w:tcW w:w="7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276,019</w:t>
            </w:r>
          </w:p>
        </w:tc>
        <w:tc>
          <w:tcPr>
            <w:tcW w:w="0" w:type="dxa"/>
            <w:vAlign w:val="bottom"/>
          </w:tcPr>
          <w:p>
            <w:pPr>
              <w:spacing w:after="0"/>
              <w:rPr>
                <w:sz w:val="1"/>
                <w:szCs w:val="1"/>
                <w:color w:val="auto"/>
              </w:rPr>
            </w:pPr>
          </w:p>
        </w:tc>
      </w:tr>
      <w:tr>
        <w:trPr>
          <w:trHeight w:val="20"/>
        </w:trPr>
        <w:tc>
          <w:tcPr>
            <w:tcW w:w="10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1,005,897</w:t>
            </w: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(71,550</w:t>
            </w:r>
          </w:p>
        </w:tc>
        <w:tc>
          <w:tcPr>
            <w:tcW w:w="100" w:type="dxa"/>
            <w:vAlign w:val="bottom"/>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(34,270</w:t>
            </w:r>
          </w:p>
        </w:tc>
        <w:tc>
          <w:tcPr>
            <w:tcW w:w="80" w:type="dxa"/>
            <w:vAlign w:val="bottom"/>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157,520</w:t>
            </w: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49,333</w:t>
            </w: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144,705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37,753</w:t>
            </w: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(336,344</w:t>
            </w:r>
          </w:p>
        </w:tc>
        <w:tc>
          <w:tcPr>
            <w:tcW w:w="100" w:type="dxa"/>
            <w:vAlign w:val="bottom"/>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continue"/>
            <w:shd w:val="clear" w:color="auto" w:fill="CCEEFF"/>
          </w:tcPr>
          <w:p>
            <w:pPr>
              <w:spacing w:after="0"/>
              <w:rPr>
                <w:sz w:val="14"/>
                <w:szCs w:val="14"/>
                <w:color w:val="auto"/>
              </w:rPr>
            </w:pPr>
          </w:p>
        </w:tc>
        <w:tc>
          <w:tcPr>
            <w:tcW w:w="800" w:type="dxa"/>
            <w:vAlign w:val="bottom"/>
            <w:gridSpan w:val="3"/>
            <w:shd w:val="clear" w:color="auto" w:fill="CCEEFF"/>
          </w:tcPr>
          <w:p>
            <w:pPr>
              <w:jc w:val="right"/>
              <w:ind w:right="58"/>
              <w:spacing w:after="0"/>
              <w:rPr>
                <w:sz w:val="20"/>
                <w:szCs w:val="20"/>
                <w:color w:val="auto"/>
              </w:rPr>
            </w:pPr>
            <w:r>
              <w:rPr>
                <w:rFonts w:ascii="Arial" w:cs="Arial" w:eastAsia="Arial" w:hAnsi="Arial"/>
                <w:sz w:val="13"/>
                <w:szCs w:val="13"/>
                <w:color w:val="auto"/>
              </w:rPr>
              <w:t>8,740</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961,784</w:t>
            </w:r>
          </w:p>
        </w:tc>
        <w:tc>
          <w:tcPr>
            <w:tcW w:w="0" w:type="dxa"/>
            <w:vAlign w:val="bottom"/>
          </w:tcPr>
          <w:p>
            <w:pPr>
              <w:spacing w:after="0"/>
              <w:rPr>
                <w:sz w:val="1"/>
                <w:szCs w:val="1"/>
                <w:color w:val="auto"/>
              </w:rPr>
            </w:pPr>
          </w:p>
        </w:tc>
      </w:tr>
      <w:tr>
        <w:trPr>
          <w:trHeight w:val="300"/>
        </w:trPr>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Restated</w:t>
            </w: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Transfer</w:t>
            </w:r>
          </w:p>
        </w:tc>
        <w:tc>
          <w:tcPr>
            <w:tcW w:w="180" w:type="dxa"/>
            <w:vAlign w:val="bottom"/>
            <w:tcBorders>
              <w:top w:val="single" w:sz="8" w:color="CCEEFF"/>
            </w:tcBorders>
            <w:gridSpan w:val="2"/>
            <w:vMerge w:val="restart"/>
          </w:tcPr>
          <w:p>
            <w:pPr>
              <w:spacing w:after="0"/>
              <w:rPr>
                <w:sz w:val="24"/>
                <w:szCs w:val="24"/>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Transfer</w:t>
            </w:r>
          </w:p>
        </w:tc>
        <w:tc>
          <w:tcPr>
            <w:tcW w:w="200" w:type="dxa"/>
            <w:vAlign w:val="bottom"/>
            <w:tcBorders>
              <w:top w:val="single" w:sz="8" w:color="CCEEFF"/>
            </w:tcBorders>
            <w:gridSpan w:val="2"/>
            <w:vMerge w:val="restart"/>
          </w:tcPr>
          <w:p>
            <w:pPr>
              <w:spacing w:after="0"/>
              <w:rPr>
                <w:sz w:val="24"/>
                <w:szCs w:val="2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Transfers</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New loans</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Changes in</w:t>
            </w:r>
          </w:p>
        </w:tc>
        <w:tc>
          <w:tcPr>
            <w:tcW w:w="100" w:type="dxa"/>
            <w:vAlign w:val="bottom"/>
            <w:tcBorders>
              <w:top w:val="single" w:sz="8" w:color="CCEEFF"/>
            </w:tcBorders>
            <w:vMerge w:val="restart"/>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4"/>
              </w:rPr>
              <w:t>Sale of</w:t>
            </w:r>
          </w:p>
        </w:tc>
        <w:tc>
          <w:tcPr>
            <w:tcW w:w="100" w:type="dxa"/>
            <w:vAlign w:val="bottom"/>
            <w:tcBorders>
              <w:top w:val="single" w:sz="8" w:color="CCEEFF"/>
            </w:tcBorders>
            <w:vMerge w:val="restart"/>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4"/>
              </w:rPr>
              <w:t>Exchange</w:t>
            </w:r>
          </w:p>
        </w:tc>
        <w:tc>
          <w:tcPr>
            <w:tcW w:w="140" w:type="dxa"/>
            <w:vAlign w:val="bottom"/>
            <w:tcBorders>
              <w:top w:val="single" w:sz="8" w:color="CCEEFF"/>
            </w:tcBorders>
            <w:vMerge w:val="restart"/>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30"/>
        </w:trPr>
        <w:tc>
          <w:tcPr>
            <w:tcW w:w="1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Stage 2</w:t>
            </w: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4"/>
              </w:rPr>
              <w:t>balance at</w:t>
            </w:r>
          </w:p>
        </w:tc>
        <w:tc>
          <w:tcPr>
            <w:tcW w:w="80" w:type="dxa"/>
            <w:vAlign w:val="bottom"/>
          </w:tcPr>
          <w:p>
            <w:pPr>
              <w:spacing w:after="0"/>
              <w:rPr>
                <w:sz w:val="11"/>
                <w:szCs w:val="11"/>
                <w:color w:val="auto"/>
              </w:rPr>
            </w:pPr>
          </w:p>
        </w:tc>
        <w:tc>
          <w:tcPr>
            <w:tcW w:w="720" w:type="dxa"/>
            <w:vAlign w:val="bottom"/>
            <w:gridSpan w:val="3"/>
            <w:vMerge w:val="restart"/>
          </w:tcPr>
          <w:p>
            <w:pPr>
              <w:jc w:val="center"/>
              <w:ind w:right="38"/>
              <w:spacing w:after="0"/>
              <w:rPr>
                <w:sz w:val="20"/>
                <w:szCs w:val="20"/>
                <w:color w:val="auto"/>
              </w:rPr>
            </w:pPr>
            <w:r>
              <w:rPr>
                <w:rFonts w:ascii="Arial" w:cs="Arial" w:eastAsia="Arial" w:hAnsi="Arial"/>
                <w:sz w:val="13"/>
                <w:szCs w:val="13"/>
                <w:b w:val="1"/>
                <w:bCs w:val="1"/>
                <w:color w:val="auto"/>
                <w:w w:val="88"/>
              </w:rPr>
              <w:t>Transfer to</w:t>
            </w:r>
          </w:p>
        </w:tc>
        <w:tc>
          <w:tcPr>
            <w:tcW w:w="100" w:type="dxa"/>
            <w:vAlign w:val="bottom"/>
          </w:tcPr>
          <w:p>
            <w:pPr>
              <w:spacing w:after="0"/>
              <w:rPr>
                <w:sz w:val="11"/>
                <w:szCs w:val="11"/>
                <w:color w:val="auto"/>
              </w:rPr>
            </w:pPr>
          </w:p>
        </w:tc>
        <w:tc>
          <w:tcPr>
            <w:tcW w:w="800" w:type="dxa"/>
            <w:vAlign w:val="bottom"/>
            <w:gridSpan w:val="4"/>
            <w:vMerge w:val="restart"/>
          </w:tcPr>
          <w:p>
            <w:pPr>
              <w:jc w:val="center"/>
              <w:ind w:right="200"/>
              <w:spacing w:after="0"/>
              <w:rPr>
                <w:sz w:val="20"/>
                <w:szCs w:val="20"/>
                <w:color w:val="auto"/>
              </w:rPr>
            </w:pPr>
            <w:r>
              <w:rPr>
                <w:rFonts w:ascii="Arial" w:cs="Arial" w:eastAsia="Arial" w:hAnsi="Arial"/>
                <w:sz w:val="13"/>
                <w:szCs w:val="13"/>
                <w:b w:val="1"/>
                <w:bCs w:val="1"/>
                <w:color w:val="auto"/>
                <w:w w:val="88"/>
              </w:rPr>
              <w:t>Transfer to</w:t>
            </w:r>
          </w:p>
        </w:tc>
        <w:tc>
          <w:tcPr>
            <w:tcW w:w="62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4"/>
              </w:rPr>
              <w:t>between</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January 1,</w:t>
            </w: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from</w:t>
            </w:r>
          </w:p>
        </w:tc>
        <w:tc>
          <w:tcPr>
            <w:tcW w:w="8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from</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6"/>
              </w:rPr>
              <w:t>classes of</w:t>
            </w:r>
          </w:p>
        </w:tc>
        <w:tc>
          <w:tcPr>
            <w:tcW w:w="10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liquidation,</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PDs, LGDs,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2"/>
              </w:rPr>
              <w:t>loan</w:t>
            </w:r>
          </w:p>
        </w:tc>
        <w:tc>
          <w:tcPr>
            <w:tcW w:w="80" w:type="dxa"/>
            <w:vAlign w:val="bottom"/>
          </w:tcPr>
          <w:p>
            <w:pPr>
              <w:spacing w:after="0"/>
              <w:rPr>
                <w:sz w:val="13"/>
                <w:szCs w:val="13"/>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3"/>
              </w:rPr>
              <w:t>differences</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b w:val="1"/>
                <w:bCs w:val="1"/>
                <w:color w:val="auto"/>
                <w:w w:val="89"/>
              </w:rPr>
              <w:t>December</w:t>
            </w:r>
          </w:p>
        </w:tc>
        <w:tc>
          <w:tcPr>
            <w:tcW w:w="0" w:type="dxa"/>
            <w:vAlign w:val="bottom"/>
          </w:tcPr>
          <w:p>
            <w:pPr>
              <w:spacing w:after="0"/>
              <w:rPr>
                <w:sz w:val="1"/>
                <w:szCs w:val="1"/>
                <w:color w:val="auto"/>
              </w:rPr>
            </w:pPr>
          </w:p>
        </w:tc>
      </w:tr>
      <w:tr>
        <w:trPr>
          <w:trHeight w:val="122"/>
        </w:trPr>
        <w:tc>
          <w:tcPr>
            <w:tcW w:w="104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jc w:val="center"/>
              <w:ind w:left="37"/>
              <w:spacing w:after="0" w:line="123" w:lineRule="exact"/>
              <w:rPr>
                <w:sz w:val="20"/>
                <w:szCs w:val="20"/>
                <w:color w:val="auto"/>
              </w:rPr>
            </w:pPr>
            <w:r>
              <w:rPr>
                <w:rFonts w:ascii="Arial" w:cs="Arial" w:eastAsia="Arial" w:hAnsi="Arial"/>
                <w:sz w:val="13"/>
                <w:szCs w:val="13"/>
                <w:b w:val="1"/>
                <w:bCs w:val="1"/>
                <w:color w:val="auto"/>
                <w:w w:val="89"/>
              </w:rPr>
              <w:t>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38"/>
              <w:spacing w:after="0" w:line="123" w:lineRule="exact"/>
              <w:rPr>
                <w:sz w:val="20"/>
                <w:szCs w:val="20"/>
                <w:color w:val="auto"/>
              </w:rPr>
            </w:pPr>
            <w:r>
              <w:rPr>
                <w:rFonts w:ascii="Arial" w:cs="Arial" w:eastAsia="Arial" w:hAnsi="Arial"/>
                <w:sz w:val="13"/>
                <w:szCs w:val="13"/>
                <w:b w:val="1"/>
                <w:bCs w:val="1"/>
                <w:color w:val="auto"/>
                <w:w w:val="86"/>
              </w:rPr>
              <w:t>Stage 1</w:t>
            </w:r>
          </w:p>
        </w:tc>
        <w:tc>
          <w:tcPr>
            <w:tcW w:w="100" w:type="dxa"/>
            <w:vAlign w:val="bottom"/>
          </w:tcPr>
          <w:p>
            <w:pPr>
              <w:spacing w:after="0"/>
              <w:rPr>
                <w:sz w:val="10"/>
                <w:szCs w:val="10"/>
                <w:color w:val="auto"/>
              </w:rPr>
            </w:pPr>
          </w:p>
        </w:tc>
        <w:tc>
          <w:tcPr>
            <w:tcW w:w="800" w:type="dxa"/>
            <w:vAlign w:val="bottom"/>
            <w:gridSpan w:val="4"/>
          </w:tcPr>
          <w:p>
            <w:pPr>
              <w:jc w:val="center"/>
              <w:ind w:right="200"/>
              <w:spacing w:after="0" w:line="123" w:lineRule="exact"/>
              <w:rPr>
                <w:sz w:val="20"/>
                <w:szCs w:val="20"/>
                <w:color w:val="auto"/>
              </w:rPr>
            </w:pPr>
            <w:r>
              <w:rPr>
                <w:rFonts w:ascii="Arial" w:cs="Arial" w:eastAsia="Arial" w:hAnsi="Arial"/>
                <w:sz w:val="13"/>
                <w:szCs w:val="13"/>
                <w:b w:val="1"/>
                <w:bCs w:val="1"/>
                <w:color w:val="auto"/>
                <w:w w:val="86"/>
              </w:rPr>
              <w:t>Stage 3</w:t>
            </w:r>
          </w:p>
        </w:tc>
        <w:tc>
          <w:tcPr>
            <w:tcW w:w="800" w:type="dxa"/>
            <w:vAlign w:val="bottom"/>
            <w:gridSpan w:val="3"/>
          </w:tcPr>
          <w:p>
            <w:pPr>
              <w:jc w:val="center"/>
              <w:ind w:right="180"/>
              <w:spacing w:after="0" w:line="123" w:lineRule="exact"/>
              <w:rPr>
                <w:sz w:val="20"/>
                <w:szCs w:val="20"/>
                <w:color w:val="auto"/>
              </w:rPr>
            </w:pPr>
            <w:r>
              <w:rPr>
                <w:rFonts w:ascii="Arial" w:cs="Arial" w:eastAsia="Arial" w:hAnsi="Arial"/>
                <w:sz w:val="13"/>
                <w:szCs w:val="13"/>
                <w:b w:val="1"/>
                <w:bCs w:val="1"/>
                <w:color w:val="auto"/>
                <w:w w:val="82"/>
              </w:rPr>
              <w:t>Stage 1</w:t>
            </w:r>
          </w:p>
        </w:tc>
        <w:tc>
          <w:tcPr>
            <w:tcW w:w="820" w:type="dxa"/>
            <w:vAlign w:val="bottom"/>
            <w:gridSpan w:val="3"/>
          </w:tcPr>
          <w:p>
            <w:pPr>
              <w:jc w:val="center"/>
              <w:ind w:right="200"/>
              <w:spacing w:after="0" w:line="123" w:lineRule="exact"/>
              <w:rPr>
                <w:sz w:val="20"/>
                <w:szCs w:val="20"/>
                <w:color w:val="auto"/>
              </w:rPr>
            </w:pPr>
            <w:r>
              <w:rPr>
                <w:rFonts w:ascii="Arial" w:cs="Arial" w:eastAsia="Arial" w:hAnsi="Arial"/>
                <w:sz w:val="13"/>
                <w:szCs w:val="13"/>
                <w:b w:val="1"/>
                <w:bCs w:val="1"/>
                <w:color w:val="auto"/>
                <w:w w:val="82"/>
              </w:rPr>
              <w:t>Stage 3</w:t>
            </w:r>
          </w:p>
        </w:tc>
        <w:tc>
          <w:tcPr>
            <w:tcW w:w="70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2"/>
              </w:rPr>
              <w:t>loans</w:t>
            </w:r>
          </w:p>
        </w:tc>
        <w:tc>
          <w:tcPr>
            <w:tcW w:w="100" w:type="dxa"/>
            <w:vAlign w:val="bottom"/>
          </w:tcPr>
          <w:p>
            <w:pPr>
              <w:spacing w:after="0"/>
              <w:rPr>
                <w:sz w:val="10"/>
                <w:szCs w:val="10"/>
                <w:color w:val="auto"/>
              </w:rPr>
            </w:pPr>
          </w:p>
        </w:tc>
        <w:tc>
          <w:tcPr>
            <w:tcW w:w="700" w:type="dxa"/>
            <w:vAlign w:val="bottom"/>
            <w:gridSpan w:val="2"/>
          </w:tcPr>
          <w:p>
            <w:pPr>
              <w:jc w:val="center"/>
              <w:ind w:right="80"/>
              <w:spacing w:after="0" w:line="123" w:lineRule="exact"/>
              <w:rPr>
                <w:sz w:val="20"/>
                <w:szCs w:val="20"/>
                <w:color w:val="auto"/>
              </w:rPr>
            </w:pPr>
            <w:r>
              <w:rPr>
                <w:rFonts w:ascii="Arial" w:cs="Arial" w:eastAsia="Arial" w:hAnsi="Arial"/>
                <w:sz w:val="13"/>
                <w:szCs w:val="13"/>
                <w:b w:val="1"/>
                <w:bCs w:val="1"/>
                <w:color w:val="auto"/>
                <w:w w:val="92"/>
              </w:rPr>
              <w:t>net</w:t>
            </w: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2"/>
              </w:rPr>
              <w:t>EADs</w:t>
            </w:r>
          </w:p>
        </w:tc>
        <w:tc>
          <w:tcPr>
            <w:tcW w:w="100" w:type="dxa"/>
            <w:vAlign w:val="bottom"/>
          </w:tcPr>
          <w:p>
            <w:pPr>
              <w:spacing w:after="0"/>
              <w:rPr>
                <w:sz w:val="10"/>
                <w:szCs w:val="10"/>
                <w:color w:val="auto"/>
              </w:rPr>
            </w:pPr>
          </w:p>
        </w:tc>
        <w:tc>
          <w:tcPr>
            <w:tcW w:w="800" w:type="dxa"/>
            <w:vAlign w:val="bottom"/>
            <w:gridSpan w:val="4"/>
          </w:tcPr>
          <w:p>
            <w:pPr>
              <w:jc w:val="center"/>
              <w:ind w:right="200"/>
              <w:spacing w:after="0" w:line="123" w:lineRule="exact"/>
              <w:rPr>
                <w:sz w:val="20"/>
                <w:szCs w:val="20"/>
                <w:color w:val="auto"/>
              </w:rPr>
            </w:pPr>
            <w:r>
              <w:rPr>
                <w:rFonts w:ascii="Arial" w:cs="Arial" w:eastAsia="Arial" w:hAnsi="Arial"/>
                <w:sz w:val="13"/>
                <w:szCs w:val="13"/>
                <w:b w:val="1"/>
                <w:bCs w:val="1"/>
                <w:color w:val="auto"/>
                <w:w w:val="92"/>
              </w:rPr>
              <w:t>Write-offs</w:t>
            </w:r>
          </w:p>
        </w:tc>
        <w:tc>
          <w:tcPr>
            <w:tcW w:w="720" w:type="dxa"/>
            <w:vAlign w:val="bottom"/>
            <w:gridSpan w:val="3"/>
          </w:tcPr>
          <w:p>
            <w:pPr>
              <w:jc w:val="center"/>
              <w:ind w:right="100"/>
              <w:spacing w:after="0" w:line="123" w:lineRule="exact"/>
              <w:rPr>
                <w:sz w:val="20"/>
                <w:szCs w:val="20"/>
                <w:color w:val="auto"/>
              </w:rPr>
            </w:pPr>
            <w:r>
              <w:rPr>
                <w:rFonts w:ascii="Arial" w:cs="Arial" w:eastAsia="Arial" w:hAnsi="Arial"/>
                <w:sz w:val="13"/>
                <w:szCs w:val="13"/>
                <w:b w:val="1"/>
                <w:bCs w:val="1"/>
                <w:color w:val="auto"/>
                <w:w w:val="87"/>
              </w:rPr>
              <w:t>portfolio</w:t>
            </w:r>
          </w:p>
        </w:tc>
        <w:tc>
          <w:tcPr>
            <w:tcW w:w="80" w:type="dxa"/>
            <w:vAlign w:val="bottom"/>
          </w:tcPr>
          <w:p>
            <w:pPr>
              <w:spacing w:after="0"/>
              <w:rPr>
                <w:sz w:val="10"/>
                <w:szCs w:val="10"/>
                <w:color w:val="auto"/>
              </w:rPr>
            </w:pPr>
          </w:p>
        </w:tc>
        <w:tc>
          <w:tcPr>
            <w:tcW w:w="720" w:type="dxa"/>
            <w:vAlign w:val="bottom"/>
            <w:gridSpan w:val="2"/>
          </w:tcPr>
          <w:p>
            <w:pPr>
              <w:jc w:val="center"/>
              <w:ind w:right="58"/>
              <w:spacing w:after="0" w:line="123" w:lineRule="exact"/>
              <w:rPr>
                <w:sz w:val="20"/>
                <w:szCs w:val="20"/>
                <w:color w:val="auto"/>
              </w:rPr>
            </w:pPr>
            <w:r>
              <w:rPr>
                <w:rFonts w:ascii="Arial" w:cs="Arial" w:eastAsia="Arial" w:hAnsi="Arial"/>
                <w:sz w:val="13"/>
                <w:szCs w:val="13"/>
                <w:b w:val="1"/>
                <w:bCs w:val="1"/>
                <w:color w:val="auto"/>
                <w:w w:val="87"/>
              </w:rPr>
              <w:t>and others</w:t>
            </w:r>
          </w:p>
        </w:tc>
        <w:tc>
          <w:tcPr>
            <w:tcW w:w="700" w:type="dxa"/>
            <w:vAlign w:val="bottom"/>
            <w:gridSpan w:val="2"/>
          </w:tcPr>
          <w:p>
            <w:pPr>
              <w:jc w:val="center"/>
              <w:spacing w:after="0" w:line="123" w:lineRule="exact"/>
              <w:rPr>
                <w:sz w:val="20"/>
                <w:szCs w:val="20"/>
                <w:color w:val="auto"/>
              </w:rPr>
            </w:pPr>
            <w:r>
              <w:rPr>
                <w:rFonts w:ascii="Arial" w:cs="Arial" w:eastAsia="Arial" w:hAnsi="Arial"/>
                <w:sz w:val="13"/>
                <w:szCs w:val="13"/>
                <w:b w:val="1"/>
                <w:bCs w:val="1"/>
                <w:color w:val="auto"/>
                <w:w w:val="86"/>
              </w:rPr>
              <w:t>31, 2018</w:t>
            </w:r>
          </w:p>
        </w:tc>
        <w:tc>
          <w:tcPr>
            <w:tcW w:w="0" w:type="dxa"/>
            <w:vAlign w:val="bottom"/>
          </w:tcPr>
          <w:p>
            <w:pPr>
              <w:spacing w:after="0"/>
              <w:rPr>
                <w:sz w:val="1"/>
                <w:szCs w:val="1"/>
                <w:color w:val="auto"/>
              </w:rPr>
            </w:pPr>
          </w:p>
        </w:tc>
      </w:tr>
      <w:tr>
        <w:trPr>
          <w:trHeight w:val="122"/>
        </w:trPr>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gridSpan w:val="2"/>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gridSpan w:val="2"/>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gridSpan w:val="2"/>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gridSpan w:val="2"/>
          </w:tcPr>
          <w:p>
            <w:pPr>
              <w:spacing w:after="0"/>
              <w:rPr>
                <w:sz w:val="10"/>
                <w:szCs w:val="10"/>
                <w:color w:val="auto"/>
              </w:rPr>
            </w:pPr>
          </w:p>
        </w:tc>
        <w:tc>
          <w:tcPr>
            <w:tcW w:w="6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0" w:type="dxa"/>
            <w:vAlign w:val="bottom"/>
          </w:tcPr>
          <w:p>
            <w:pPr>
              <w:spacing w:after="0"/>
              <w:rPr>
                <w:sz w:val="1"/>
                <w:szCs w:val="1"/>
                <w:color w:val="auto"/>
              </w:rPr>
            </w:pPr>
          </w:p>
        </w:tc>
      </w:tr>
      <w:tr>
        <w:trPr>
          <w:trHeight w:val="130"/>
        </w:trPr>
        <w:tc>
          <w:tcPr>
            <w:tcW w:w="10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w w:val="98"/>
              </w:rPr>
              <w:t>Commercial loans</w:t>
            </w:r>
          </w:p>
        </w:tc>
        <w:tc>
          <w:tcPr>
            <w:tcW w:w="82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99,004</w:t>
            </w:r>
          </w:p>
        </w:tc>
        <w:tc>
          <w:tcPr>
            <w:tcW w:w="800" w:type="dxa"/>
            <w:vAlign w:val="bottom"/>
            <w:gridSpan w:val="4"/>
            <w:shd w:val="clear" w:color="auto" w:fill="CCEEFF"/>
          </w:tcPr>
          <w:p>
            <w:pPr>
              <w:jc w:val="right"/>
              <w:ind w:right="18"/>
              <w:spacing w:after="0" w:line="131" w:lineRule="exact"/>
              <w:rPr>
                <w:sz w:val="20"/>
                <w:szCs w:val="20"/>
                <w:color w:val="auto"/>
              </w:rPr>
            </w:pPr>
            <w:r>
              <w:rPr>
                <w:rFonts w:ascii="Arial" w:cs="Arial" w:eastAsia="Arial" w:hAnsi="Arial"/>
                <w:sz w:val="13"/>
                <w:szCs w:val="13"/>
                <w:color w:val="auto"/>
              </w:rPr>
              <w:t>(16,464)</w:t>
            </w:r>
          </w:p>
        </w:tc>
        <w:tc>
          <w:tcPr>
            <w:tcW w:w="800" w:type="dxa"/>
            <w:vAlign w:val="bottom"/>
            <w:gridSpan w:val="4"/>
            <w:shd w:val="clear" w:color="auto" w:fill="CCEEFF"/>
          </w:tcPr>
          <w:p>
            <w:pPr>
              <w:jc w:val="right"/>
              <w:spacing w:after="0" w:line="131" w:lineRule="exact"/>
              <w:rPr>
                <w:sz w:val="20"/>
                <w:szCs w:val="20"/>
                <w:color w:val="auto"/>
              </w:rPr>
            </w:pPr>
            <w:r>
              <w:rPr>
                <w:rFonts w:ascii="Arial" w:cs="Arial" w:eastAsia="Arial" w:hAnsi="Arial"/>
                <w:sz w:val="13"/>
                <w:szCs w:val="13"/>
                <w:color w:val="auto"/>
              </w:rPr>
              <w:t>(20,602)</w:t>
            </w: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13,311</w:t>
            </w:r>
          </w:p>
        </w:tc>
        <w:tc>
          <w:tcPr>
            <w:tcW w:w="8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13,696</w:t>
            </w:r>
          </w:p>
        </w:tc>
        <w:tc>
          <w:tcPr>
            <w:tcW w:w="100" w:type="dxa"/>
            <w:vAlign w:val="bottom"/>
            <w:tcBorders>
              <w:right w:val="single" w:sz="8" w:color="CCEEFF"/>
            </w:tcBorders>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rPr>
              <w:t>(254)</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34,236</w:t>
            </w:r>
          </w:p>
        </w:tc>
        <w:tc>
          <w:tcPr>
            <w:tcW w:w="84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33,375</w:t>
            </w:r>
          </w:p>
        </w:tc>
        <w:tc>
          <w:tcPr>
            <w:tcW w:w="800" w:type="dxa"/>
            <w:vAlign w:val="bottom"/>
            <w:gridSpan w:val="4"/>
            <w:shd w:val="clear" w:color="auto" w:fill="CCEEFF"/>
          </w:tcPr>
          <w:p>
            <w:pPr>
              <w:jc w:val="right"/>
              <w:spacing w:after="0" w:line="131" w:lineRule="exact"/>
              <w:rPr>
                <w:sz w:val="20"/>
                <w:szCs w:val="20"/>
                <w:color w:val="auto"/>
              </w:rPr>
            </w:pPr>
            <w:r>
              <w:rPr>
                <w:rFonts w:ascii="Arial" w:cs="Arial" w:eastAsia="Arial" w:hAnsi="Arial"/>
                <w:sz w:val="13"/>
                <w:szCs w:val="13"/>
                <w:color w:val="auto"/>
              </w:rPr>
              <w:t>(4,952)</w:t>
            </w: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649</w:t>
            </w:r>
          </w:p>
        </w:tc>
        <w:tc>
          <w:tcPr>
            <w:tcW w:w="70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151,999</w:t>
            </w:r>
          </w:p>
        </w:tc>
        <w:tc>
          <w:tcPr>
            <w:tcW w:w="0" w:type="dxa"/>
            <w:vAlign w:val="bottom"/>
          </w:tcPr>
          <w:p>
            <w:pPr>
              <w:spacing w:after="0"/>
              <w:rPr>
                <w:sz w:val="1"/>
                <w:szCs w:val="1"/>
                <w:color w:val="auto"/>
              </w:rPr>
            </w:pPr>
          </w:p>
        </w:tc>
      </w:tr>
      <w:tr>
        <w:trPr>
          <w:trHeight w:val="114"/>
        </w:trPr>
        <w:tc>
          <w:tcPr>
            <w:tcW w:w="1040" w:type="dxa"/>
            <w:vAlign w:val="bottom"/>
            <w:gridSpan w:val="2"/>
          </w:tcPr>
          <w:p>
            <w:pPr>
              <w:spacing w:after="0" w:line="114" w:lineRule="exact"/>
              <w:rPr>
                <w:sz w:val="20"/>
                <w:szCs w:val="20"/>
                <w:color w:val="auto"/>
              </w:rPr>
            </w:pPr>
            <w:r>
              <w:rPr>
                <w:rFonts w:ascii="Arial" w:cs="Arial" w:eastAsia="Arial" w:hAnsi="Arial"/>
                <w:sz w:val="13"/>
                <w:szCs w:val="13"/>
                <w:color w:val="auto"/>
              </w:rPr>
              <w:t>Residential</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40" w:type="dxa"/>
            <w:vAlign w:val="bottom"/>
            <w:gridSpan w:val="2"/>
          </w:tcPr>
          <w:p>
            <w:pPr>
              <w:spacing w:after="0" w:line="146" w:lineRule="exact"/>
              <w:rPr>
                <w:sz w:val="20"/>
                <w:szCs w:val="20"/>
                <w:color w:val="auto"/>
              </w:rPr>
            </w:pPr>
            <w:r>
              <w:rPr>
                <w:rFonts w:ascii="Arial" w:cs="Arial" w:eastAsia="Arial" w:hAnsi="Arial"/>
                <w:sz w:val="13"/>
                <w:szCs w:val="13"/>
                <w:color w:val="auto"/>
              </w:rPr>
              <w:t>mortgage loans</w:t>
            </w:r>
          </w:p>
        </w:tc>
        <w:tc>
          <w:tcPr>
            <w:tcW w:w="82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13,747</w:t>
            </w:r>
          </w:p>
        </w:tc>
        <w:tc>
          <w:tcPr>
            <w:tcW w:w="800" w:type="dxa"/>
            <w:vAlign w:val="bottom"/>
            <w:gridSpan w:val="4"/>
          </w:tcPr>
          <w:p>
            <w:pPr>
              <w:jc w:val="right"/>
              <w:ind w:right="18"/>
              <w:spacing w:after="0" w:line="146" w:lineRule="exact"/>
              <w:rPr>
                <w:sz w:val="20"/>
                <w:szCs w:val="20"/>
                <w:color w:val="auto"/>
              </w:rPr>
            </w:pPr>
            <w:r>
              <w:rPr>
                <w:rFonts w:ascii="Arial" w:cs="Arial" w:eastAsia="Arial" w:hAnsi="Arial"/>
                <w:sz w:val="13"/>
                <w:szCs w:val="13"/>
                <w:color w:val="auto"/>
              </w:rPr>
              <w:t>(2,565)</w:t>
            </w:r>
          </w:p>
        </w:tc>
        <w:tc>
          <w:tcPr>
            <w:tcW w:w="800" w:type="dxa"/>
            <w:vAlign w:val="bottom"/>
            <w:gridSpan w:val="4"/>
          </w:tcPr>
          <w:p>
            <w:pPr>
              <w:jc w:val="right"/>
              <w:spacing w:after="0" w:line="146" w:lineRule="exact"/>
              <w:rPr>
                <w:sz w:val="20"/>
                <w:szCs w:val="20"/>
                <w:color w:val="auto"/>
              </w:rPr>
            </w:pPr>
            <w:r>
              <w:rPr>
                <w:rFonts w:ascii="Arial" w:cs="Arial" w:eastAsia="Arial" w:hAnsi="Arial"/>
                <w:sz w:val="13"/>
                <w:szCs w:val="13"/>
                <w:color w:val="auto"/>
              </w:rPr>
              <w:t>(2,945)</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1,716</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3,201</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7</w:t>
            </w:r>
          </w:p>
        </w:tc>
        <w:tc>
          <w:tcPr>
            <w:tcW w:w="80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1,761</w:t>
            </w:r>
          </w:p>
        </w:tc>
        <w:tc>
          <w:tcPr>
            <w:tcW w:w="84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7,296</w:t>
            </w:r>
          </w:p>
        </w:tc>
        <w:tc>
          <w:tcPr>
            <w:tcW w:w="800" w:type="dxa"/>
            <w:vAlign w:val="bottom"/>
            <w:gridSpan w:val="4"/>
          </w:tcPr>
          <w:p>
            <w:pPr>
              <w:jc w:val="right"/>
              <w:spacing w:after="0" w:line="146" w:lineRule="exact"/>
              <w:rPr>
                <w:sz w:val="20"/>
                <w:szCs w:val="20"/>
                <w:color w:val="auto"/>
              </w:rPr>
            </w:pPr>
            <w:r>
              <w:rPr>
                <w:rFonts w:ascii="Arial" w:cs="Arial" w:eastAsia="Arial" w:hAnsi="Arial"/>
                <w:sz w:val="13"/>
                <w:szCs w:val="13"/>
                <w:color w:val="auto"/>
              </w:rPr>
              <w:t>(144)</w:t>
            </w: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58"/>
              <w:spacing w:after="0" w:line="146" w:lineRule="exact"/>
              <w:rPr>
                <w:sz w:val="20"/>
                <w:szCs w:val="20"/>
                <w:color w:val="auto"/>
              </w:rPr>
            </w:pPr>
            <w:r>
              <w:rPr>
                <w:rFonts w:ascii="Arial" w:cs="Arial" w:eastAsia="Arial" w:hAnsi="Arial"/>
                <w:sz w:val="13"/>
                <w:szCs w:val="13"/>
                <w:color w:val="auto"/>
              </w:rPr>
              <w:t>330</w:t>
            </w: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22,404</w:t>
            </w:r>
          </w:p>
        </w:tc>
        <w:tc>
          <w:tcPr>
            <w:tcW w:w="0" w:type="dxa"/>
            <w:vAlign w:val="bottom"/>
          </w:tcPr>
          <w:p>
            <w:pPr>
              <w:spacing w:after="0"/>
              <w:rPr>
                <w:sz w:val="1"/>
                <w:szCs w:val="1"/>
                <w:color w:val="auto"/>
              </w:rPr>
            </w:pPr>
          </w:p>
        </w:tc>
      </w:tr>
      <w:tr>
        <w:trPr>
          <w:trHeight w:val="114"/>
        </w:trPr>
        <w:tc>
          <w:tcPr>
            <w:tcW w:w="104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Micro-business</w:t>
            </w: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lef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loans</w:t>
            </w:r>
          </w:p>
        </w:tc>
        <w:tc>
          <w:tcPr>
            <w:tcW w:w="82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281,227</w:t>
            </w:r>
          </w:p>
        </w:tc>
        <w:tc>
          <w:tcPr>
            <w:tcW w:w="800" w:type="dxa"/>
            <w:vAlign w:val="bottom"/>
            <w:gridSpan w:val="4"/>
            <w:shd w:val="clear" w:color="auto" w:fill="CCEEFF"/>
          </w:tcPr>
          <w:p>
            <w:pPr>
              <w:jc w:val="right"/>
              <w:ind w:right="18"/>
              <w:spacing w:after="0" w:line="146" w:lineRule="exact"/>
              <w:rPr>
                <w:sz w:val="20"/>
                <w:szCs w:val="20"/>
                <w:color w:val="auto"/>
              </w:rPr>
            </w:pPr>
            <w:r>
              <w:rPr>
                <w:rFonts w:ascii="Arial" w:cs="Arial" w:eastAsia="Arial" w:hAnsi="Arial"/>
                <w:sz w:val="13"/>
                <w:szCs w:val="13"/>
                <w:color w:val="auto"/>
              </w:rPr>
              <w:t>(46,522)</w:t>
            </w:r>
          </w:p>
        </w:tc>
        <w:tc>
          <w:tcPr>
            <w:tcW w:w="80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(43,715)</w:t>
            </w: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27,116</w:t>
            </w:r>
          </w:p>
        </w:tc>
        <w:tc>
          <w:tcPr>
            <w:tcW w:w="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7,817</w:t>
            </w: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378</w:t>
            </w:r>
          </w:p>
        </w:tc>
        <w:tc>
          <w:tcPr>
            <w:tcW w:w="800" w:type="dxa"/>
            <w:vAlign w:val="bottom"/>
            <w:gridSpan w:val="3"/>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42,058</w:t>
            </w:r>
          </w:p>
        </w:tc>
        <w:tc>
          <w:tcPr>
            <w:tcW w:w="84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168,748</w:t>
            </w:r>
          </w:p>
        </w:tc>
        <w:tc>
          <w:tcPr>
            <w:tcW w:w="80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(176,095)</w:t>
            </w: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58"/>
              <w:spacing w:after="0" w:line="146" w:lineRule="exact"/>
              <w:rPr>
                <w:sz w:val="20"/>
                <w:szCs w:val="20"/>
                <w:color w:val="auto"/>
              </w:rPr>
            </w:pPr>
            <w:r>
              <w:rPr>
                <w:rFonts w:ascii="Arial" w:cs="Arial" w:eastAsia="Arial" w:hAnsi="Arial"/>
                <w:sz w:val="13"/>
                <w:szCs w:val="13"/>
                <w:color w:val="auto"/>
              </w:rPr>
              <w:t>2,581</w:t>
            </w:r>
          </w:p>
        </w:tc>
        <w:tc>
          <w:tcPr>
            <w:tcW w:w="70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263,593</w:t>
            </w:r>
          </w:p>
        </w:tc>
        <w:tc>
          <w:tcPr>
            <w:tcW w:w="0" w:type="dxa"/>
            <w:vAlign w:val="bottom"/>
          </w:tcPr>
          <w:p>
            <w:pPr>
              <w:spacing w:after="0"/>
              <w:rPr>
                <w:sz w:val="1"/>
                <w:szCs w:val="1"/>
                <w:color w:val="auto"/>
              </w:rPr>
            </w:pPr>
          </w:p>
        </w:tc>
      </w:tr>
      <w:tr>
        <w:trPr>
          <w:trHeight w:val="142"/>
        </w:trPr>
        <w:tc>
          <w:tcPr>
            <w:tcW w:w="104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82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507,726</w:t>
            </w:r>
          </w:p>
        </w:tc>
        <w:tc>
          <w:tcPr>
            <w:tcW w:w="800" w:type="dxa"/>
            <w:vAlign w:val="bottom"/>
            <w:gridSpan w:val="4"/>
          </w:tcPr>
          <w:p>
            <w:pPr>
              <w:jc w:val="right"/>
              <w:ind w:right="18"/>
              <w:spacing w:after="0" w:line="143" w:lineRule="exact"/>
              <w:rPr>
                <w:sz w:val="20"/>
                <w:szCs w:val="20"/>
                <w:color w:val="auto"/>
              </w:rPr>
            </w:pPr>
            <w:r>
              <w:rPr>
                <w:rFonts w:ascii="Arial" w:cs="Arial" w:eastAsia="Arial" w:hAnsi="Arial"/>
                <w:sz w:val="13"/>
                <w:szCs w:val="13"/>
                <w:color w:val="auto"/>
              </w:rPr>
              <w:t>(91,969)</w:t>
            </w:r>
          </w:p>
        </w:tc>
        <w:tc>
          <w:tcPr>
            <w:tcW w:w="80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(53,473)</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29,407</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22,834</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(131)</w:t>
            </w:r>
          </w:p>
        </w:tc>
        <w:tc>
          <w:tcPr>
            <w:tcW w:w="80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57,606</w:t>
            </w:r>
          </w:p>
        </w:tc>
        <w:tc>
          <w:tcPr>
            <w:tcW w:w="84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231,922</w:t>
            </w:r>
          </w:p>
        </w:tc>
        <w:tc>
          <w:tcPr>
            <w:tcW w:w="80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(203,471)</w:t>
            </w: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58"/>
              <w:spacing w:after="0" w:line="143" w:lineRule="exact"/>
              <w:rPr>
                <w:sz w:val="20"/>
                <w:szCs w:val="20"/>
                <w:color w:val="auto"/>
              </w:rPr>
            </w:pPr>
            <w:r>
              <w:rPr>
                <w:rFonts w:ascii="Arial" w:cs="Arial" w:eastAsia="Arial" w:hAnsi="Arial"/>
                <w:sz w:val="13"/>
                <w:szCs w:val="13"/>
                <w:color w:val="auto"/>
              </w:rPr>
              <w:t>84</w:t>
            </w:r>
          </w:p>
        </w:tc>
        <w:tc>
          <w:tcPr>
            <w:tcW w:w="7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500,535</w:t>
            </w:r>
          </w:p>
        </w:tc>
        <w:tc>
          <w:tcPr>
            <w:tcW w:w="0" w:type="dxa"/>
            <w:vAlign w:val="bottom"/>
          </w:tcPr>
          <w:p>
            <w:pPr>
              <w:spacing w:after="0"/>
              <w:rPr>
                <w:sz w:val="1"/>
                <w:szCs w:val="1"/>
                <w:color w:val="auto"/>
              </w:rPr>
            </w:pPr>
          </w:p>
        </w:tc>
      </w:tr>
      <w:tr>
        <w:trPr>
          <w:trHeight w:val="126"/>
        </w:trPr>
        <w:tc>
          <w:tcPr>
            <w:tcW w:w="1040" w:type="dxa"/>
            <w:vAlign w:val="bottom"/>
            <w:tcBorders>
              <w:top w:val="single" w:sz="8" w:color="CCEEFF"/>
              <w:bottom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901,704</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gridSpan w:val="2"/>
            <w:shd w:val="clear" w:color="auto" w:fill="CCEEFF"/>
          </w:tcPr>
          <w:p>
            <w:pPr>
              <w:jc w:val="right"/>
              <w:spacing w:after="0" w:line="123" w:lineRule="exact"/>
              <w:rPr>
                <w:sz w:val="20"/>
                <w:szCs w:val="20"/>
                <w:color w:val="auto"/>
              </w:rPr>
            </w:pPr>
            <w:r>
              <w:rPr>
                <w:rFonts w:ascii="Arial" w:cs="Arial" w:eastAsia="Arial" w:hAnsi="Arial"/>
                <w:sz w:val="13"/>
                <w:szCs w:val="13"/>
                <w:color w:val="auto"/>
              </w:rPr>
              <w:t>(157,520)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gridSpan w:val="2"/>
            <w:shd w:val="clear" w:color="auto" w:fill="CCEEFF"/>
          </w:tcPr>
          <w:p>
            <w:pPr>
              <w:jc w:val="right"/>
              <w:spacing w:after="0" w:line="123" w:lineRule="exact"/>
              <w:rPr>
                <w:sz w:val="20"/>
                <w:szCs w:val="20"/>
                <w:color w:val="auto"/>
              </w:rPr>
            </w:pPr>
            <w:r>
              <w:rPr>
                <w:rFonts w:ascii="Arial" w:cs="Arial" w:eastAsia="Arial" w:hAnsi="Arial"/>
                <w:sz w:val="13"/>
                <w:szCs w:val="13"/>
                <w:color w:val="auto"/>
              </w:rPr>
              <w:t>(120,735)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71,550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47,548</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135,661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441,341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gridSpan w:val="2"/>
            <w:shd w:val="clear" w:color="auto" w:fill="CCEEFF"/>
          </w:tcPr>
          <w:p>
            <w:pPr>
              <w:jc w:val="right"/>
              <w:spacing w:after="0" w:line="123" w:lineRule="exact"/>
              <w:rPr>
                <w:sz w:val="20"/>
                <w:szCs w:val="20"/>
                <w:color w:val="auto"/>
              </w:rPr>
            </w:pPr>
            <w:r>
              <w:rPr>
                <w:rFonts w:ascii="Arial" w:cs="Arial" w:eastAsia="Arial" w:hAnsi="Arial"/>
                <w:sz w:val="13"/>
                <w:szCs w:val="13"/>
                <w:color w:val="auto"/>
              </w:rPr>
              <w:t>(384,662)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gridSpan w:val="2"/>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3,644</w:t>
            </w:r>
          </w:p>
        </w:tc>
        <w:tc>
          <w:tcPr>
            <w:tcW w:w="1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938,531</w:t>
            </w:r>
          </w:p>
        </w:tc>
        <w:tc>
          <w:tcPr>
            <w:tcW w:w="0" w:type="dxa"/>
            <w:vAlign w:val="bottom"/>
          </w:tcPr>
          <w:p>
            <w:pPr>
              <w:spacing w:after="0"/>
              <w:rPr>
                <w:sz w:val="1"/>
                <w:szCs w:val="1"/>
                <w:color w:val="auto"/>
              </w:rPr>
            </w:pPr>
          </w:p>
        </w:tc>
      </w:tr>
      <w:tr>
        <w:trPr>
          <w:trHeight w:val="300"/>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Restated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88"/>
              </w:rPr>
              <w:t>Transfer</w:t>
            </w:r>
          </w:p>
        </w:tc>
        <w:tc>
          <w:tcPr>
            <w:tcW w:w="8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2"/>
              </w:rPr>
              <w:t>Transfer</w:t>
            </w: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New loans</w:t>
            </w:r>
          </w:p>
        </w:tc>
        <w:tc>
          <w:tcPr>
            <w:tcW w:w="100" w:type="dxa"/>
            <w:vAlign w:val="bottom"/>
          </w:tcPr>
          <w:p>
            <w:pPr>
              <w:spacing w:after="0"/>
              <w:rPr>
                <w:sz w:val="24"/>
                <w:szCs w:val="2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79"/>
              </w:rPr>
              <w:t>Changes in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4"/>
              </w:rPr>
              <w:t>Sale of</w:t>
            </w:r>
          </w:p>
        </w:tc>
        <w:tc>
          <w:tcPr>
            <w:tcW w:w="80" w:type="dxa"/>
            <w:vAlign w:val="bottom"/>
          </w:tcPr>
          <w:p>
            <w:pPr>
              <w:spacing w:after="0"/>
              <w:rPr>
                <w:sz w:val="24"/>
                <w:szCs w:val="24"/>
                <w:color w:val="auto"/>
              </w:rPr>
            </w:pPr>
          </w:p>
        </w:tc>
        <w:tc>
          <w:tcPr>
            <w:tcW w:w="720" w:type="dxa"/>
            <w:vAlign w:val="bottom"/>
            <w:gridSpan w:val="2"/>
            <w:vMerge w:val="restart"/>
          </w:tcPr>
          <w:p>
            <w:pPr>
              <w:jc w:val="center"/>
              <w:ind w:right="118"/>
              <w:spacing w:after="0"/>
              <w:rPr>
                <w:sz w:val="20"/>
                <w:szCs w:val="20"/>
                <w:color w:val="auto"/>
              </w:rPr>
            </w:pPr>
            <w:r>
              <w:rPr>
                <w:rFonts w:ascii="Arial" w:cs="Arial" w:eastAsia="Arial" w:hAnsi="Arial"/>
                <w:sz w:val="13"/>
                <w:szCs w:val="13"/>
                <w:b w:val="1"/>
                <w:bCs w:val="1"/>
                <w:color w:val="auto"/>
                <w:w w:val="84"/>
              </w:rPr>
              <w:t>Exchange</w:t>
            </w:r>
          </w:p>
        </w:tc>
        <w:tc>
          <w:tcPr>
            <w:tcW w:w="10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9"/>
              </w:rPr>
              <w:t>Balance at</w:t>
            </w:r>
          </w:p>
        </w:tc>
        <w:tc>
          <w:tcPr>
            <w:tcW w:w="0" w:type="dxa"/>
            <w:vAlign w:val="bottom"/>
          </w:tcPr>
          <w:p>
            <w:pPr>
              <w:spacing w:after="0"/>
              <w:rPr>
                <w:sz w:val="1"/>
                <w:szCs w:val="1"/>
                <w:color w:val="auto"/>
              </w:rPr>
            </w:pPr>
          </w:p>
        </w:tc>
      </w:tr>
      <w:tr>
        <w:trPr>
          <w:trHeight w:val="130"/>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balance at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0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between</w:t>
            </w:r>
          </w:p>
        </w:tc>
        <w:tc>
          <w:tcPr>
            <w:tcW w:w="100" w:type="dxa"/>
            <w:vAlign w:val="bottom"/>
          </w:tcPr>
          <w:p>
            <w:pPr>
              <w:spacing w:after="0"/>
              <w:rPr>
                <w:sz w:val="11"/>
                <w:szCs w:val="11"/>
                <w:color w:val="auto"/>
              </w:rPr>
            </w:pPr>
          </w:p>
        </w:tc>
        <w:tc>
          <w:tcPr>
            <w:tcW w:w="70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Stage 3</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January 1,</w:t>
            </w:r>
          </w:p>
        </w:tc>
        <w:tc>
          <w:tcPr>
            <w:tcW w:w="80" w:type="dxa"/>
            <w:vAlign w:val="bottom"/>
          </w:tcPr>
          <w:p>
            <w:pPr>
              <w:spacing w:after="0"/>
              <w:rPr>
                <w:sz w:val="14"/>
                <w:szCs w:val="14"/>
                <w:color w:val="auto"/>
              </w:rPr>
            </w:pPr>
          </w:p>
        </w:tc>
        <w:tc>
          <w:tcPr>
            <w:tcW w:w="720" w:type="dxa"/>
            <w:vAlign w:val="bottom"/>
            <w:gridSpan w:val="3"/>
          </w:tcPr>
          <w:p>
            <w:pPr>
              <w:jc w:val="right"/>
              <w:ind w:right="98"/>
              <w:spacing w:after="0"/>
              <w:rPr>
                <w:sz w:val="20"/>
                <w:szCs w:val="20"/>
                <w:color w:val="auto"/>
              </w:rPr>
            </w:pPr>
            <w:r>
              <w:rPr>
                <w:rFonts w:ascii="Arial" w:cs="Arial" w:eastAsia="Arial" w:hAnsi="Arial"/>
                <w:sz w:val="13"/>
                <w:szCs w:val="13"/>
                <w:b w:val="1"/>
                <w:bCs w:val="1"/>
                <w:color w:val="auto"/>
                <w:w w:val="82"/>
              </w:rPr>
              <w:t>Transfer to</w:t>
            </w:r>
          </w:p>
        </w:tc>
        <w:tc>
          <w:tcPr>
            <w:tcW w:w="100" w:type="dxa"/>
            <w:vAlign w:val="bottom"/>
          </w:tcPr>
          <w:p>
            <w:pPr>
              <w:spacing w:after="0"/>
              <w:rPr>
                <w:sz w:val="14"/>
                <w:szCs w:val="14"/>
                <w:color w:val="auto"/>
              </w:rPr>
            </w:pPr>
          </w:p>
        </w:tc>
        <w:tc>
          <w:tcPr>
            <w:tcW w:w="8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2"/>
              </w:rPr>
              <w:t>Transfer to</w:t>
            </w:r>
          </w:p>
        </w:tc>
        <w:tc>
          <w:tcPr>
            <w:tcW w:w="8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from</w:t>
            </w:r>
          </w:p>
        </w:tc>
        <w:tc>
          <w:tcPr>
            <w:tcW w:w="8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from</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9"/>
              </w:rPr>
              <w:t>liquidation,</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1"/>
              </w:rPr>
              <w:t>PDs, LGDs,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2"/>
              </w:rPr>
              <w:t>loan</w:t>
            </w:r>
          </w:p>
        </w:tc>
        <w:tc>
          <w:tcPr>
            <w:tcW w:w="80" w:type="dxa"/>
            <w:vAlign w:val="bottom"/>
          </w:tcPr>
          <w:p>
            <w:pPr>
              <w:spacing w:after="0"/>
              <w:rPr>
                <w:sz w:val="14"/>
                <w:szCs w:val="14"/>
                <w:color w:val="auto"/>
              </w:rPr>
            </w:pPr>
          </w:p>
        </w:tc>
        <w:tc>
          <w:tcPr>
            <w:tcW w:w="720" w:type="dxa"/>
            <w:vAlign w:val="bottom"/>
            <w:gridSpan w:val="2"/>
          </w:tcPr>
          <w:p>
            <w:pPr>
              <w:jc w:val="center"/>
              <w:ind w:right="98"/>
              <w:spacing w:after="0"/>
              <w:rPr>
                <w:sz w:val="20"/>
                <w:szCs w:val="20"/>
                <w:color w:val="auto"/>
              </w:rPr>
            </w:pPr>
            <w:r>
              <w:rPr>
                <w:rFonts w:ascii="Arial" w:cs="Arial" w:eastAsia="Arial" w:hAnsi="Arial"/>
                <w:sz w:val="13"/>
                <w:szCs w:val="13"/>
                <w:b w:val="1"/>
                <w:bCs w:val="1"/>
                <w:color w:val="auto"/>
                <w:w w:val="83"/>
              </w:rPr>
              <w:t>differences</w:t>
            </w: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b w:val="1"/>
                <w:bCs w:val="1"/>
                <w:color w:val="auto"/>
                <w:w w:val="89"/>
              </w:rPr>
              <w:t>December</w:t>
            </w:r>
          </w:p>
        </w:tc>
        <w:tc>
          <w:tcPr>
            <w:tcW w:w="0" w:type="dxa"/>
            <w:vAlign w:val="bottom"/>
          </w:tcPr>
          <w:p>
            <w:pPr>
              <w:spacing w:after="0"/>
              <w:rPr>
                <w:sz w:val="1"/>
                <w:szCs w:val="1"/>
                <w:color w:val="auto"/>
              </w:rPr>
            </w:pPr>
          </w:p>
        </w:tc>
      </w:tr>
      <w:tr>
        <w:trPr>
          <w:trHeight w:val="122"/>
        </w:trPr>
        <w:tc>
          <w:tcPr>
            <w:tcW w:w="102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Loans by class</w:t>
            </w:r>
          </w:p>
        </w:tc>
        <w:tc>
          <w:tcPr>
            <w:tcW w:w="20" w:type="dxa"/>
            <w:vAlign w:val="bottom"/>
          </w:tcPr>
          <w:p>
            <w:pPr>
              <w:spacing w:after="0"/>
              <w:rPr>
                <w:sz w:val="10"/>
                <w:szCs w:val="10"/>
                <w:color w:val="auto"/>
              </w:rPr>
            </w:pPr>
          </w:p>
        </w:tc>
        <w:tc>
          <w:tcPr>
            <w:tcW w:w="720" w:type="dxa"/>
            <w:vAlign w:val="bottom"/>
            <w:gridSpan w:val="2"/>
          </w:tcPr>
          <w:p>
            <w:pPr>
              <w:jc w:val="right"/>
              <w:ind w:right="157"/>
              <w:spacing w:after="0" w:line="123"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right"/>
              <w:ind w:right="198"/>
              <w:spacing w:after="0" w:line="123" w:lineRule="exact"/>
              <w:rPr>
                <w:sz w:val="20"/>
                <w:szCs w:val="20"/>
                <w:color w:val="auto"/>
              </w:rPr>
            </w:pPr>
            <w:r>
              <w:rPr>
                <w:rFonts w:ascii="Arial" w:cs="Arial" w:eastAsia="Arial" w:hAnsi="Arial"/>
                <w:sz w:val="13"/>
                <w:szCs w:val="13"/>
                <w:b w:val="1"/>
                <w:bCs w:val="1"/>
                <w:color w:val="auto"/>
                <w:w w:val="99"/>
              </w:rPr>
              <w:t>Stage 1</w:t>
            </w:r>
          </w:p>
        </w:tc>
        <w:tc>
          <w:tcPr>
            <w:tcW w:w="100" w:type="dxa"/>
            <w:vAlign w:val="bottom"/>
          </w:tcPr>
          <w:p>
            <w:pPr>
              <w:spacing w:after="0"/>
              <w:rPr>
                <w:sz w:val="10"/>
                <w:szCs w:val="10"/>
                <w:color w:val="auto"/>
              </w:rPr>
            </w:pPr>
          </w:p>
        </w:tc>
        <w:tc>
          <w:tcPr>
            <w:tcW w:w="800" w:type="dxa"/>
            <w:vAlign w:val="bottom"/>
            <w:gridSpan w:val="4"/>
          </w:tcPr>
          <w:p>
            <w:pPr>
              <w:jc w:val="center"/>
              <w:ind w:right="260"/>
              <w:spacing w:after="0" w:line="123" w:lineRule="exact"/>
              <w:rPr>
                <w:sz w:val="20"/>
                <w:szCs w:val="20"/>
                <w:color w:val="auto"/>
              </w:rPr>
            </w:pPr>
            <w:r>
              <w:rPr>
                <w:rFonts w:ascii="Arial" w:cs="Arial" w:eastAsia="Arial" w:hAnsi="Arial"/>
                <w:sz w:val="13"/>
                <w:szCs w:val="13"/>
                <w:b w:val="1"/>
                <w:bCs w:val="1"/>
                <w:color w:val="auto"/>
                <w:w w:val="82"/>
              </w:rPr>
              <w:t>Stage 2</w:t>
            </w:r>
          </w:p>
        </w:tc>
        <w:tc>
          <w:tcPr>
            <w:tcW w:w="800" w:type="dxa"/>
            <w:vAlign w:val="bottom"/>
            <w:gridSpan w:val="3"/>
          </w:tcPr>
          <w:p>
            <w:pPr>
              <w:jc w:val="center"/>
              <w:ind w:right="260"/>
              <w:spacing w:after="0" w:line="123" w:lineRule="exact"/>
              <w:rPr>
                <w:sz w:val="20"/>
                <w:szCs w:val="20"/>
                <w:color w:val="auto"/>
              </w:rPr>
            </w:pPr>
            <w:r>
              <w:rPr>
                <w:rFonts w:ascii="Arial" w:cs="Arial" w:eastAsia="Arial" w:hAnsi="Arial"/>
                <w:sz w:val="13"/>
                <w:szCs w:val="13"/>
                <w:b w:val="1"/>
                <w:bCs w:val="1"/>
                <w:color w:val="auto"/>
                <w:w w:val="82"/>
              </w:rPr>
              <w:t>Stage 1</w:t>
            </w:r>
          </w:p>
        </w:tc>
        <w:tc>
          <w:tcPr>
            <w:tcW w:w="820" w:type="dxa"/>
            <w:vAlign w:val="bottom"/>
            <w:gridSpan w:val="3"/>
          </w:tcPr>
          <w:p>
            <w:pPr>
              <w:jc w:val="center"/>
              <w:ind w:right="260"/>
              <w:spacing w:after="0" w:line="123" w:lineRule="exact"/>
              <w:rPr>
                <w:sz w:val="20"/>
                <w:szCs w:val="20"/>
                <w:color w:val="auto"/>
              </w:rPr>
            </w:pPr>
            <w:r>
              <w:rPr>
                <w:rFonts w:ascii="Arial" w:cs="Arial" w:eastAsia="Arial" w:hAnsi="Arial"/>
                <w:sz w:val="13"/>
                <w:szCs w:val="13"/>
                <w:b w:val="1"/>
                <w:bCs w:val="1"/>
                <w:color w:val="auto"/>
                <w:w w:val="86"/>
              </w:rPr>
              <w:t>Stage 2</w:t>
            </w:r>
          </w:p>
        </w:tc>
        <w:tc>
          <w:tcPr>
            <w:tcW w:w="700" w:type="dxa"/>
            <w:vAlign w:val="bottom"/>
            <w:gridSpan w:val="2"/>
          </w:tcPr>
          <w:p>
            <w:pPr>
              <w:jc w:val="center"/>
              <w:ind w:right="180"/>
              <w:spacing w:after="0" w:line="123" w:lineRule="exact"/>
              <w:rPr>
                <w:sz w:val="20"/>
                <w:szCs w:val="20"/>
                <w:color w:val="auto"/>
              </w:rPr>
            </w:pPr>
            <w:r>
              <w:rPr>
                <w:rFonts w:ascii="Arial" w:cs="Arial" w:eastAsia="Arial" w:hAnsi="Arial"/>
                <w:sz w:val="13"/>
                <w:szCs w:val="13"/>
                <w:b w:val="1"/>
                <w:bCs w:val="1"/>
                <w:color w:val="auto"/>
                <w:w w:val="82"/>
              </w:rPr>
              <w:t>loans</w:t>
            </w: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92"/>
              </w:rPr>
              <w:t>net</w:t>
            </w: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23" w:lineRule="exact"/>
              <w:rPr>
                <w:sz w:val="20"/>
                <w:szCs w:val="20"/>
                <w:color w:val="auto"/>
              </w:rPr>
            </w:pPr>
            <w:r>
              <w:rPr>
                <w:rFonts w:ascii="Arial" w:cs="Arial" w:eastAsia="Arial" w:hAnsi="Arial"/>
                <w:sz w:val="13"/>
                <w:szCs w:val="13"/>
                <w:b w:val="1"/>
                <w:bCs w:val="1"/>
                <w:color w:val="auto"/>
              </w:rPr>
              <w:t>EADs</w:t>
            </w:r>
          </w:p>
        </w:tc>
        <w:tc>
          <w:tcPr>
            <w:tcW w:w="100" w:type="dxa"/>
            <w:vAlign w:val="bottom"/>
          </w:tcPr>
          <w:p>
            <w:pPr>
              <w:spacing w:after="0"/>
              <w:rPr>
                <w:sz w:val="10"/>
                <w:szCs w:val="10"/>
                <w:color w:val="auto"/>
              </w:rPr>
            </w:pPr>
          </w:p>
        </w:tc>
        <w:tc>
          <w:tcPr>
            <w:tcW w:w="800" w:type="dxa"/>
            <w:vAlign w:val="bottom"/>
            <w:gridSpan w:val="4"/>
          </w:tcPr>
          <w:p>
            <w:pPr>
              <w:spacing w:after="0" w:line="123" w:lineRule="exact"/>
              <w:rPr>
                <w:sz w:val="20"/>
                <w:szCs w:val="20"/>
                <w:color w:val="auto"/>
              </w:rPr>
            </w:pPr>
            <w:r>
              <w:rPr>
                <w:rFonts w:ascii="Arial" w:cs="Arial" w:eastAsia="Arial" w:hAnsi="Arial"/>
                <w:sz w:val="13"/>
                <w:szCs w:val="13"/>
                <w:b w:val="1"/>
                <w:bCs w:val="1"/>
                <w:color w:val="auto"/>
              </w:rPr>
              <w:t>Write-offs</w:t>
            </w:r>
          </w:p>
        </w:tc>
        <w:tc>
          <w:tcPr>
            <w:tcW w:w="720" w:type="dxa"/>
            <w:vAlign w:val="bottom"/>
            <w:gridSpan w:val="3"/>
          </w:tcPr>
          <w:p>
            <w:pPr>
              <w:jc w:val="center"/>
              <w:ind w:right="180"/>
              <w:spacing w:after="0" w:line="123" w:lineRule="exact"/>
              <w:rPr>
                <w:sz w:val="20"/>
                <w:szCs w:val="20"/>
                <w:color w:val="auto"/>
              </w:rPr>
            </w:pPr>
            <w:r>
              <w:rPr>
                <w:rFonts w:ascii="Arial" w:cs="Arial" w:eastAsia="Arial" w:hAnsi="Arial"/>
                <w:sz w:val="13"/>
                <w:szCs w:val="13"/>
                <w:b w:val="1"/>
                <w:bCs w:val="1"/>
                <w:color w:val="auto"/>
                <w:w w:val="87"/>
              </w:rPr>
              <w:t>portfolio</w:t>
            </w:r>
          </w:p>
        </w:tc>
        <w:tc>
          <w:tcPr>
            <w:tcW w:w="80" w:type="dxa"/>
            <w:vAlign w:val="bottom"/>
          </w:tcPr>
          <w:p>
            <w:pPr>
              <w:spacing w:after="0"/>
              <w:rPr>
                <w:sz w:val="10"/>
                <w:szCs w:val="10"/>
                <w:color w:val="auto"/>
              </w:rPr>
            </w:pPr>
          </w:p>
        </w:tc>
        <w:tc>
          <w:tcPr>
            <w:tcW w:w="720" w:type="dxa"/>
            <w:vAlign w:val="bottom"/>
            <w:gridSpan w:val="2"/>
          </w:tcPr>
          <w:p>
            <w:pPr>
              <w:jc w:val="center"/>
              <w:ind w:right="118"/>
              <w:spacing w:after="0" w:line="123" w:lineRule="exact"/>
              <w:rPr>
                <w:sz w:val="20"/>
                <w:szCs w:val="20"/>
                <w:color w:val="auto"/>
              </w:rPr>
            </w:pPr>
            <w:r>
              <w:rPr>
                <w:rFonts w:ascii="Arial" w:cs="Arial" w:eastAsia="Arial" w:hAnsi="Arial"/>
                <w:sz w:val="13"/>
                <w:szCs w:val="13"/>
                <w:b w:val="1"/>
                <w:bCs w:val="1"/>
                <w:color w:val="auto"/>
                <w:w w:val="84"/>
              </w:rPr>
              <w:t>and others</w:t>
            </w:r>
          </w:p>
        </w:tc>
        <w:tc>
          <w:tcPr>
            <w:tcW w:w="700" w:type="dxa"/>
            <w:vAlign w:val="bottom"/>
            <w:gridSpan w:val="2"/>
          </w:tcPr>
          <w:p>
            <w:pPr>
              <w:jc w:val="right"/>
              <w:ind w:right="57"/>
              <w:spacing w:after="0" w:line="123" w:lineRule="exact"/>
              <w:rPr>
                <w:sz w:val="20"/>
                <w:szCs w:val="20"/>
                <w:color w:val="auto"/>
              </w:rPr>
            </w:pPr>
            <w:r>
              <w:rPr>
                <w:rFonts w:ascii="Arial" w:cs="Arial" w:eastAsia="Arial" w:hAnsi="Arial"/>
                <w:sz w:val="13"/>
                <w:szCs w:val="13"/>
                <w:b w:val="1"/>
                <w:bCs w:val="1"/>
                <w:color w:val="auto"/>
              </w:rPr>
              <w:t>31, 2018</w:t>
            </w:r>
          </w:p>
        </w:tc>
        <w:tc>
          <w:tcPr>
            <w:tcW w:w="0" w:type="dxa"/>
            <w:vAlign w:val="bottom"/>
          </w:tcPr>
          <w:p>
            <w:pPr>
              <w:spacing w:after="0"/>
              <w:rPr>
                <w:sz w:val="1"/>
                <w:szCs w:val="1"/>
                <w:color w:val="auto"/>
              </w:rPr>
            </w:pPr>
          </w:p>
        </w:tc>
      </w:tr>
      <w:tr>
        <w:trPr>
          <w:trHeight w:val="122"/>
        </w:trPr>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jc w:val="right"/>
              <w:ind w:right="57"/>
              <w:spacing w:after="0" w:line="123" w:lineRule="exact"/>
              <w:rPr>
                <w:sz w:val="20"/>
                <w:szCs w:val="20"/>
                <w:color w:val="auto"/>
              </w:rPr>
            </w:pPr>
            <w:r>
              <w:rPr>
                <w:rFonts w:ascii="Arial" w:cs="Arial" w:eastAsia="Arial" w:hAnsi="Arial"/>
                <w:sz w:val="13"/>
                <w:szCs w:val="13"/>
                <w:b w:val="1"/>
                <w:bCs w:val="1"/>
                <w:color w:val="auto"/>
              </w:rPr>
              <w:t>S/(000)</w:t>
            </w:r>
          </w:p>
        </w:tc>
        <w:tc>
          <w:tcPr>
            <w:tcW w:w="1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gridSpan w:val="3"/>
          </w:tcPr>
          <w:p>
            <w:pPr>
              <w:spacing w:after="0"/>
              <w:rPr>
                <w:sz w:val="10"/>
                <w:szCs w:val="10"/>
                <w:color w:val="auto"/>
              </w:rPr>
            </w:pPr>
          </w:p>
        </w:tc>
        <w:tc>
          <w:tcPr>
            <w:tcW w:w="62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gridSpan w:val="2"/>
          </w:tcPr>
          <w:p>
            <w:pPr>
              <w:spacing w:after="0"/>
              <w:rPr>
                <w:sz w:val="10"/>
                <w:szCs w:val="10"/>
                <w:color w:val="auto"/>
              </w:rPr>
            </w:pPr>
          </w:p>
        </w:tc>
        <w:tc>
          <w:tcPr>
            <w:tcW w:w="62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gridSpan w:val="2"/>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ind w:right="57"/>
              <w:spacing w:after="0" w:line="123" w:lineRule="exact"/>
              <w:rPr>
                <w:sz w:val="20"/>
                <w:szCs w:val="20"/>
                <w:color w:val="auto"/>
              </w:rPr>
            </w:pPr>
            <w:r>
              <w:rPr>
                <w:rFonts w:ascii="Arial" w:cs="Arial" w:eastAsia="Arial" w:hAnsi="Arial"/>
                <w:sz w:val="13"/>
                <w:szCs w:val="13"/>
                <w:b w:val="1"/>
                <w:bCs w:val="1"/>
                <w:color w:val="auto"/>
              </w:rPr>
              <w:t>S/(000)</w:t>
            </w:r>
          </w:p>
        </w:tc>
        <w:tc>
          <w:tcPr>
            <w:tcW w:w="220" w:type="dxa"/>
            <w:vAlign w:val="bottom"/>
            <w:gridSpan w:val="3"/>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3"/>
                <w:szCs w:val="13"/>
                <w:b w:val="1"/>
                <w:bCs w:val="1"/>
                <w:color w:val="auto"/>
                <w:w w:val="89"/>
              </w:rPr>
              <w:t>S/(000)</w:t>
            </w:r>
          </w:p>
        </w:tc>
        <w:tc>
          <w:tcPr>
            <w:tcW w:w="0" w:type="dxa"/>
            <w:vAlign w:val="bottom"/>
          </w:tcPr>
          <w:p>
            <w:pPr>
              <w:spacing w:after="0"/>
              <w:rPr>
                <w:sz w:val="1"/>
                <w:szCs w:val="1"/>
                <w:color w:val="auto"/>
              </w:rPr>
            </w:pPr>
          </w:p>
        </w:tc>
      </w:tr>
      <w:tr>
        <w:trPr>
          <w:trHeight w:val="130"/>
        </w:trPr>
        <w:tc>
          <w:tcPr>
            <w:tcW w:w="10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w w:val="98"/>
              </w:rPr>
              <w:t>Commercial loans</w:t>
            </w:r>
          </w:p>
        </w:tc>
        <w:tc>
          <w:tcPr>
            <w:tcW w:w="72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1,259,257</w:t>
            </w:r>
          </w:p>
        </w:tc>
        <w:tc>
          <w:tcPr>
            <w:tcW w:w="10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38"/>
              <w:spacing w:after="0" w:line="131" w:lineRule="exact"/>
              <w:rPr>
                <w:sz w:val="20"/>
                <w:szCs w:val="20"/>
                <w:color w:val="auto"/>
              </w:rPr>
            </w:pPr>
            <w:r>
              <w:rPr>
                <w:rFonts w:ascii="Arial" w:cs="Arial" w:eastAsia="Arial" w:hAnsi="Arial"/>
                <w:sz w:val="13"/>
                <w:szCs w:val="13"/>
                <w:color w:val="auto"/>
              </w:rPr>
              <w:t>(10,864)</w:t>
            </w:r>
          </w:p>
        </w:tc>
        <w:tc>
          <w:tcPr>
            <w:tcW w:w="800" w:type="dxa"/>
            <w:vAlign w:val="bottom"/>
            <w:gridSpan w:val="4"/>
            <w:shd w:val="clear" w:color="auto" w:fill="CCEEFF"/>
          </w:tcPr>
          <w:p>
            <w:pPr>
              <w:jc w:val="right"/>
              <w:ind w:right="38"/>
              <w:spacing w:after="0" w:line="131" w:lineRule="exact"/>
              <w:rPr>
                <w:sz w:val="20"/>
                <w:szCs w:val="20"/>
                <w:color w:val="auto"/>
              </w:rPr>
            </w:pPr>
            <w:r>
              <w:rPr>
                <w:rFonts w:ascii="Arial" w:cs="Arial" w:eastAsia="Arial" w:hAnsi="Arial"/>
                <w:sz w:val="13"/>
                <w:szCs w:val="13"/>
                <w:color w:val="auto"/>
              </w:rPr>
              <w:t>(13,696)</w:t>
            </w: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6,647</w:t>
            </w: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20,602</w:t>
            </w: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(34,932)</w:t>
            </w:r>
          </w:p>
        </w:tc>
        <w:tc>
          <w:tcPr>
            <w:tcW w:w="72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37,701</w:t>
            </w: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294,960</w:t>
            </w:r>
          </w:p>
        </w:tc>
        <w:tc>
          <w:tcPr>
            <w:tcW w:w="10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(102,442)</w:t>
            </w: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(48,442)</w:t>
            </w:r>
          </w:p>
        </w:tc>
        <w:tc>
          <w:tcPr>
            <w:tcW w:w="800" w:type="dxa"/>
            <w:vAlign w:val="bottom"/>
            <w:gridSpan w:val="3"/>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(53,429)</w:t>
            </w:r>
          </w:p>
        </w:tc>
        <w:tc>
          <w:tcPr>
            <w:tcW w:w="70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1,355,362</w:t>
            </w:r>
          </w:p>
        </w:tc>
        <w:tc>
          <w:tcPr>
            <w:tcW w:w="0" w:type="dxa"/>
            <w:vAlign w:val="bottom"/>
          </w:tcPr>
          <w:p>
            <w:pPr>
              <w:spacing w:after="0"/>
              <w:rPr>
                <w:sz w:val="1"/>
                <w:szCs w:val="1"/>
                <w:color w:val="auto"/>
              </w:rPr>
            </w:pPr>
          </w:p>
        </w:tc>
      </w:tr>
      <w:tr>
        <w:trPr>
          <w:trHeight w:val="114"/>
        </w:trPr>
        <w:tc>
          <w:tcPr>
            <w:tcW w:w="1040" w:type="dxa"/>
            <w:vAlign w:val="bottom"/>
            <w:gridSpan w:val="2"/>
          </w:tcPr>
          <w:p>
            <w:pPr>
              <w:spacing w:after="0" w:line="114" w:lineRule="exact"/>
              <w:rPr>
                <w:sz w:val="20"/>
                <w:szCs w:val="20"/>
                <w:color w:val="auto"/>
              </w:rPr>
            </w:pPr>
            <w:r>
              <w:rPr>
                <w:rFonts w:ascii="Arial" w:cs="Arial" w:eastAsia="Arial" w:hAnsi="Arial"/>
                <w:sz w:val="13"/>
                <w:szCs w:val="13"/>
                <w:color w:val="auto"/>
              </w:rPr>
              <w:t>Residential</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40" w:type="dxa"/>
            <w:vAlign w:val="bottom"/>
            <w:gridSpan w:val="2"/>
          </w:tcPr>
          <w:p>
            <w:pPr>
              <w:spacing w:after="0" w:line="146" w:lineRule="exact"/>
              <w:rPr>
                <w:sz w:val="20"/>
                <w:szCs w:val="20"/>
                <w:color w:val="auto"/>
              </w:rPr>
            </w:pPr>
            <w:r>
              <w:rPr>
                <w:rFonts w:ascii="Arial" w:cs="Arial" w:eastAsia="Arial" w:hAnsi="Arial"/>
                <w:sz w:val="13"/>
                <w:szCs w:val="13"/>
                <w:color w:val="auto"/>
              </w:rPr>
              <w:t>mortgage loans</w:t>
            </w: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411,087</w:t>
            </w:r>
          </w:p>
        </w:tc>
        <w:tc>
          <w:tcPr>
            <w:tcW w:w="100" w:type="dxa"/>
            <w:vAlign w:val="bottom"/>
          </w:tcPr>
          <w:p>
            <w:pPr>
              <w:spacing w:after="0"/>
              <w:rPr>
                <w:sz w:val="12"/>
                <w:szCs w:val="12"/>
                <w:color w:val="auto"/>
              </w:rPr>
            </w:pPr>
          </w:p>
        </w:tc>
        <w:tc>
          <w:tcPr>
            <w:tcW w:w="800" w:type="dxa"/>
            <w:vAlign w:val="bottom"/>
            <w:gridSpan w:val="4"/>
          </w:tcPr>
          <w:p>
            <w:pPr>
              <w:jc w:val="right"/>
              <w:ind w:right="38"/>
              <w:spacing w:after="0" w:line="146" w:lineRule="exact"/>
              <w:rPr>
                <w:sz w:val="20"/>
                <w:szCs w:val="20"/>
                <w:color w:val="auto"/>
              </w:rPr>
            </w:pPr>
            <w:r>
              <w:rPr>
                <w:rFonts w:ascii="Arial" w:cs="Arial" w:eastAsia="Arial" w:hAnsi="Arial"/>
                <w:sz w:val="13"/>
                <w:szCs w:val="13"/>
                <w:color w:val="auto"/>
              </w:rPr>
              <w:t>(5,556)</w:t>
            </w:r>
          </w:p>
        </w:tc>
        <w:tc>
          <w:tcPr>
            <w:tcW w:w="800" w:type="dxa"/>
            <w:vAlign w:val="bottom"/>
            <w:gridSpan w:val="4"/>
          </w:tcPr>
          <w:p>
            <w:pPr>
              <w:jc w:val="right"/>
              <w:ind w:right="38"/>
              <w:spacing w:after="0" w:line="146" w:lineRule="exact"/>
              <w:rPr>
                <w:sz w:val="20"/>
                <w:szCs w:val="20"/>
                <w:color w:val="auto"/>
              </w:rPr>
            </w:pPr>
            <w:r>
              <w:rPr>
                <w:rFonts w:ascii="Arial" w:cs="Arial" w:eastAsia="Arial" w:hAnsi="Arial"/>
                <w:sz w:val="13"/>
                <w:szCs w:val="13"/>
                <w:color w:val="auto"/>
              </w:rPr>
              <w:t>(3,201)</w:t>
            </w:r>
          </w:p>
        </w:tc>
        <w:tc>
          <w:tcPr>
            <w:tcW w:w="10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817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2,945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302</w:t>
            </w:r>
          </w:p>
        </w:tc>
        <w:tc>
          <w:tcPr>
            <w:tcW w:w="100" w:type="dxa"/>
            <w:vAlign w:val="bottom"/>
          </w:tcPr>
          <w:p>
            <w:pPr>
              <w:spacing w:after="0"/>
              <w:rPr>
                <w:sz w:val="12"/>
                <w:szCs w:val="12"/>
                <w:color w:val="auto"/>
              </w:rPr>
            </w:pPr>
          </w:p>
        </w:tc>
        <w:tc>
          <w:tcPr>
            <w:tcW w:w="80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(45,198)</w:t>
            </w:r>
          </w:p>
        </w:tc>
        <w:tc>
          <w:tcPr>
            <w:tcW w:w="7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142,064</w:t>
            </w:r>
          </w:p>
        </w:tc>
        <w:tc>
          <w:tcPr>
            <w:tcW w:w="100" w:type="dxa"/>
            <w:vAlign w:val="bottom"/>
          </w:tcPr>
          <w:p>
            <w:pPr>
              <w:spacing w:after="0"/>
              <w:rPr>
                <w:sz w:val="12"/>
                <w:szCs w:val="12"/>
                <w:color w:val="auto"/>
              </w:rPr>
            </w:pPr>
          </w:p>
        </w:tc>
        <w:tc>
          <w:tcPr>
            <w:tcW w:w="800" w:type="dxa"/>
            <w:vAlign w:val="bottom"/>
            <w:gridSpan w:val="4"/>
          </w:tcPr>
          <w:p>
            <w:pPr>
              <w:jc w:val="right"/>
              <w:ind w:right="17"/>
              <w:spacing w:after="0" w:line="146" w:lineRule="exact"/>
              <w:rPr>
                <w:sz w:val="20"/>
                <w:szCs w:val="20"/>
                <w:color w:val="auto"/>
              </w:rPr>
            </w:pPr>
            <w:r>
              <w:rPr>
                <w:rFonts w:ascii="Arial" w:cs="Arial" w:eastAsia="Arial" w:hAnsi="Arial"/>
                <w:sz w:val="13"/>
                <w:szCs w:val="13"/>
                <w:color w:val="auto"/>
              </w:rPr>
              <w:t>(11,478)</w:t>
            </w: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(32,089)</w:t>
            </w:r>
          </w:p>
        </w:tc>
        <w:tc>
          <w:tcPr>
            <w:tcW w:w="6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10,593</w:t>
            </w:r>
          </w:p>
        </w:tc>
        <w:tc>
          <w:tcPr>
            <w:tcW w:w="140" w:type="dxa"/>
            <w:vAlign w:val="bottom"/>
          </w:tcPr>
          <w:p>
            <w:pPr>
              <w:spacing w:after="0"/>
              <w:rPr>
                <w:sz w:val="12"/>
                <w:szCs w:val="12"/>
                <w:color w:val="auto"/>
              </w:rPr>
            </w:pP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470,286</w:t>
            </w:r>
          </w:p>
        </w:tc>
        <w:tc>
          <w:tcPr>
            <w:tcW w:w="0" w:type="dxa"/>
            <w:vAlign w:val="bottom"/>
          </w:tcPr>
          <w:p>
            <w:pPr>
              <w:spacing w:after="0"/>
              <w:rPr>
                <w:sz w:val="1"/>
                <w:szCs w:val="1"/>
                <w:color w:val="auto"/>
              </w:rPr>
            </w:pPr>
          </w:p>
        </w:tc>
      </w:tr>
      <w:tr>
        <w:trPr>
          <w:trHeight w:val="114"/>
        </w:trPr>
        <w:tc>
          <w:tcPr>
            <w:tcW w:w="104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Micro-business</w:t>
            </w: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lef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loans</w:t>
            </w:r>
          </w:p>
        </w:tc>
        <w:tc>
          <w:tcPr>
            <w:tcW w:w="72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1,001,287</w:t>
            </w:r>
          </w:p>
        </w:tc>
        <w:tc>
          <w:tcPr>
            <w:tcW w:w="10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38"/>
              <w:spacing w:after="0" w:line="146" w:lineRule="exact"/>
              <w:rPr>
                <w:sz w:val="20"/>
                <w:szCs w:val="20"/>
                <w:color w:val="auto"/>
              </w:rPr>
            </w:pPr>
            <w:r>
              <w:rPr>
                <w:rFonts w:ascii="Arial" w:cs="Arial" w:eastAsia="Arial" w:hAnsi="Arial"/>
                <w:sz w:val="13"/>
                <w:szCs w:val="13"/>
                <w:color w:val="auto"/>
              </w:rPr>
              <w:t>(13,148)</w:t>
            </w:r>
          </w:p>
        </w:tc>
        <w:tc>
          <w:tcPr>
            <w:tcW w:w="800" w:type="dxa"/>
            <w:vAlign w:val="bottom"/>
            <w:gridSpan w:val="4"/>
            <w:shd w:val="clear" w:color="auto" w:fill="CCEEFF"/>
          </w:tcPr>
          <w:p>
            <w:pPr>
              <w:jc w:val="right"/>
              <w:ind w:right="38"/>
              <w:spacing w:after="0" w:line="146" w:lineRule="exact"/>
              <w:rPr>
                <w:sz w:val="20"/>
                <w:szCs w:val="20"/>
                <w:color w:val="auto"/>
              </w:rPr>
            </w:pPr>
            <w:r>
              <w:rPr>
                <w:rFonts w:ascii="Arial" w:cs="Arial" w:eastAsia="Arial" w:hAnsi="Arial"/>
                <w:sz w:val="13"/>
                <w:szCs w:val="13"/>
                <w:color w:val="auto"/>
              </w:rPr>
              <w:t>(7,817)</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17,238</w:t>
            </w: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43,715</w:t>
            </w: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34,709</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13,267</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296,807</w:t>
            </w:r>
          </w:p>
        </w:tc>
        <w:tc>
          <w:tcPr>
            <w:tcW w:w="10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(340,693)</w:t>
            </w: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(67,682)</w:t>
            </w:r>
          </w:p>
        </w:tc>
        <w:tc>
          <w:tcPr>
            <w:tcW w:w="6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1,610</w:t>
            </w:r>
          </w:p>
        </w:tc>
        <w:tc>
          <w:tcPr>
            <w:tcW w:w="140" w:type="dxa"/>
            <w:vAlign w:val="bottom"/>
            <w:tcBorders>
              <w:lef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979,293</w:t>
            </w:r>
          </w:p>
        </w:tc>
        <w:tc>
          <w:tcPr>
            <w:tcW w:w="0" w:type="dxa"/>
            <w:vAlign w:val="bottom"/>
          </w:tcPr>
          <w:p>
            <w:pPr>
              <w:spacing w:after="0"/>
              <w:rPr>
                <w:sz w:val="1"/>
                <w:szCs w:val="1"/>
                <w:color w:val="auto"/>
              </w:rPr>
            </w:pPr>
          </w:p>
        </w:tc>
      </w:tr>
      <w:tr>
        <w:trPr>
          <w:trHeight w:val="142"/>
        </w:trPr>
        <w:tc>
          <w:tcPr>
            <w:tcW w:w="104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7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684,728</w:t>
            </w:r>
          </w:p>
        </w:tc>
        <w:tc>
          <w:tcPr>
            <w:tcW w:w="100" w:type="dxa"/>
            <w:vAlign w:val="bottom"/>
          </w:tcPr>
          <w:p>
            <w:pPr>
              <w:spacing w:after="0"/>
              <w:rPr>
                <w:sz w:val="12"/>
                <w:szCs w:val="12"/>
                <w:color w:val="auto"/>
              </w:rPr>
            </w:pPr>
          </w:p>
        </w:tc>
        <w:tc>
          <w:tcPr>
            <w:tcW w:w="800" w:type="dxa"/>
            <w:vAlign w:val="bottom"/>
            <w:gridSpan w:val="4"/>
          </w:tcPr>
          <w:p>
            <w:pPr>
              <w:jc w:val="right"/>
              <w:ind w:right="38"/>
              <w:spacing w:after="0" w:line="143" w:lineRule="exact"/>
              <w:rPr>
                <w:sz w:val="20"/>
                <w:szCs w:val="20"/>
                <w:color w:val="auto"/>
              </w:rPr>
            </w:pPr>
            <w:r>
              <w:rPr>
                <w:rFonts w:ascii="Arial" w:cs="Arial" w:eastAsia="Arial" w:hAnsi="Arial"/>
                <w:sz w:val="13"/>
                <w:szCs w:val="13"/>
                <w:color w:val="auto"/>
              </w:rPr>
              <w:t>(19,765)</w:t>
            </w:r>
          </w:p>
        </w:tc>
        <w:tc>
          <w:tcPr>
            <w:tcW w:w="800" w:type="dxa"/>
            <w:vAlign w:val="bottom"/>
            <w:gridSpan w:val="4"/>
          </w:tcPr>
          <w:p>
            <w:pPr>
              <w:jc w:val="right"/>
              <w:ind w:right="38"/>
              <w:spacing w:after="0" w:line="143" w:lineRule="exact"/>
              <w:rPr>
                <w:sz w:val="20"/>
                <w:szCs w:val="20"/>
                <w:color w:val="auto"/>
              </w:rPr>
            </w:pPr>
            <w:r>
              <w:rPr>
                <w:rFonts w:ascii="Arial" w:cs="Arial" w:eastAsia="Arial" w:hAnsi="Arial"/>
                <w:sz w:val="13"/>
                <w:szCs w:val="13"/>
                <w:color w:val="auto"/>
              </w:rPr>
              <w:t>(22,834)</w:t>
            </w:r>
          </w:p>
        </w:tc>
        <w:tc>
          <w:tcPr>
            <w:tcW w:w="10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9,568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53,473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(79)</w:t>
            </w:r>
          </w:p>
        </w:tc>
        <w:tc>
          <w:tcPr>
            <w:tcW w:w="7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21,316</w:t>
            </w:r>
          </w:p>
        </w:tc>
        <w:tc>
          <w:tcPr>
            <w:tcW w:w="80" w:type="dxa"/>
            <w:vAlign w:val="bottom"/>
          </w:tcPr>
          <w:p>
            <w:pPr>
              <w:spacing w:after="0"/>
              <w:rPr>
                <w:sz w:val="12"/>
                <w:szCs w:val="12"/>
                <w:color w:val="auto"/>
              </w:rPr>
            </w:pPr>
          </w:p>
        </w:tc>
        <w:tc>
          <w:tcPr>
            <w:tcW w:w="7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294,521</w:t>
            </w:r>
          </w:p>
        </w:tc>
        <w:tc>
          <w:tcPr>
            <w:tcW w:w="100" w:type="dxa"/>
            <w:vAlign w:val="bottom"/>
          </w:tcPr>
          <w:p>
            <w:pPr>
              <w:spacing w:after="0"/>
              <w:rPr>
                <w:sz w:val="12"/>
                <w:szCs w:val="12"/>
                <w:color w:val="auto"/>
              </w:rPr>
            </w:pPr>
          </w:p>
        </w:tc>
        <w:tc>
          <w:tcPr>
            <w:tcW w:w="800" w:type="dxa"/>
            <w:vAlign w:val="bottom"/>
            <w:gridSpan w:val="4"/>
          </w:tcPr>
          <w:p>
            <w:pPr>
              <w:jc w:val="right"/>
              <w:ind w:right="17"/>
              <w:spacing w:after="0" w:line="143" w:lineRule="exact"/>
              <w:rPr>
                <w:sz w:val="20"/>
                <w:szCs w:val="20"/>
                <w:color w:val="auto"/>
              </w:rPr>
            </w:pPr>
            <w:r>
              <w:rPr>
                <w:rFonts w:ascii="Arial" w:cs="Arial" w:eastAsia="Arial" w:hAnsi="Arial"/>
                <w:sz w:val="13"/>
                <w:szCs w:val="13"/>
                <w:color w:val="auto"/>
              </w:rPr>
              <w:t>(406,577)</w:t>
            </w: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(10,338)</w:t>
            </w:r>
          </w:p>
        </w:tc>
        <w:tc>
          <w:tcPr>
            <w:tcW w:w="6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5,262</w:t>
            </w:r>
          </w:p>
        </w:tc>
        <w:tc>
          <w:tcPr>
            <w:tcW w:w="140" w:type="dxa"/>
            <w:vAlign w:val="bottom"/>
          </w:tcPr>
          <w:p>
            <w:pPr>
              <w:spacing w:after="0"/>
              <w:rPr>
                <w:sz w:val="12"/>
                <w:szCs w:val="12"/>
                <w:color w:val="auto"/>
              </w:rPr>
            </w:pPr>
          </w:p>
        </w:tc>
        <w:tc>
          <w:tcPr>
            <w:tcW w:w="7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609,275</w:t>
            </w:r>
          </w:p>
        </w:tc>
        <w:tc>
          <w:tcPr>
            <w:tcW w:w="0" w:type="dxa"/>
            <w:vAlign w:val="bottom"/>
          </w:tcPr>
          <w:p>
            <w:pPr>
              <w:spacing w:after="0"/>
              <w:rPr>
                <w:sz w:val="1"/>
                <w:szCs w:val="1"/>
                <w:color w:val="auto"/>
              </w:rPr>
            </w:pPr>
          </w:p>
        </w:tc>
      </w:tr>
      <w:tr>
        <w:trPr>
          <w:trHeight w:val="134"/>
        </w:trPr>
        <w:tc>
          <w:tcPr>
            <w:tcW w:w="104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6"/>
              </w:rPr>
              <w:t>3,356,359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(49,333</w:t>
            </w:r>
          </w:p>
        </w:tc>
        <w:tc>
          <w:tcPr>
            <w:tcW w:w="140" w:type="dxa"/>
            <w:vAlign w:val="bottom"/>
            <w:tcBorders>
              <w:top w:val="single" w:sz="8" w:color="CCEEFF"/>
              <w:bottom w:val="single" w:sz="8" w:color="CCEEFF"/>
            </w:tcBorders>
            <w:gridSpan w:val="2"/>
            <w:shd w:val="clear" w:color="auto" w:fill="CCEEFF"/>
          </w:tcPr>
          <w:p>
            <w:pPr>
              <w:jc w:val="right"/>
              <w:ind w:right="38"/>
              <w:spacing w:after="0" w:line="134"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(47,548</w:t>
            </w:r>
          </w:p>
        </w:tc>
        <w:tc>
          <w:tcPr>
            <w:tcW w:w="120" w:type="dxa"/>
            <w:vAlign w:val="bottom"/>
            <w:tcBorders>
              <w:top w:val="single" w:sz="8" w:color="CCEEFF"/>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34,270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120,735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27,086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right w:val="single" w:sz="8" w:color="CCEEFF"/>
            </w:tcBorders>
            <w:shd w:val="clear" w:color="auto" w:fill="CCEEFF"/>
          </w:tcPr>
          <w:p>
            <w:pPr>
              <w:ind w:left="100"/>
              <w:spacing w:after="0" w:line="134" w:lineRule="exact"/>
              <w:rPr>
                <w:sz w:val="20"/>
                <w:szCs w:val="20"/>
                <w:color w:val="auto"/>
              </w:rPr>
            </w:pPr>
            <w:r>
              <w:rPr>
                <w:rFonts w:ascii="Arial" w:cs="Arial" w:eastAsia="Arial" w:hAnsi="Arial"/>
                <w:sz w:val="13"/>
                <w:szCs w:val="13"/>
                <w:color w:val="auto"/>
                <w:w w:val="86"/>
              </w:rPr>
              <w:t>1,028,352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(861,190</w:t>
            </w:r>
          </w:p>
        </w:tc>
        <w:tc>
          <w:tcPr>
            <w:tcW w:w="120" w:type="dxa"/>
            <w:vAlign w:val="bottom"/>
            <w:tcBorders>
              <w:top w:val="single" w:sz="8" w:color="CCEEFF"/>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(158,551</w:t>
            </w:r>
          </w:p>
        </w:tc>
        <w:tc>
          <w:tcPr>
            <w:tcW w:w="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(35,964</w:t>
            </w:r>
          </w:p>
        </w:tc>
        <w:tc>
          <w:tcPr>
            <w:tcW w:w="140" w:type="dxa"/>
            <w:vAlign w:val="bottom"/>
            <w:tcBorders>
              <w:top w:val="single" w:sz="8" w:color="CCEEFF"/>
              <w:left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3"/>
              </w:rPr>
              <w:t>3,414,216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21"/>
          </w:cols>
          <w:pgMar w:left="519" w:top="814" w:right="4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50"/>
        </w:trPr>
        <w:tc>
          <w:tcPr>
            <w:tcW w:w="2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Consolidated 3 Stages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Restated</w:t>
            </w: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Transfers</w:t>
            </w:r>
          </w:p>
        </w:tc>
        <w:tc>
          <w:tcPr>
            <w:tcW w:w="15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92"/>
              </w:rPr>
              <w:t>Credit loss of the period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89"/>
              </w:rPr>
              <w:t>Balance at</w:t>
            </w: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Effect of</w:t>
            </w:r>
          </w:p>
        </w:tc>
        <w:tc>
          <w:tcPr>
            <w:tcW w:w="8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6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rPr>
              <w:t>New loans</w:t>
            </w: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Changes in</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restart"/>
          </w:tcPr>
          <w:p>
            <w:pPr>
              <w:jc w:val="center"/>
              <w:ind w:right="158"/>
              <w:spacing w:after="0"/>
              <w:rPr>
                <w:sz w:val="20"/>
                <w:szCs w:val="20"/>
                <w:color w:val="auto"/>
              </w:rPr>
            </w:pPr>
            <w:r>
              <w:rPr>
                <w:rFonts w:ascii="Arial" w:cs="Arial" w:eastAsia="Arial" w:hAnsi="Arial"/>
                <w:sz w:val="13"/>
                <w:szCs w:val="13"/>
                <w:b w:val="1"/>
                <w:bCs w:val="1"/>
                <w:color w:val="auto"/>
                <w:w w:val="84"/>
              </w:rPr>
              <w:t>Sale of</w:t>
            </w:r>
          </w:p>
        </w:tc>
        <w:tc>
          <w:tcPr>
            <w:tcW w:w="80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7"/>
              </w:rPr>
              <w:t>Exchange</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30"/>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balance at</w:t>
            </w:r>
          </w:p>
        </w:tc>
        <w:tc>
          <w:tcPr>
            <w:tcW w:w="8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between</w:t>
            </w:r>
          </w:p>
        </w:tc>
        <w:tc>
          <w:tcPr>
            <w:tcW w:w="8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and</w:t>
            </w:r>
          </w:p>
        </w:tc>
        <w:tc>
          <w:tcPr>
            <w:tcW w:w="86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w w:val="92"/>
              </w:rPr>
              <w:t>December</w:t>
            </w:r>
          </w:p>
        </w:tc>
        <w:tc>
          <w:tcPr>
            <w:tcW w:w="8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7"/>
              </w:rPr>
              <w:t>adopting</w:t>
            </w:r>
          </w:p>
        </w:tc>
        <w:tc>
          <w:tcPr>
            <w:tcW w:w="84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0"/>
              </w:rPr>
              <w:t>January 1,</w:t>
            </w:r>
          </w:p>
        </w:tc>
        <w:tc>
          <w:tcPr>
            <w:tcW w:w="86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79"/>
              </w:rPr>
              <w:t>classes of</w:t>
            </w:r>
          </w:p>
        </w:tc>
        <w:tc>
          <w:tcPr>
            <w:tcW w:w="86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9"/>
              </w:rPr>
              <w:t>liquidation,</w:t>
            </w:r>
          </w:p>
        </w:tc>
        <w:tc>
          <w:tcPr>
            <w:tcW w:w="8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0"/>
              </w:rPr>
              <w:t>PDs, LGDs,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58"/>
              <w:spacing w:after="0" w:line="143" w:lineRule="exact"/>
              <w:rPr>
                <w:sz w:val="20"/>
                <w:szCs w:val="20"/>
                <w:color w:val="auto"/>
              </w:rPr>
            </w:pPr>
            <w:r>
              <w:rPr>
                <w:rFonts w:ascii="Arial" w:cs="Arial" w:eastAsia="Arial" w:hAnsi="Arial"/>
                <w:sz w:val="13"/>
                <w:szCs w:val="13"/>
                <w:b w:val="1"/>
                <w:bCs w:val="1"/>
                <w:color w:val="auto"/>
                <w:w w:val="89"/>
              </w:rPr>
              <w:t>loan</w:t>
            </w:r>
          </w:p>
        </w:tc>
        <w:tc>
          <w:tcPr>
            <w:tcW w:w="800" w:type="dxa"/>
            <w:vAlign w:val="bottom"/>
            <w:gridSpan w:val="2"/>
          </w:tcPr>
          <w:p>
            <w:pPr>
              <w:jc w:val="center"/>
              <w:ind w:right="138"/>
              <w:spacing w:after="0" w:line="143" w:lineRule="exact"/>
              <w:rPr>
                <w:sz w:val="20"/>
                <w:szCs w:val="20"/>
                <w:color w:val="auto"/>
              </w:rPr>
            </w:pPr>
            <w:r>
              <w:rPr>
                <w:rFonts w:ascii="Arial" w:cs="Arial" w:eastAsia="Arial" w:hAnsi="Arial"/>
                <w:sz w:val="13"/>
                <w:szCs w:val="13"/>
                <w:b w:val="1"/>
                <w:bCs w:val="1"/>
                <w:color w:val="auto"/>
                <w:w w:val="83"/>
              </w:rPr>
              <w:t>differences</w:t>
            </w:r>
          </w:p>
        </w:tc>
        <w:tc>
          <w:tcPr>
            <w:tcW w:w="72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50"/>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Loans by class</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31, 2017</w:t>
            </w:r>
          </w:p>
        </w:tc>
        <w:tc>
          <w:tcPr>
            <w:tcW w:w="2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IFRS 9</w:t>
            </w: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loans</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net</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EADs</w:t>
            </w:r>
          </w:p>
        </w:tc>
        <w:tc>
          <w:tcPr>
            <w:tcW w:w="900" w:type="dxa"/>
            <w:vAlign w:val="bottom"/>
            <w:gridSpan w:val="2"/>
          </w:tcPr>
          <w:p>
            <w:pPr>
              <w:jc w:val="right"/>
              <w:ind w:right="238"/>
              <w:spacing w:after="0"/>
              <w:rPr>
                <w:sz w:val="20"/>
                <w:szCs w:val="20"/>
                <w:color w:val="auto"/>
              </w:rPr>
            </w:pPr>
            <w:r>
              <w:rPr>
                <w:rFonts w:ascii="Arial" w:cs="Arial" w:eastAsia="Arial" w:hAnsi="Arial"/>
                <w:sz w:val="13"/>
                <w:szCs w:val="13"/>
                <w:b w:val="1"/>
                <w:bCs w:val="1"/>
                <w:color w:val="auto"/>
                <w:w w:val="98"/>
              </w:rPr>
              <w:t>Write-offs</w:t>
            </w:r>
          </w:p>
        </w:tc>
        <w:tc>
          <w:tcPr>
            <w:tcW w:w="84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90"/>
              </w:rPr>
              <w:t>portfolio</w:t>
            </w:r>
          </w:p>
        </w:tc>
        <w:tc>
          <w:tcPr>
            <w:tcW w:w="80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7"/>
              </w:rPr>
              <w:t>and others</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8"/>
              </w:rPr>
              <w:t>31, 2018 (*)</w:t>
            </w:r>
          </w:p>
        </w:tc>
        <w:tc>
          <w:tcPr>
            <w:tcW w:w="0" w:type="dxa"/>
            <w:vAlign w:val="bottom"/>
          </w:tcPr>
          <w:p>
            <w:pPr>
              <w:spacing w:after="0"/>
              <w:rPr>
                <w:sz w:val="1"/>
                <w:szCs w:val="1"/>
                <w:color w:val="auto"/>
              </w:rPr>
            </w:pPr>
          </w:p>
        </w:tc>
      </w:tr>
      <w:tr>
        <w:trPr>
          <w:trHeight w:val="122"/>
        </w:trPr>
        <w:tc>
          <w:tcPr>
            <w:tcW w:w="2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Commercial loans</w:t>
            </w:r>
          </w:p>
        </w:tc>
        <w:tc>
          <w:tcPr>
            <w:tcW w:w="8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1,680,126</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(41,653)</w:t>
            </w:r>
          </w:p>
        </w:tc>
        <w:tc>
          <w:tcPr>
            <w:tcW w:w="8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1,638,473</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(29,948)</w:t>
            </w:r>
          </w:p>
        </w:tc>
        <w:tc>
          <w:tcPr>
            <w:tcW w:w="8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102,313</w:t>
            </w:r>
          </w:p>
        </w:tc>
        <w:tc>
          <w:tcPr>
            <w:tcW w:w="8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323,328</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(115,366)</w:t>
            </w:r>
          </w:p>
        </w:tc>
        <w:tc>
          <w:tcPr>
            <w:tcW w:w="84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(48,442)</w:t>
            </w:r>
          </w:p>
        </w:tc>
        <w:tc>
          <w:tcPr>
            <w:tcW w:w="8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(51,229)</w:t>
            </w:r>
          </w:p>
        </w:tc>
        <w:tc>
          <w:tcPr>
            <w:tcW w:w="7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1,819,129</w:t>
            </w:r>
          </w:p>
        </w:tc>
        <w:tc>
          <w:tcPr>
            <w:tcW w:w="0" w:type="dxa"/>
            <w:vAlign w:val="bottom"/>
          </w:tcPr>
          <w:p>
            <w:pPr>
              <w:spacing w:after="0"/>
              <w:rPr>
                <w:sz w:val="1"/>
                <w:szCs w:val="1"/>
                <w:color w:val="auto"/>
              </w:rPr>
            </w:pPr>
          </w:p>
        </w:tc>
      </w:tr>
      <w:tr>
        <w:trPr>
          <w:trHeight w:val="130"/>
        </w:trPr>
        <w:tc>
          <w:tcPr>
            <w:tcW w:w="2240" w:type="dxa"/>
            <w:vAlign w:val="bottom"/>
            <w:gridSpan w:val="2"/>
          </w:tcPr>
          <w:p>
            <w:pPr>
              <w:spacing w:after="0" w:line="131" w:lineRule="exact"/>
              <w:rPr>
                <w:sz w:val="20"/>
                <w:szCs w:val="20"/>
                <w:color w:val="auto"/>
              </w:rPr>
            </w:pPr>
            <w:r>
              <w:rPr>
                <w:rFonts w:ascii="Arial" w:cs="Arial" w:eastAsia="Arial" w:hAnsi="Arial"/>
                <w:sz w:val="13"/>
                <w:szCs w:val="13"/>
                <w:color w:val="auto"/>
              </w:rPr>
              <w:t>Residential mortgage loans</w:t>
            </w:r>
          </w:p>
        </w:tc>
        <w:tc>
          <w:tcPr>
            <w:tcW w:w="8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228,287</w:t>
            </w:r>
          </w:p>
        </w:tc>
        <w:tc>
          <w:tcPr>
            <w:tcW w:w="8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215,161</w:t>
            </w:r>
          </w:p>
        </w:tc>
        <w:tc>
          <w:tcPr>
            <w:tcW w:w="8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443,448</w:t>
            </w: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rPr>
              <w:t>758</w:t>
            </w:r>
          </w:p>
        </w:tc>
        <w:tc>
          <w:tcPr>
            <w:tcW w:w="220" w:type="dxa"/>
            <w:vAlign w:val="bottom"/>
          </w:tcPr>
          <w:p>
            <w:pPr>
              <w:spacing w:after="0"/>
              <w:rPr>
                <w:sz w:val="11"/>
                <w:szCs w:val="11"/>
                <w:color w:val="auto"/>
              </w:rPr>
            </w:pP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(35,763)</w:t>
            </w:r>
          </w:p>
        </w:tc>
        <w:tc>
          <w:tcPr>
            <w:tcW w:w="8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148,246</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(11,764)</w:t>
            </w:r>
          </w:p>
        </w:tc>
        <w:tc>
          <w:tcPr>
            <w:tcW w:w="84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(32,089)</w:t>
            </w:r>
          </w:p>
        </w:tc>
        <w:tc>
          <w:tcPr>
            <w:tcW w:w="8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11,333</w:t>
            </w:r>
          </w:p>
        </w:tc>
        <w:tc>
          <w:tcPr>
            <w:tcW w:w="7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524,169</w:t>
            </w:r>
          </w:p>
        </w:tc>
        <w:tc>
          <w:tcPr>
            <w:tcW w:w="0" w:type="dxa"/>
            <w:vAlign w:val="bottom"/>
          </w:tcPr>
          <w:p>
            <w:pPr>
              <w:spacing w:after="0"/>
              <w:rPr>
                <w:sz w:val="1"/>
                <w:szCs w:val="1"/>
                <w:color w:val="auto"/>
              </w:rPr>
            </w:pPr>
          </w:p>
        </w:tc>
      </w:tr>
      <w:tr>
        <w:trPr>
          <w:trHeight w:val="130"/>
        </w:trPr>
        <w:tc>
          <w:tcPr>
            <w:tcW w:w="22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Micro-business loans</w:t>
            </w:r>
          </w:p>
        </w:tc>
        <w:tc>
          <w:tcPr>
            <w:tcW w:w="8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1,476,578</w:t>
            </w:r>
          </w:p>
        </w:tc>
        <w:tc>
          <w:tcPr>
            <w:tcW w:w="8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156,069</w:t>
            </w:r>
          </w:p>
        </w:tc>
        <w:tc>
          <w:tcPr>
            <w:tcW w:w="8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1,632,647</w:t>
            </w:r>
          </w:p>
        </w:tc>
        <w:tc>
          <w:tcPr>
            <w:tcW w:w="8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29,453</w:t>
            </w:r>
          </w:p>
        </w:tc>
        <w:tc>
          <w:tcPr>
            <w:tcW w:w="8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123,557</w:t>
            </w:r>
          </w:p>
        </w:tc>
        <w:tc>
          <w:tcPr>
            <w:tcW w:w="8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552,459</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(695,445)</w:t>
            </w:r>
          </w:p>
        </w:tc>
        <w:tc>
          <w:tcPr>
            <w:tcW w:w="84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(67,682)</w:t>
            </w:r>
          </w:p>
        </w:tc>
        <w:tc>
          <w:tcPr>
            <w:tcW w:w="8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10,415</w:t>
            </w:r>
          </w:p>
        </w:tc>
        <w:tc>
          <w:tcPr>
            <w:tcW w:w="72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1,585,404</w:t>
            </w: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line="143" w:lineRule="exact"/>
              <w:rPr>
                <w:sz w:val="20"/>
                <w:szCs w:val="20"/>
                <w:color w:val="auto"/>
              </w:rPr>
            </w:pPr>
            <w:r>
              <w:rPr>
                <w:rFonts w:ascii="Arial" w:cs="Arial" w:eastAsia="Arial" w:hAnsi="Arial"/>
                <w:sz w:val="13"/>
                <w:szCs w:val="13"/>
                <w:color w:val="auto"/>
              </w:rPr>
              <w:t>Consumer loans</w:t>
            </w:r>
          </w:p>
        </w:tc>
        <w:tc>
          <w:tcPr>
            <w:tcW w:w="86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1,558,017</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(8,625)</w:t>
            </w:r>
          </w:p>
        </w:tc>
        <w:tc>
          <w:tcPr>
            <w:tcW w:w="84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1,549,392</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(263)</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117,345</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483,413</w:t>
            </w:r>
          </w:p>
        </w:tc>
        <w:tc>
          <w:tcPr>
            <w:tcW w:w="90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(759,621)</w:t>
            </w:r>
          </w:p>
        </w:tc>
        <w:tc>
          <w:tcPr>
            <w:tcW w:w="840" w:type="dxa"/>
            <w:vAlign w:val="bottom"/>
            <w:gridSpan w:val="2"/>
          </w:tcPr>
          <w:p>
            <w:pPr>
              <w:jc w:val="right"/>
              <w:ind w:right="118"/>
              <w:spacing w:after="0" w:line="143" w:lineRule="exact"/>
              <w:rPr>
                <w:sz w:val="20"/>
                <w:szCs w:val="20"/>
                <w:color w:val="auto"/>
              </w:rPr>
            </w:pPr>
            <w:r>
              <w:rPr>
                <w:rFonts w:ascii="Arial" w:cs="Arial" w:eastAsia="Arial" w:hAnsi="Arial"/>
                <w:sz w:val="13"/>
                <w:szCs w:val="13"/>
                <w:color w:val="auto"/>
              </w:rPr>
              <w:t>(10,338)</w:t>
            </w:r>
          </w:p>
        </w:tc>
        <w:tc>
          <w:tcPr>
            <w:tcW w:w="80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5,901</w:t>
            </w:r>
          </w:p>
        </w:tc>
        <w:tc>
          <w:tcPr>
            <w:tcW w:w="7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1,385,829</w:t>
            </w:r>
          </w:p>
        </w:tc>
        <w:tc>
          <w:tcPr>
            <w:tcW w:w="0" w:type="dxa"/>
            <w:vAlign w:val="bottom"/>
          </w:tcPr>
          <w:p>
            <w:pPr>
              <w:spacing w:after="0"/>
              <w:rPr>
                <w:sz w:val="1"/>
                <w:szCs w:val="1"/>
                <w:color w:val="auto"/>
              </w:rPr>
            </w:pPr>
          </w:p>
        </w:tc>
      </w:tr>
      <w:tr>
        <w:trPr>
          <w:trHeight w:val="134"/>
        </w:trPr>
        <w:tc>
          <w:tcPr>
            <w:tcW w:w="224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4,943,008</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320,952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5,263,960</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307,452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1,507,446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(1,582,196</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(158,551</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(23,580</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5,314,531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right="140" w:hanging="276"/>
        <w:spacing w:after="0" w:line="254" w:lineRule="auto"/>
        <w:tabs>
          <w:tab w:leader="none" w:pos="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movement in the allowance for loan losses of the period 2018 includes the allowance for direct and indirect loans for approximately S/4,952.4 million y S/362.1 million, respectively. The allowance for indirect loan losses is included in “Other liabilities” of the consolidated statement of financial position, Note 12(a). In Management’s opinion, the allowance for loan losses recorded as of December 31, 2018 has been established in accordance with IFRS 9 and is sufficient to cover incurred losses on the loan portfolio.</w:t>
      </w:r>
    </w:p>
    <w:p>
      <w:pPr>
        <w:spacing w:after="0" w:line="169"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As of December 31, 2017 and 2016, the allowance for loan losses for direct and indirect loans was determined under incurred credit losses model as established in the IAS 39. The movement in the allowance for loan losses is shown below for direct and indirect loans: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Balance as of</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Exchange</w:t>
            </w: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Balance as of</w:t>
            </w:r>
          </w:p>
        </w:tc>
      </w:tr>
      <w:tr>
        <w:trPr>
          <w:trHeight w:val="190"/>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8"/>
              </w:rPr>
              <w:t>December 31,</w:t>
            </w: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Provision for</w:t>
            </w: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Loan portfolio</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differences</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December 31,</w:t>
            </w:r>
          </w:p>
        </w:tc>
      </w:tr>
      <w:tr>
        <w:trPr>
          <w:trHeight w:val="205"/>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Loans by class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0"/>
              </w:rPr>
              <w:t>loan losses</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written-off</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and others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4"/>
              </w:rPr>
              <w:t>2017 (*)</w:t>
            </w:r>
          </w:p>
        </w:tc>
        <w:tc>
          <w:tcPr>
            <w:tcW w:w="80" w:type="dxa"/>
            <w:vAlign w:val="bottom"/>
          </w:tcPr>
          <w:p>
            <w:pPr>
              <w:spacing w:after="0"/>
              <w:rPr>
                <w:sz w:val="17"/>
                <w:szCs w:val="17"/>
                <w:color w:val="auto"/>
              </w:rPr>
            </w:pPr>
          </w:p>
        </w:tc>
      </w:tr>
      <w:tr>
        <w:trPr>
          <w:trHeight w:val="183"/>
        </w:trPr>
        <w:tc>
          <w:tcPr>
            <w:tcW w:w="3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9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5"/>
                <w:szCs w:val="15"/>
                <w:color w:val="auto"/>
              </w:rPr>
            </w:pPr>
          </w:p>
        </w:tc>
      </w:tr>
      <w:tr>
        <w:trPr>
          <w:trHeight w:val="190"/>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1,235,970</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737,929</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(217,160)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(76,613)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1,680,126</w:t>
            </w:r>
          </w:p>
        </w:tc>
        <w:tc>
          <w:tcPr>
            <w:tcW w:w="80" w:type="dxa"/>
            <w:vAlign w:val="bottom"/>
            <w:shd w:val="clear" w:color="auto" w:fill="CCEEFF"/>
          </w:tcPr>
          <w:p>
            <w:pPr>
              <w:spacing w:after="0"/>
              <w:rPr>
                <w:sz w:val="16"/>
                <w:szCs w:val="16"/>
                <w:color w:val="auto"/>
              </w:rPr>
            </w:pPr>
          </w:p>
        </w:tc>
      </w:tr>
      <w:tr>
        <w:trPr>
          <w:trHeight w:val="190"/>
        </w:trPr>
        <w:tc>
          <w:tcPr>
            <w:tcW w:w="3320" w:type="dxa"/>
            <w:vAlign w:val="bottom"/>
            <w:gridSpan w:val="2"/>
          </w:tcPr>
          <w:p>
            <w:pPr>
              <w:spacing w:after="0"/>
              <w:rPr>
                <w:sz w:val="20"/>
                <w:szCs w:val="20"/>
                <w:color w:val="auto"/>
              </w:rPr>
            </w:pPr>
            <w:r>
              <w:rPr>
                <w:rFonts w:ascii="Arial" w:cs="Arial" w:eastAsia="Arial" w:hAnsi="Arial"/>
                <w:sz w:val="16"/>
                <w:szCs w:val="16"/>
                <w:color w:val="auto"/>
              </w:rPr>
              <w:t>Residential mortgage loans</w:t>
            </w:r>
          </w:p>
        </w:tc>
        <w:tc>
          <w:tcPr>
            <w:tcW w:w="1020" w:type="dxa"/>
            <w:vAlign w:val="bottom"/>
          </w:tcPr>
          <w:p>
            <w:pPr>
              <w:jc w:val="right"/>
              <w:spacing w:after="0"/>
              <w:rPr>
                <w:sz w:val="20"/>
                <w:szCs w:val="20"/>
                <w:color w:val="auto"/>
              </w:rPr>
            </w:pPr>
            <w:r>
              <w:rPr>
                <w:rFonts w:ascii="Arial" w:cs="Arial" w:eastAsia="Arial" w:hAnsi="Arial"/>
                <w:sz w:val="16"/>
                <w:szCs w:val="16"/>
                <w:color w:val="auto"/>
              </w:rPr>
              <w:t>193,385</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50,663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(10,662)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(5,099)</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228,287</w:t>
            </w:r>
          </w:p>
        </w:tc>
      </w:tr>
      <w:tr>
        <w:trPr>
          <w:trHeight w:val="190"/>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Micro-business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1,353,168</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576,931</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(437,594)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(15,927)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1,476,578</w:t>
            </w:r>
          </w:p>
        </w:tc>
        <w:tc>
          <w:tcPr>
            <w:tcW w:w="80" w:type="dxa"/>
            <w:vAlign w:val="bottom"/>
            <w:shd w:val="clear" w:color="auto" w:fill="CCEEFF"/>
          </w:tcPr>
          <w:p>
            <w:pPr>
              <w:spacing w:after="0"/>
              <w:rPr>
                <w:sz w:val="16"/>
                <w:szCs w:val="16"/>
                <w:color w:val="auto"/>
              </w:rPr>
            </w:pPr>
          </w:p>
        </w:tc>
      </w:tr>
      <w:tr>
        <w:trPr>
          <w:trHeight w:val="201"/>
        </w:trPr>
        <w:tc>
          <w:tcPr>
            <w:tcW w:w="3320" w:type="dxa"/>
            <w:vAlign w:val="bottom"/>
            <w:gridSpan w:val="2"/>
          </w:tcPr>
          <w:p>
            <w:pPr>
              <w:spacing w:after="0"/>
              <w:rPr>
                <w:sz w:val="20"/>
                <w:szCs w:val="20"/>
                <w:color w:val="auto"/>
              </w:rPr>
            </w:pPr>
            <w:r>
              <w:rPr>
                <w:rFonts w:ascii="Arial" w:cs="Arial" w:eastAsia="Arial" w:hAnsi="Arial"/>
                <w:sz w:val="16"/>
                <w:szCs w:val="16"/>
                <w:color w:val="auto"/>
              </w:rPr>
              <w:t>Consumer loans</w:t>
            </w:r>
          </w:p>
        </w:tc>
        <w:tc>
          <w:tcPr>
            <w:tcW w:w="1020" w:type="dxa"/>
            <w:vAlign w:val="bottom"/>
          </w:tcPr>
          <w:p>
            <w:pPr>
              <w:jc w:val="right"/>
              <w:spacing w:after="0"/>
              <w:rPr>
                <w:sz w:val="20"/>
                <w:szCs w:val="20"/>
                <w:color w:val="auto"/>
              </w:rPr>
            </w:pPr>
            <w:r>
              <w:rPr>
                <w:rFonts w:ascii="Arial" w:cs="Arial" w:eastAsia="Arial" w:hAnsi="Arial"/>
                <w:sz w:val="16"/>
                <w:szCs w:val="16"/>
                <w:color w:val="auto"/>
              </w:rPr>
              <w:t>1,634,169</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691,955</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(760,785)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(7,322)</w:t>
            </w:r>
          </w:p>
        </w:tc>
        <w:tc>
          <w:tcPr>
            <w:tcW w:w="1000" w:type="dxa"/>
            <w:vAlign w:val="bottom"/>
          </w:tcPr>
          <w:p>
            <w:pPr>
              <w:jc w:val="right"/>
              <w:spacing w:after="0"/>
              <w:rPr>
                <w:sz w:val="20"/>
                <w:szCs w:val="20"/>
                <w:color w:val="auto"/>
              </w:rPr>
            </w:pPr>
            <w:r>
              <w:rPr>
                <w:rFonts w:ascii="Arial" w:cs="Arial" w:eastAsia="Arial" w:hAnsi="Arial"/>
                <w:sz w:val="16"/>
                <w:szCs w:val="16"/>
                <w:color w:val="auto"/>
              </w:rPr>
              <w:t>1,558,017</w:t>
            </w:r>
          </w:p>
        </w:tc>
        <w:tc>
          <w:tcPr>
            <w:tcW w:w="80" w:type="dxa"/>
            <w:vAlign w:val="bottom"/>
          </w:tcPr>
          <w:p>
            <w:pPr>
              <w:spacing w:after="0"/>
              <w:rPr>
                <w:sz w:val="17"/>
                <w:szCs w:val="17"/>
                <w:color w:val="auto"/>
              </w:rPr>
            </w:pPr>
          </w:p>
        </w:tc>
      </w:tr>
      <w:tr>
        <w:trPr>
          <w:trHeight w:val="186"/>
        </w:trPr>
        <w:tc>
          <w:tcPr>
            <w:tcW w:w="33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4,416,692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2,057,478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(1,426,201)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(104,961)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4,943,008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63"/>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Balance as of</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Exchange</w:t>
            </w: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Balance as of</w:t>
            </w:r>
          </w:p>
        </w:tc>
      </w:tr>
      <w:tr>
        <w:trPr>
          <w:trHeight w:val="190"/>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8"/>
              </w:rPr>
              <w:t>December 31,</w:t>
            </w: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Provision for</w:t>
            </w: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Loan portfolio</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differences</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December 31,</w:t>
            </w:r>
          </w:p>
        </w:tc>
      </w:tr>
      <w:tr>
        <w:trPr>
          <w:trHeight w:val="205"/>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Loans by class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0"/>
              </w:rPr>
              <w:t>loan losses</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written-off</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and others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4"/>
              </w:rPr>
              <w:t>2016 (*)</w:t>
            </w:r>
          </w:p>
        </w:tc>
        <w:tc>
          <w:tcPr>
            <w:tcW w:w="80" w:type="dxa"/>
            <w:vAlign w:val="bottom"/>
          </w:tcPr>
          <w:p>
            <w:pPr>
              <w:spacing w:after="0"/>
              <w:rPr>
                <w:sz w:val="17"/>
                <w:szCs w:val="17"/>
                <w:color w:val="auto"/>
              </w:rPr>
            </w:pPr>
          </w:p>
        </w:tc>
      </w:tr>
      <w:tr>
        <w:trPr>
          <w:trHeight w:val="183"/>
        </w:trPr>
        <w:tc>
          <w:tcPr>
            <w:tcW w:w="3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9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5"/>
                <w:szCs w:val="15"/>
                <w:color w:val="auto"/>
              </w:rPr>
            </w:pPr>
          </w:p>
        </w:tc>
      </w:tr>
      <w:tr>
        <w:trPr>
          <w:trHeight w:val="190"/>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1,197,713</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245,553</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(143,871)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(63,425)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1,235,970</w:t>
            </w:r>
          </w:p>
        </w:tc>
        <w:tc>
          <w:tcPr>
            <w:tcW w:w="80" w:type="dxa"/>
            <w:vAlign w:val="bottom"/>
            <w:shd w:val="clear" w:color="auto" w:fill="CCEEFF"/>
          </w:tcPr>
          <w:p>
            <w:pPr>
              <w:spacing w:after="0"/>
              <w:rPr>
                <w:sz w:val="16"/>
                <w:szCs w:val="16"/>
                <w:color w:val="auto"/>
              </w:rPr>
            </w:pPr>
          </w:p>
        </w:tc>
      </w:tr>
      <w:tr>
        <w:trPr>
          <w:trHeight w:val="190"/>
        </w:trPr>
        <w:tc>
          <w:tcPr>
            <w:tcW w:w="3320" w:type="dxa"/>
            <w:vAlign w:val="bottom"/>
            <w:gridSpan w:val="2"/>
          </w:tcPr>
          <w:p>
            <w:pPr>
              <w:spacing w:after="0"/>
              <w:rPr>
                <w:sz w:val="20"/>
                <w:szCs w:val="20"/>
                <w:color w:val="auto"/>
              </w:rPr>
            </w:pPr>
            <w:r>
              <w:rPr>
                <w:rFonts w:ascii="Arial" w:cs="Arial" w:eastAsia="Arial" w:hAnsi="Arial"/>
                <w:sz w:val="16"/>
                <w:szCs w:val="16"/>
                <w:color w:val="auto"/>
              </w:rPr>
              <w:t>Residential mortgage loans</w:t>
            </w:r>
          </w:p>
        </w:tc>
        <w:tc>
          <w:tcPr>
            <w:tcW w:w="1020" w:type="dxa"/>
            <w:vAlign w:val="bottom"/>
          </w:tcPr>
          <w:p>
            <w:pPr>
              <w:jc w:val="right"/>
              <w:spacing w:after="0"/>
              <w:rPr>
                <w:sz w:val="20"/>
                <w:szCs w:val="20"/>
                <w:color w:val="auto"/>
              </w:rPr>
            </w:pPr>
            <w:r>
              <w:rPr>
                <w:rFonts w:ascii="Arial" w:cs="Arial" w:eastAsia="Arial" w:hAnsi="Arial"/>
                <w:sz w:val="16"/>
                <w:szCs w:val="16"/>
                <w:color w:val="auto"/>
              </w:rPr>
              <w:t>173,879</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27,659</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(7,877)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(276)</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193,385</w:t>
            </w:r>
          </w:p>
        </w:tc>
      </w:tr>
      <w:tr>
        <w:trPr>
          <w:trHeight w:val="190"/>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Micro-business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1,372,099</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588,821</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(606,546)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1,353,168</w:t>
            </w:r>
          </w:p>
        </w:tc>
        <w:tc>
          <w:tcPr>
            <w:tcW w:w="80" w:type="dxa"/>
            <w:vAlign w:val="bottom"/>
            <w:shd w:val="clear" w:color="auto" w:fill="CCEEFF"/>
          </w:tcPr>
          <w:p>
            <w:pPr>
              <w:spacing w:after="0"/>
              <w:rPr>
                <w:sz w:val="16"/>
                <w:szCs w:val="16"/>
                <w:color w:val="auto"/>
              </w:rPr>
            </w:pPr>
          </w:p>
        </w:tc>
      </w:tr>
      <w:tr>
        <w:trPr>
          <w:trHeight w:val="201"/>
        </w:trPr>
        <w:tc>
          <w:tcPr>
            <w:tcW w:w="3320" w:type="dxa"/>
            <w:vAlign w:val="bottom"/>
            <w:gridSpan w:val="2"/>
          </w:tcPr>
          <w:p>
            <w:pPr>
              <w:spacing w:after="0"/>
              <w:rPr>
                <w:sz w:val="20"/>
                <w:szCs w:val="20"/>
                <w:color w:val="auto"/>
              </w:rPr>
            </w:pPr>
            <w:r>
              <w:rPr>
                <w:rFonts w:ascii="Arial" w:cs="Arial" w:eastAsia="Arial" w:hAnsi="Arial"/>
                <w:sz w:val="16"/>
                <w:szCs w:val="16"/>
                <w:color w:val="auto"/>
              </w:rPr>
              <w:t>Consumer loans</w:t>
            </w:r>
          </w:p>
        </w:tc>
        <w:tc>
          <w:tcPr>
            <w:tcW w:w="1020" w:type="dxa"/>
            <w:vAlign w:val="bottom"/>
          </w:tcPr>
          <w:p>
            <w:pPr>
              <w:jc w:val="right"/>
              <w:spacing w:after="0"/>
              <w:rPr>
                <w:sz w:val="20"/>
                <w:szCs w:val="20"/>
                <w:color w:val="auto"/>
              </w:rPr>
            </w:pPr>
            <w:r>
              <w:rPr>
                <w:rFonts w:ascii="Arial" w:cs="Arial" w:eastAsia="Arial" w:hAnsi="Arial"/>
                <w:sz w:val="16"/>
                <w:szCs w:val="16"/>
                <w:color w:val="auto"/>
              </w:rPr>
              <w:t>1,288,528</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1,201,176</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(853,844)</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(1,691)</w:t>
            </w:r>
          </w:p>
        </w:tc>
        <w:tc>
          <w:tcPr>
            <w:tcW w:w="1000" w:type="dxa"/>
            <w:vAlign w:val="bottom"/>
          </w:tcPr>
          <w:p>
            <w:pPr>
              <w:jc w:val="right"/>
              <w:spacing w:after="0"/>
              <w:rPr>
                <w:sz w:val="20"/>
                <w:szCs w:val="20"/>
                <w:color w:val="auto"/>
              </w:rPr>
            </w:pPr>
            <w:r>
              <w:rPr>
                <w:rFonts w:ascii="Arial" w:cs="Arial" w:eastAsia="Arial" w:hAnsi="Arial"/>
                <w:sz w:val="16"/>
                <w:szCs w:val="16"/>
                <w:color w:val="auto"/>
              </w:rPr>
              <w:t>1,634,169</w:t>
            </w:r>
          </w:p>
        </w:tc>
        <w:tc>
          <w:tcPr>
            <w:tcW w:w="80" w:type="dxa"/>
            <w:vAlign w:val="bottom"/>
          </w:tcPr>
          <w:p>
            <w:pPr>
              <w:spacing w:after="0"/>
              <w:rPr>
                <w:sz w:val="17"/>
                <w:szCs w:val="17"/>
                <w:color w:val="auto"/>
              </w:rPr>
            </w:pPr>
          </w:p>
        </w:tc>
      </w:tr>
      <w:tr>
        <w:trPr>
          <w:trHeight w:val="186"/>
        </w:trPr>
        <w:tc>
          <w:tcPr>
            <w:tcW w:w="33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4,032,219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2,063,209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(1,612,138)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(66,598)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4,416,692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7" w:lineRule="exact"/>
        <w:rPr>
          <w:sz w:val="20"/>
          <w:szCs w:val="20"/>
          <w:color w:val="auto"/>
        </w:rPr>
      </w:pPr>
    </w:p>
    <w:p>
      <w:pPr>
        <w:ind w:left="280" w:hanging="276"/>
        <w:spacing w:after="0" w:line="277" w:lineRule="auto"/>
        <w:tabs>
          <w:tab w:leader="none" w:pos="2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movement in the allowance for loan losses for 2017 included the allowance for direct and indirect loans for approximately S/4,500.5 million y S/442.5 million, respectively (approximately S/4,207.1 million and S/209.6 million, respectively, for 2016). The allowance for indirect loan losses was included in “Other liabilities” of the consolidated statement of financial position, Note 12(a). In Management’s opinion, the allowance for loan losses recorded as of December 31, 2017 and 2016 was established in accordance with IAS 39 and was sufficient to cover incurred losses on the loan portfolio.</w:t>
      </w:r>
    </w:p>
    <w:p>
      <w:pPr>
        <w:spacing w:after="0" w:line="341" w:lineRule="exact"/>
        <w:rPr>
          <w:rFonts w:ascii="Arial" w:cs="Arial" w:eastAsia="Arial" w:hAnsi="Arial"/>
          <w:sz w:val="15"/>
          <w:szCs w:val="15"/>
          <w:color w:val="auto"/>
        </w:rPr>
      </w:pPr>
    </w:p>
    <w:p>
      <w:pPr>
        <w:ind w:left="5080" w:hanging="91"/>
        <w:spacing w:after="0"/>
        <w:tabs>
          <w:tab w:leader="none" w:pos="50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40"/>
          </w:cols>
          <w:pgMar w:left="800" w:top="819" w:right="259" w:bottom="1440" w:gutter="0" w:footer="0" w:header="0"/>
        </w:sectPr>
      </w:pPr>
    </w:p>
    <w:bookmarkStart w:id="83" w:name="page84"/>
    <w:bookmarkEnd w:id="83"/>
    <w:p>
      <w:pPr>
        <w:ind w:left="565" w:hanging="281"/>
        <w:spacing w:after="0" w:line="269" w:lineRule="auto"/>
        <w:tabs>
          <w:tab w:leader="none" w:pos="56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portion of the loan portfolio is collateralized with guarantees received from customers, which mainly consist of mortgages, trust assignments, securities and industrial and mercantile pledges.</w:t>
      </w:r>
    </w:p>
    <w:p>
      <w:pPr>
        <w:spacing w:after="0" w:line="156" w:lineRule="exact"/>
        <w:rPr>
          <w:rFonts w:ascii="Arial" w:cs="Arial" w:eastAsia="Arial" w:hAnsi="Arial"/>
          <w:sz w:val="16"/>
          <w:szCs w:val="16"/>
          <w:color w:val="auto"/>
        </w:rPr>
      </w:pPr>
    </w:p>
    <w:p>
      <w:pPr>
        <w:ind w:left="565" w:hanging="281"/>
        <w:spacing w:after="0"/>
        <w:tabs>
          <w:tab w:leader="none" w:pos="565"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following table presents the gross direct loan portfolio at December 31, 2018 and 2017 by maturity based on the remaining period to the payment due date:</w:t>
      </w:r>
    </w:p>
    <w:p>
      <w:pPr>
        <w:spacing w:after="0" w:line="215"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0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loans -</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Up to 1 year</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49,219,931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38,052,430</w:t>
            </w:r>
          </w:p>
        </w:tc>
        <w:tc>
          <w:tcPr>
            <w:tcW w:w="0" w:type="dxa"/>
            <w:vAlign w:val="bottom"/>
          </w:tcPr>
          <w:p>
            <w:pPr>
              <w:spacing w:after="0"/>
              <w:rPr>
                <w:sz w:val="1"/>
                <w:szCs w:val="1"/>
                <w:color w:val="auto"/>
              </w:rPr>
            </w:pP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25,763,021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20,167,475</w:t>
            </w:r>
          </w:p>
        </w:tc>
        <w:tc>
          <w:tcPr>
            <w:tcW w:w="0" w:type="dxa"/>
            <w:vAlign w:val="bottom"/>
          </w:tcPr>
          <w:p>
            <w:pPr>
              <w:spacing w:after="0"/>
              <w:rPr>
                <w:sz w:val="1"/>
                <w:szCs w:val="1"/>
                <w:color w:val="auto"/>
              </w:rPr>
            </w:pP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From 3 to 5 years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10,300,621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12,082,996</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21,557,430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26,441,099</w:t>
            </w:r>
          </w:p>
        </w:tc>
        <w:tc>
          <w:tcPr>
            <w:tcW w:w="0" w:type="dxa"/>
            <w:vAlign w:val="bottom"/>
          </w:tcPr>
          <w:p>
            <w:pPr>
              <w:spacing w:after="0"/>
              <w:rPr>
                <w:sz w:val="1"/>
                <w:szCs w:val="1"/>
                <w:color w:val="auto"/>
              </w:rPr>
            </w:pPr>
          </w:p>
        </w:tc>
      </w:tr>
      <w:tr>
        <w:trPr>
          <w:trHeight w:val="182"/>
        </w:trPr>
        <w:tc>
          <w:tcPr>
            <w:tcW w:w="7980" w:type="dxa"/>
            <w:vAlign w:val="bottom"/>
          </w:tcPr>
          <w:p>
            <w:pPr>
              <w:spacing w:after="0"/>
              <w:rPr>
                <w:sz w:val="15"/>
                <w:szCs w:val="15"/>
                <w:color w:val="auto"/>
              </w:rPr>
            </w:pPr>
          </w:p>
        </w:tc>
        <w:tc>
          <w:tcPr>
            <w:tcW w:w="11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106,841,003</w:t>
            </w:r>
          </w:p>
        </w:tc>
        <w:tc>
          <w:tcPr>
            <w:tcW w:w="200" w:type="dxa"/>
            <w:vAlign w:val="bottom"/>
          </w:tcPr>
          <w:p>
            <w:pPr>
              <w:spacing w:after="0"/>
              <w:rPr>
                <w:sz w:val="15"/>
                <w:szCs w:val="15"/>
                <w:color w:val="auto"/>
              </w:rPr>
            </w:pPr>
          </w:p>
        </w:tc>
        <w:tc>
          <w:tcPr>
            <w:tcW w:w="11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96,744,000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Internal overdue loans -</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Overdue 90 days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635,893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639,329</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Over 90 days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2,483,728</w:t>
            </w:r>
          </w:p>
        </w:tc>
        <w:tc>
          <w:tcPr>
            <w:tcW w:w="2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2,381,585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3,119,621</w:t>
            </w: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3,020,914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9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spacing w:after="0"/>
              <w:rPr>
                <w:sz w:val="20"/>
                <w:szCs w:val="20"/>
                <w:color w:val="auto"/>
              </w:rPr>
            </w:pPr>
            <w:r>
              <w:rPr>
                <w:rFonts w:ascii="Arial" w:cs="Arial" w:eastAsia="Arial" w:hAnsi="Arial"/>
                <w:sz w:val="16"/>
                <w:szCs w:val="16"/>
                <w:color w:val="auto"/>
              </w:rPr>
              <w:t>109,960,624</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99,764,914</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6"/>
                <w:szCs w:val="16"/>
                <w:color w:val="auto"/>
              </w:rPr>
              <w:t>See credit risk analysis in Note 33.1.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9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5" w:hanging="285"/>
        <w:spacing w:after="0"/>
        <w:tabs>
          <w:tab w:leader="none" w:pos="285"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ASSETS DESIGNATED AT FAIR VALUE THROUGH PROFIT OR LOSS</w:t>
      </w:r>
    </w:p>
    <w:p>
      <w:pPr>
        <w:spacing w:after="0" w:line="199" w:lineRule="exact"/>
        <w:rPr>
          <w:rFonts w:ascii="Arial" w:cs="Arial" w:eastAsia="Arial" w:hAnsi="Arial"/>
          <w:sz w:val="16"/>
          <w:szCs w:val="16"/>
          <w:b w:val="1"/>
          <w:bCs w:val="1"/>
          <w:color w:val="auto"/>
        </w:rPr>
      </w:pPr>
    </w:p>
    <w:p>
      <w:pPr>
        <w:ind w:left="285" w:right="120"/>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The Group issues Investment Link life insurance contracts whereby the policyholder takes the investment risk on the assets held in the Investment Link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65" w:lineRule="exact"/>
        <w:rPr>
          <w:rFonts w:ascii="Arial" w:cs="Arial" w:eastAsia="Arial" w:hAnsi="Arial"/>
          <w:sz w:val="16"/>
          <w:szCs w:val="16"/>
          <w:b w:val="1"/>
          <w:bCs w:val="1"/>
          <w:color w:val="auto"/>
        </w:rPr>
      </w:pPr>
    </w:p>
    <w:p>
      <w:pPr>
        <w:ind w:left="285"/>
        <w:spacing w:after="0"/>
        <w:rPr>
          <w:rFonts w:ascii="Arial" w:cs="Arial" w:eastAsia="Arial" w:hAnsi="Arial"/>
          <w:sz w:val="16"/>
          <w:szCs w:val="16"/>
          <w:b w:val="1"/>
          <w:bCs w:val="1"/>
          <w:color w:val="auto"/>
        </w:rPr>
      </w:pPr>
      <w:r>
        <w:rPr>
          <w:rFonts w:ascii="Arial" w:cs="Arial" w:eastAsia="Arial" w:hAnsi="Arial"/>
          <w:sz w:val="14"/>
          <w:szCs w:val="14"/>
          <w:color w:val="auto"/>
        </w:rPr>
        <w:t>The profit resulting from these assets is shown in “Net income on financial assets designated at fair value through profit or loss” in the consolidated statement of income.</w:t>
      </w:r>
    </w:p>
    <w:p>
      <w:pPr>
        <w:sectPr>
          <w:pgSz w:w="11900" w:h="16838" w:orient="portrait"/>
          <w:cols w:equalWidth="0" w:num="1">
            <w:col w:w="11205"/>
          </w:cols>
          <w:pgMar w:left="235" w:top="81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5"/>
        <w:spacing w:after="0"/>
        <w:rPr>
          <w:sz w:val="20"/>
          <w:szCs w:val="20"/>
          <w:color w:val="auto"/>
        </w:rPr>
      </w:pPr>
      <w:r>
        <w:rPr>
          <w:rFonts w:ascii="Arial" w:cs="Arial" w:eastAsia="Arial" w:hAnsi="Arial"/>
          <w:sz w:val="15"/>
          <w:szCs w:val="15"/>
          <w:color w:val="auto"/>
        </w:rPr>
        <w:t>Net profit on sale of financial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-100965</wp:posOffset>
            </wp:positionV>
            <wp:extent cx="5810885" cy="1206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10885" cy="120650"/>
                    </a:xfrm>
                    <a:prstGeom prst="rect">
                      <a:avLst/>
                    </a:prstGeom>
                    <a:noFill/>
                  </pic:spPr>
                </pic:pic>
              </a:graphicData>
            </a:graphic>
          </wp:anchor>
        </w:drawing>
      </w:r>
    </w:p>
    <w:p>
      <w:pPr>
        <w:spacing w:after="0" w:line="8" w:lineRule="exact"/>
        <w:rPr>
          <w:sz w:val="20"/>
          <w:szCs w:val="20"/>
          <w:color w:val="auto"/>
        </w:rPr>
      </w:pPr>
    </w:p>
    <w:p>
      <w:pPr>
        <w:ind w:left="285"/>
        <w:spacing w:after="0"/>
        <w:rPr>
          <w:sz w:val="20"/>
          <w:szCs w:val="20"/>
          <w:color w:val="auto"/>
        </w:rPr>
      </w:pPr>
      <w:r>
        <w:rPr>
          <w:rFonts w:ascii="Arial" w:cs="Arial" w:eastAsia="Arial" w:hAnsi="Arial"/>
          <w:sz w:val="14"/>
          <w:szCs w:val="14"/>
          <w:color w:val="auto"/>
        </w:rPr>
        <w:t>Changes in the fair value of financial assets</w:t>
      </w:r>
    </w:p>
    <w:p>
      <w:pPr>
        <w:spacing w:after="0" w:line="29" w:lineRule="exact"/>
        <w:rPr>
          <w:sz w:val="20"/>
          <w:szCs w:val="20"/>
          <w:color w:val="auto"/>
        </w:rPr>
      </w:pPr>
    </w:p>
    <w:p>
      <w:pPr>
        <w:ind w:left="285"/>
        <w:spacing w:after="0"/>
        <w:rPr>
          <w:sz w:val="20"/>
          <w:szCs w:val="20"/>
          <w:color w:val="auto"/>
        </w:rPr>
      </w:pPr>
      <w:r>
        <w:rPr>
          <w:rFonts w:ascii="Arial" w:cs="Arial" w:eastAsia="Arial" w:hAnsi="Arial"/>
          <w:sz w:val="16"/>
          <w:szCs w:val="16"/>
          <w:color w:val="auto"/>
        </w:rPr>
        <w:t>Dividends, interests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-115570</wp:posOffset>
            </wp:positionV>
            <wp:extent cx="581088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10885" cy="128270"/>
                    </a:xfrm>
                    <a:prstGeom prst="rect">
                      <a:avLst/>
                    </a:prstGeom>
                    <a:noFill/>
                  </pic:spPr>
                </pic:pic>
              </a:graphicData>
            </a:graphic>
          </wp:anchor>
        </w:drawing>
      </w:r>
    </w:p>
    <w:p>
      <w:pPr>
        <w:ind w:left="285"/>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80"/>
        <w:spacing w:after="0"/>
        <w:tabs>
          <w:tab w:leader="none" w:pos="12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1"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b w:val="1"/>
          <w:bCs w:val="1"/>
          <w:color w:val="auto"/>
        </w:rPr>
        <w:t>S/(000)</w:t>
      </w:r>
      <w:r>
        <w:rPr>
          <w:sz w:val="20"/>
          <w:szCs w:val="20"/>
          <w:color w:val="auto"/>
        </w:rPr>
        <w:tab/>
      </w:r>
      <w:r>
        <w:rPr>
          <w:rFonts w:ascii="Arial" w:cs="Arial" w:eastAsia="Arial" w:hAnsi="Arial"/>
          <w:sz w:val="16"/>
          <w:szCs w:val="16"/>
          <w:b w:val="1"/>
          <w:bCs w:val="1"/>
          <w:color w:val="auto"/>
        </w:rPr>
        <w:t>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-115570</wp:posOffset>
            </wp:positionV>
            <wp:extent cx="13925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92555" cy="7620"/>
                    </a:xfrm>
                    <a:prstGeom prst="rect">
                      <a:avLst/>
                    </a:prstGeom>
                    <a:noFill/>
                  </pic:spPr>
                </pic:pic>
              </a:graphicData>
            </a:graphic>
          </wp:anchor>
        </w:drawing>
      </w:r>
    </w:p>
    <w:p>
      <w:pPr>
        <w:spacing w:after="0" w:line="176" w:lineRule="exact"/>
        <w:rPr>
          <w:sz w:val="20"/>
          <w:szCs w:val="20"/>
          <w:color w:val="auto"/>
        </w:rPr>
      </w:pPr>
    </w:p>
    <w:p>
      <w:pPr>
        <w:jc w:val="both"/>
        <w:ind w:left="320"/>
        <w:spacing w:after="0"/>
        <w:tabs>
          <w:tab w:leader="none" w:pos="1480" w:val="left"/>
        </w:tabs>
        <w:rPr>
          <w:sz w:val="20"/>
          <w:szCs w:val="20"/>
          <w:color w:val="auto"/>
        </w:rPr>
      </w:pPr>
      <w:r>
        <w:rPr>
          <w:rFonts w:ascii="Arial" w:cs="Arial" w:eastAsia="Arial" w:hAnsi="Arial"/>
          <w:sz w:val="16"/>
          <w:szCs w:val="16"/>
          <w:color w:val="auto"/>
        </w:rPr>
        <w:t>25,342</w:t>
      </w:r>
      <w:r>
        <w:rPr>
          <w:sz w:val="20"/>
          <w:szCs w:val="20"/>
          <w:color w:val="auto"/>
        </w:rPr>
        <w:tab/>
      </w:r>
      <w:r>
        <w:rPr>
          <w:rFonts w:ascii="Arial" w:cs="Arial" w:eastAsia="Arial" w:hAnsi="Arial"/>
          <w:sz w:val="16"/>
          <w:szCs w:val="16"/>
          <w:color w:val="auto"/>
        </w:rPr>
        <w:t>27,764</w:t>
      </w:r>
    </w:p>
    <w:p>
      <w:pPr>
        <w:spacing w:after="0" w:line="17" w:lineRule="exact"/>
        <w:rPr>
          <w:sz w:val="20"/>
          <w:szCs w:val="20"/>
          <w:color w:val="auto"/>
        </w:rPr>
      </w:pPr>
    </w:p>
    <w:p>
      <w:pPr>
        <w:jc w:val="both"/>
        <w:ind w:left="260"/>
        <w:spacing w:after="0"/>
        <w:tabs>
          <w:tab w:leader="none" w:pos="1480" w:val="left"/>
        </w:tabs>
        <w:rPr>
          <w:sz w:val="20"/>
          <w:szCs w:val="20"/>
          <w:color w:val="auto"/>
        </w:rPr>
      </w:pPr>
      <w:r>
        <w:rPr>
          <w:rFonts w:ascii="Arial" w:cs="Arial" w:eastAsia="Arial" w:hAnsi="Arial"/>
          <w:sz w:val="16"/>
          <w:szCs w:val="16"/>
          <w:color w:val="auto"/>
        </w:rPr>
        <w:t>(90,467)</w:t>
      </w:r>
      <w:r>
        <w:rPr>
          <w:sz w:val="20"/>
          <w:szCs w:val="20"/>
          <w:color w:val="auto"/>
        </w:rPr>
        <w:tab/>
      </w:r>
      <w:r>
        <w:rPr>
          <w:rFonts w:ascii="Arial" w:cs="Arial" w:eastAsia="Arial" w:hAnsi="Arial"/>
          <w:sz w:val="16"/>
          <w:szCs w:val="16"/>
          <w:color w:val="auto"/>
        </w:rPr>
        <w:t>30,719</w:t>
      </w:r>
    </w:p>
    <w:p>
      <w:pPr>
        <w:spacing w:after="0" w:line="6" w:lineRule="exact"/>
        <w:rPr>
          <w:sz w:val="20"/>
          <w:szCs w:val="20"/>
          <w:color w:val="auto"/>
        </w:rPr>
      </w:pPr>
    </w:p>
    <w:p>
      <w:pPr>
        <w:ind w:left="320"/>
        <w:spacing w:after="0"/>
        <w:tabs>
          <w:tab w:leader="none" w:pos="1560" w:val="left"/>
        </w:tabs>
        <w:rPr>
          <w:sz w:val="20"/>
          <w:szCs w:val="20"/>
          <w:color w:val="auto"/>
        </w:rPr>
      </w:pPr>
      <w:r>
        <w:rPr>
          <w:rFonts w:ascii="Arial" w:cs="Arial" w:eastAsia="Arial" w:hAnsi="Arial"/>
          <w:sz w:val="12"/>
          <w:szCs w:val="12"/>
          <w:color w:val="auto"/>
        </w:rPr>
        <w:t>11,190</w:t>
      </w:r>
      <w:r>
        <w:rPr>
          <w:sz w:val="20"/>
          <w:szCs w:val="20"/>
          <w:color w:val="auto"/>
        </w:rPr>
        <w:tab/>
      </w:r>
      <w:r>
        <w:rPr>
          <w:rFonts w:ascii="Arial" w:cs="Arial" w:eastAsia="Arial" w:hAnsi="Arial"/>
          <w:sz w:val="12"/>
          <w:szCs w:val="12"/>
          <w:color w:val="auto"/>
        </w:rPr>
        <w:t>9,150</w:t>
      </w:r>
    </w:p>
    <w:p>
      <w:pPr>
        <w:spacing w:after="0" w:line="63" w:lineRule="exact"/>
        <w:rPr>
          <w:sz w:val="20"/>
          <w:szCs w:val="20"/>
          <w:color w:val="auto"/>
        </w:rPr>
      </w:pPr>
    </w:p>
    <w:p>
      <w:pPr>
        <w:jc w:val="right"/>
        <w:ind w:right="1860"/>
        <w:spacing w:after="0"/>
        <w:tabs>
          <w:tab w:leader="none" w:pos="400" w:val="left"/>
        </w:tabs>
        <w:rPr>
          <w:sz w:val="20"/>
          <w:szCs w:val="20"/>
          <w:color w:val="auto"/>
        </w:rPr>
      </w:pPr>
      <w:r>
        <w:rPr>
          <w:rFonts w:ascii="Arial" w:cs="Arial" w:eastAsia="Arial" w:hAnsi="Arial"/>
          <w:sz w:val="16"/>
          <w:szCs w:val="16"/>
          <w:color w:val="auto"/>
        </w:rPr>
        <w:t>(53,935)</w:t>
      </w:r>
      <w:r>
        <w:rPr>
          <w:sz w:val="20"/>
          <w:szCs w:val="20"/>
          <w:color w:val="auto"/>
        </w:rPr>
        <w:tab/>
      </w:r>
      <w:r>
        <w:rPr>
          <w:rFonts w:ascii="Arial" w:cs="Arial" w:eastAsia="Arial" w:hAnsi="Arial"/>
          <w:sz w:val="12"/>
          <w:szCs w:val="12"/>
          <w:color w:val="auto"/>
        </w:rPr>
        <w:t>67,633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19685</wp:posOffset>
            </wp:positionV>
            <wp:extent cx="1392555"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92555" cy="2286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-115570</wp:posOffset>
            </wp:positionV>
            <wp:extent cx="13925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9255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5" w:space="720"/>
            <w:col w:w="3780"/>
          </w:cols>
          <w:pgMar w:left="235" w:top="814" w:right="459" w:bottom="1440" w:gutter="0" w:footer="0" w:header="0"/>
          <w:type w:val="continuous"/>
        </w:sectPr>
      </w:pPr>
    </w:p>
    <w:p>
      <w:pPr>
        <w:spacing w:after="0" w:line="43" w:lineRule="exact"/>
        <w:rPr>
          <w:sz w:val="20"/>
          <w:szCs w:val="20"/>
          <w:color w:val="auto"/>
        </w:rPr>
      </w:pPr>
    </w:p>
    <w:p>
      <w:pPr>
        <w:ind w:left="285"/>
        <w:spacing w:after="0"/>
        <w:rPr>
          <w:sz w:val="20"/>
          <w:szCs w:val="20"/>
          <w:color w:val="auto"/>
        </w:rPr>
      </w:pPr>
      <w:r>
        <w:rPr>
          <w:rFonts w:ascii="Arial" w:cs="Arial" w:eastAsia="Arial" w:hAnsi="Arial"/>
          <w:sz w:val="14"/>
          <w:szCs w:val="14"/>
          <w:color w:val="auto"/>
        </w:rPr>
        <w:t>The offsetting of this effect is included in gross premiums which are part of “Net premiums earned” of the consolidated statement of income, see Note 24.</w:t>
      </w:r>
    </w:p>
    <w:p>
      <w:pPr>
        <w:spacing w:after="0" w:line="200" w:lineRule="exact"/>
        <w:rPr>
          <w:sz w:val="20"/>
          <w:szCs w:val="20"/>
          <w:color w:val="auto"/>
        </w:rPr>
      </w:pPr>
    </w:p>
    <w:p>
      <w:pPr>
        <w:spacing w:after="0" w:line="208" w:lineRule="exact"/>
        <w:rPr>
          <w:sz w:val="20"/>
          <w:szCs w:val="20"/>
          <w:color w:val="auto"/>
        </w:rPr>
      </w:pPr>
    </w:p>
    <w:p>
      <w:pPr>
        <w:jc w:val="center"/>
        <w:ind w:right="-244"/>
        <w:spacing w:after="0"/>
        <w:rPr>
          <w:sz w:val="20"/>
          <w:szCs w:val="20"/>
          <w:color w:val="auto"/>
        </w:rPr>
      </w:pPr>
      <w:r>
        <w:rPr>
          <w:rFonts w:ascii="Arial" w:cs="Arial" w:eastAsia="Arial" w:hAnsi="Arial"/>
          <w:sz w:val="16"/>
          <w:szCs w:val="16"/>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205"/>
          </w:cols>
          <w:pgMar w:left="235" w:top="814" w:right="459" w:bottom="1440" w:gutter="0" w:footer="0" w:header="0"/>
          <w:type w:val="continuous"/>
        </w:sectPr>
      </w:pPr>
    </w:p>
    <w:bookmarkStart w:id="84" w:name="page85"/>
    <w:bookmarkEnd w:id="84"/>
    <w:p>
      <w:pPr>
        <w:ind w:left="285" w:hanging="285"/>
        <w:spacing w:after="0"/>
        <w:tabs>
          <w:tab w:leader="none" w:pos="285"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 AND PAYABLE FROM INSURANCE CONTRACTS</w:t>
      </w:r>
    </w:p>
    <w:p>
      <w:pPr>
        <w:spacing w:after="0" w:line="199" w:lineRule="exact"/>
        <w:rPr>
          <w:rFonts w:ascii="Arial" w:cs="Arial" w:eastAsia="Arial" w:hAnsi="Arial"/>
          <w:sz w:val="16"/>
          <w:szCs w:val="16"/>
          <w:b w:val="1"/>
          <w:bCs w:val="1"/>
          <w:color w:val="auto"/>
        </w:rPr>
      </w:pPr>
    </w:p>
    <w:p>
      <w:pPr>
        <w:ind w:left="565" w:right="360" w:hanging="281"/>
        <w:spacing w:after="0" w:line="342" w:lineRule="auto"/>
        <w:tabs>
          <w:tab w:leader="none" w:pos="565" w:val="left"/>
        </w:tabs>
        <w:numPr>
          <w:ilvl w:val="1"/>
          <w:numId w:val="98"/>
        </w:numPr>
        <w:rPr>
          <w:rFonts w:ascii="Arial" w:cs="Arial" w:eastAsia="Arial" w:hAnsi="Arial"/>
          <w:sz w:val="14"/>
          <w:szCs w:val="14"/>
          <w:color w:val="auto"/>
        </w:rPr>
      </w:pPr>
      <w:r>
        <w:rPr>
          <w:rFonts w:ascii="Arial" w:cs="Arial" w:eastAsia="Arial" w:hAnsi="Arial"/>
          <w:sz w:val="14"/>
          <w:szCs w:val="14"/>
          <w:color w:val="auto"/>
        </w:rPr>
        <w:t>As of December 31, 2018 and 2017, “Premiums and other policies receivable” in the consolidated statement of financial position includes balances for approximately S/887.3 million and S/656.8 million, respectively, which are primarily of current maturity, have no specific collateral and present no material past due balances.</w:t>
      </w:r>
    </w:p>
    <w:p>
      <w:pPr>
        <w:spacing w:after="0" w:line="110" w:lineRule="exact"/>
        <w:rPr>
          <w:rFonts w:ascii="Arial" w:cs="Arial" w:eastAsia="Arial" w:hAnsi="Arial"/>
          <w:sz w:val="14"/>
          <w:szCs w:val="14"/>
          <w:color w:val="auto"/>
        </w:rPr>
      </w:pPr>
    </w:p>
    <w:p>
      <w:pPr>
        <w:ind w:left="565" w:hanging="281"/>
        <w:spacing w:after="0"/>
        <w:tabs>
          <w:tab w:leader="none" w:pos="565"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movements of the captions “Accounts receivable and payable to reinsurers and coinsurers” are as follows:</w:t>
      </w:r>
    </w:p>
    <w:p>
      <w:pPr>
        <w:spacing w:after="0" w:line="191"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b w:val="1"/>
          <w:bCs w:val="1"/>
          <w:color w:val="auto"/>
        </w:rPr>
        <w:t>Accounts receivable:</w:t>
      </w:r>
    </w:p>
    <w:p>
      <w:pPr>
        <w:spacing w:after="0" w:line="207"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r>
      <w:tr>
        <w:trPr>
          <w:trHeight w:val="198"/>
        </w:trPr>
        <w:tc>
          <w:tcPr>
            <w:tcW w:w="66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r>
      <w:tr>
        <w:trPr>
          <w:trHeight w:val="175"/>
        </w:trPr>
        <w:tc>
          <w:tcPr>
            <w:tcW w:w="6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6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the beginning of the period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715,695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454,187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457,189</w:t>
            </w:r>
          </w:p>
        </w:tc>
      </w:tr>
      <w:tr>
        <w:trPr>
          <w:trHeight w:val="190"/>
        </w:trPr>
        <w:tc>
          <w:tcPr>
            <w:tcW w:w="6600" w:type="dxa"/>
            <w:vAlign w:val="bottom"/>
          </w:tcPr>
          <w:p>
            <w:pPr>
              <w:spacing w:after="0"/>
              <w:rPr>
                <w:sz w:val="20"/>
                <w:szCs w:val="20"/>
                <w:color w:val="auto"/>
              </w:rPr>
            </w:pPr>
            <w:r>
              <w:rPr>
                <w:rFonts w:ascii="Arial" w:cs="Arial" w:eastAsia="Arial" w:hAnsi="Arial"/>
                <w:sz w:val="16"/>
                <w:szCs w:val="16"/>
                <w:color w:val="auto"/>
              </w:rPr>
              <w:t>Reported claims of premiums ceded, Note 25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367,969</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483,387</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145,498</w:t>
            </w:r>
          </w:p>
        </w:tc>
      </w:tr>
      <w:tr>
        <w:trPr>
          <w:trHeight w:val="190"/>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Premiums ceded unearned during the year, Note 24(a)(**)</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34,709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21,192</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(9,139)</w:t>
            </w:r>
          </w:p>
        </w:tc>
      </w:tr>
      <w:tr>
        <w:trPr>
          <w:trHeight w:val="190"/>
        </w:trPr>
        <w:tc>
          <w:tcPr>
            <w:tcW w:w="6600" w:type="dxa"/>
            <w:vAlign w:val="bottom"/>
          </w:tcPr>
          <w:p>
            <w:pPr>
              <w:spacing w:after="0"/>
              <w:rPr>
                <w:sz w:val="20"/>
                <w:szCs w:val="20"/>
                <w:color w:val="auto"/>
              </w:rPr>
            </w:pPr>
            <w:r>
              <w:rPr>
                <w:rFonts w:ascii="Arial" w:cs="Arial" w:eastAsia="Arial" w:hAnsi="Arial"/>
                <w:sz w:val="16"/>
                <w:szCs w:val="16"/>
                <w:color w:val="auto"/>
              </w:rPr>
              <w:t>Premiums assumed</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5,882</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2,341</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4,977</w:t>
            </w:r>
          </w:p>
        </w:tc>
      </w:tr>
      <w:tr>
        <w:trPr>
          <w:trHeight w:val="190"/>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Settled claims of premiums ceded by reinsurance contracts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(238,936)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(231,298)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(90,550)</w:t>
            </w:r>
          </w:p>
        </w:tc>
      </w:tr>
      <w:tr>
        <w:trPr>
          <w:trHeight w:val="201"/>
        </w:trPr>
        <w:tc>
          <w:tcPr>
            <w:tcW w:w="6600" w:type="dxa"/>
            <w:vAlign w:val="bottom"/>
          </w:tcPr>
          <w:p>
            <w:pPr>
              <w:spacing w:after="0"/>
              <w:rPr>
                <w:sz w:val="20"/>
                <w:szCs w:val="20"/>
                <w:color w:val="auto"/>
              </w:rPr>
            </w:pPr>
            <w:r>
              <w:rPr>
                <w:rFonts w:ascii="Arial" w:cs="Arial" w:eastAsia="Arial" w:hAnsi="Arial"/>
                <w:sz w:val="16"/>
                <w:szCs w:val="16"/>
                <w:color w:val="auto"/>
              </w:rPr>
              <w:t>Collections and others, net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(43,276)</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(14,114)</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(53,788)</w:t>
            </w:r>
          </w:p>
        </w:tc>
      </w:tr>
      <w:tr>
        <w:trPr>
          <w:trHeight w:val="193"/>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the end of the period</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842,043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715,695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right="500"/>
        <w:spacing w:after="0" w:line="269" w:lineRule="auto"/>
        <w:rPr>
          <w:sz w:val="20"/>
          <w:szCs w:val="20"/>
          <w:color w:val="auto"/>
        </w:rPr>
      </w:pPr>
      <w:r>
        <w:rPr>
          <w:rFonts w:ascii="Arial" w:cs="Arial" w:eastAsia="Arial" w:hAnsi="Arial"/>
          <w:sz w:val="16"/>
          <w:szCs w:val="16"/>
          <w:color w:val="auto"/>
        </w:rPr>
        <w:t>Accounts receivable as of December 31, 2018 and 2017, include S/152.9 million and S/151.6 million, respectively, which correspond to the unearned portion of the premiums ceded to the reinsurers.</w:t>
      </w:r>
    </w:p>
    <w:p>
      <w:pPr>
        <w:spacing w:after="0" w:line="15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6600" w:type="dxa"/>
            <w:vAlign w:val="bottom"/>
          </w:tcPr>
          <w:p>
            <w:pPr>
              <w:spacing w:after="0"/>
              <w:rPr>
                <w:sz w:val="20"/>
                <w:szCs w:val="20"/>
                <w:color w:val="auto"/>
              </w:rPr>
            </w:pPr>
            <w:r>
              <w:rPr>
                <w:rFonts w:ascii="Arial" w:cs="Arial" w:eastAsia="Arial" w:hAnsi="Arial"/>
                <w:sz w:val="16"/>
                <w:szCs w:val="16"/>
                <w:b w:val="1"/>
                <w:bCs w:val="1"/>
                <w:color w:val="auto"/>
              </w:rPr>
              <w:t>Accounts Payable:</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1"/>
        </w:trPr>
        <w:tc>
          <w:tcPr>
            <w:tcW w:w="6600" w:type="dxa"/>
            <w:vAlign w:val="bottom"/>
          </w:tcPr>
          <w:p>
            <w:pPr>
              <w:spacing w:after="0"/>
              <w:rPr>
                <w:sz w:val="24"/>
                <w:szCs w:val="24"/>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66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7"/>
                <w:szCs w:val="17"/>
                <w:color w:val="auto"/>
              </w:rPr>
            </w:pPr>
          </w:p>
        </w:tc>
      </w:tr>
      <w:tr>
        <w:trPr>
          <w:trHeight w:val="175"/>
        </w:trPr>
        <w:tc>
          <w:tcPr>
            <w:tcW w:w="6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6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the beginning of the period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235,185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233,892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241,847</w:t>
            </w:r>
          </w:p>
        </w:tc>
        <w:tc>
          <w:tcPr>
            <w:tcW w:w="80" w:type="dxa"/>
            <w:vAlign w:val="bottom"/>
            <w:shd w:val="clear" w:color="auto" w:fill="CCEEFF"/>
          </w:tcPr>
          <w:p>
            <w:pPr>
              <w:spacing w:after="0"/>
              <w:rPr>
                <w:sz w:val="16"/>
                <w:szCs w:val="16"/>
                <w:color w:val="auto"/>
              </w:rPr>
            </w:pPr>
          </w:p>
        </w:tc>
      </w:tr>
      <w:tr>
        <w:trPr>
          <w:trHeight w:val="190"/>
        </w:trPr>
        <w:tc>
          <w:tcPr>
            <w:tcW w:w="6600" w:type="dxa"/>
            <w:vAlign w:val="bottom"/>
          </w:tcPr>
          <w:p>
            <w:pPr>
              <w:spacing w:after="0"/>
              <w:rPr>
                <w:sz w:val="20"/>
                <w:szCs w:val="20"/>
                <w:color w:val="auto"/>
              </w:rPr>
            </w:pPr>
            <w:r>
              <w:rPr>
                <w:rFonts w:ascii="Arial" w:cs="Arial" w:eastAsia="Arial" w:hAnsi="Arial"/>
                <w:sz w:val="16"/>
                <w:szCs w:val="16"/>
                <w:color w:val="auto"/>
              </w:rPr>
              <w:t>Premiums ceded for automatic contracts (mainly excess of loss), Note 24(a)(**)</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243,427</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257,617</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201,892</w:t>
            </w:r>
          </w:p>
        </w:tc>
        <w:tc>
          <w:tcPr>
            <w:tcW w:w="80" w:type="dxa"/>
            <w:vAlign w:val="bottom"/>
          </w:tcPr>
          <w:p>
            <w:pPr>
              <w:spacing w:after="0"/>
              <w:rPr>
                <w:sz w:val="16"/>
                <w:szCs w:val="16"/>
                <w:color w:val="auto"/>
              </w:rPr>
            </w:pPr>
          </w:p>
        </w:tc>
      </w:tr>
      <w:tr>
        <w:trPr>
          <w:trHeight w:val="190"/>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Premiums ceded to reinsurers in facultative contracts, Note 24(a)(**)</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288,928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263,378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292,555</w:t>
            </w:r>
          </w:p>
        </w:tc>
        <w:tc>
          <w:tcPr>
            <w:tcW w:w="80" w:type="dxa"/>
            <w:vAlign w:val="bottom"/>
            <w:shd w:val="clear" w:color="auto" w:fill="CCEEFF"/>
          </w:tcPr>
          <w:p>
            <w:pPr>
              <w:spacing w:after="0"/>
              <w:rPr>
                <w:sz w:val="16"/>
                <w:szCs w:val="16"/>
                <w:color w:val="auto"/>
              </w:rPr>
            </w:pPr>
          </w:p>
        </w:tc>
      </w:tr>
      <w:tr>
        <w:trPr>
          <w:trHeight w:val="190"/>
        </w:trPr>
        <w:tc>
          <w:tcPr>
            <w:tcW w:w="6600" w:type="dxa"/>
            <w:vAlign w:val="bottom"/>
          </w:tcPr>
          <w:p>
            <w:pPr>
              <w:spacing w:after="0"/>
              <w:rPr>
                <w:sz w:val="20"/>
                <w:szCs w:val="20"/>
                <w:color w:val="auto"/>
              </w:rPr>
            </w:pPr>
            <w:r>
              <w:rPr>
                <w:rFonts w:ascii="Arial" w:cs="Arial" w:eastAsia="Arial" w:hAnsi="Arial"/>
                <w:sz w:val="16"/>
                <w:szCs w:val="16"/>
                <w:color w:val="auto"/>
              </w:rPr>
              <w:t>Coinsurance granted</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11,433</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5,925</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5,965</w:t>
            </w:r>
          </w:p>
        </w:tc>
        <w:tc>
          <w:tcPr>
            <w:tcW w:w="80" w:type="dxa"/>
            <w:vAlign w:val="bottom"/>
          </w:tcPr>
          <w:p>
            <w:pPr>
              <w:spacing w:after="0"/>
              <w:rPr>
                <w:sz w:val="16"/>
                <w:szCs w:val="16"/>
                <w:color w:val="auto"/>
              </w:rPr>
            </w:pPr>
          </w:p>
        </w:tc>
      </w:tr>
      <w:tr>
        <w:trPr>
          <w:trHeight w:val="202"/>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Payments and other, net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(487,280)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(525,627)</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(508,367)</w:t>
            </w:r>
          </w:p>
        </w:tc>
      </w:tr>
      <w:tr>
        <w:trPr>
          <w:trHeight w:val="193"/>
        </w:trPr>
        <w:tc>
          <w:tcPr>
            <w:tcW w:w="6600" w:type="dxa"/>
            <w:vAlign w:val="bottom"/>
          </w:tcPr>
          <w:p>
            <w:pPr>
              <w:spacing w:after="0"/>
              <w:rPr>
                <w:sz w:val="20"/>
                <w:szCs w:val="20"/>
                <w:color w:val="auto"/>
              </w:rPr>
            </w:pPr>
            <w:r>
              <w:rPr>
                <w:rFonts w:ascii="Arial" w:cs="Arial" w:eastAsia="Arial" w:hAnsi="Arial"/>
                <w:sz w:val="16"/>
                <w:szCs w:val="16"/>
                <w:b w:val="1"/>
                <w:bCs w:val="1"/>
                <w:color w:val="auto"/>
              </w:rPr>
              <w:t>Balances at the end of the period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291,693</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235,185</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233,892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spacing w:after="0" w:line="258" w:lineRule="auto"/>
        <w:rPr>
          <w:sz w:val="20"/>
          <w:szCs w:val="20"/>
          <w:color w:val="auto"/>
        </w:rPr>
      </w:pPr>
      <w:r>
        <w:rPr>
          <w:rFonts w:ascii="Arial" w:cs="Arial" w:eastAsia="Arial" w:hAnsi="Arial"/>
          <w:sz w:val="16"/>
          <w:szCs w:val="16"/>
          <w:color w:val="auto"/>
        </w:rPr>
        <w:t>Accounts payable to reinsurers are primarily related to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coverage period.</w:t>
      </w:r>
    </w:p>
    <w:p>
      <w:pPr>
        <w:spacing w:after="0" w:line="355"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05"/>
          </w:cols>
          <w:pgMar w:left="235" w:top="810" w:right="259" w:bottom="1440" w:gutter="0" w:footer="0" w:header="0"/>
        </w:sectPr>
      </w:pPr>
    </w:p>
    <w:bookmarkStart w:id="85" w:name="page86"/>
    <w:bookmarkEnd w:id="85"/>
    <w:p>
      <w:pPr>
        <w:ind w:left="285" w:hanging="285"/>
        <w:spacing w:after="0"/>
        <w:tabs>
          <w:tab w:leader="none" w:pos="285"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PROPERTY, FURNITURE AND EQUIPMENT, NET</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99"/>
        </w:numPr>
        <w:rPr>
          <w:rFonts w:ascii="Arial" w:cs="Arial" w:eastAsia="Arial" w:hAnsi="Arial"/>
          <w:sz w:val="15"/>
          <w:szCs w:val="15"/>
          <w:color w:val="auto"/>
        </w:rPr>
      </w:pPr>
      <w:r>
        <w:rPr>
          <w:rFonts w:ascii="Arial" w:cs="Arial" w:eastAsia="Arial" w:hAnsi="Arial"/>
          <w:sz w:val="15"/>
          <w:szCs w:val="15"/>
          <w:color w:val="auto"/>
        </w:rPr>
        <w:t>The movement of property, furniture and equipment and accumulated depreciation, for the years ended December 31, 2018, 2017, and 2016 was as follows:</w:t>
      </w:r>
    </w:p>
    <w:p>
      <w:pPr>
        <w:spacing w:after="0" w:line="180" w:lineRule="exact"/>
        <w:rPr>
          <w:sz w:val="20"/>
          <w:szCs w:val="20"/>
          <w:color w:val="auto"/>
        </w:rPr>
      </w:pPr>
    </w:p>
    <w:tbl>
      <w:tblPr>
        <w:tblLayout w:type="fixed"/>
        <w:tblInd w:w="565"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Buildings and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Furniture</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Computer</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Vehicles and</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Work in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Land</w:t>
            </w: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other</w:t>
            </w: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Installations</w:t>
            </w: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1"/>
                <w:szCs w:val="11"/>
                <w:color w:val="auto"/>
              </w:rPr>
            </w:pPr>
          </w:p>
        </w:tc>
        <w:tc>
          <w:tcPr>
            <w:tcW w:w="7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1"/>
                <w:szCs w:val="11"/>
                <w:color w:val="auto"/>
              </w:rPr>
            </w:pPr>
          </w:p>
        </w:tc>
        <w:tc>
          <w:tcPr>
            <w:tcW w:w="7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constructions</w:t>
            </w:r>
          </w:p>
        </w:tc>
        <w:tc>
          <w:tcPr>
            <w:tcW w:w="960" w:type="dxa"/>
            <w:vAlign w:val="bottom"/>
            <w:gridSpan w:val="2"/>
            <w:vMerge w:val="continue"/>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and fixtures</w:t>
            </w: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hardware</w:t>
            </w: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equipment</w:t>
            </w: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progress</w:t>
            </w:r>
          </w:p>
        </w:tc>
        <w:tc>
          <w:tcPr>
            <w:tcW w:w="7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4"/>
              </w:rPr>
              <w:t>S/(000)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Cost -</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line="111" w:lineRule="exact"/>
              <w:rPr>
                <w:sz w:val="20"/>
                <w:szCs w:val="20"/>
                <w:color w:val="auto"/>
              </w:rPr>
            </w:pPr>
            <w:r>
              <w:rPr>
                <w:rFonts w:ascii="Arial" w:cs="Arial" w:eastAsia="Arial" w:hAnsi="Arial"/>
                <w:sz w:val="12"/>
                <w:szCs w:val="12"/>
                <w:b w:val="1"/>
                <w:bCs w:val="1"/>
                <w:color w:val="auto"/>
              </w:rPr>
              <w:t>Balance as of</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20"/>
                <w:szCs w:val="20"/>
                <w:color w:val="auto"/>
              </w:rPr>
            </w:pPr>
            <w:r>
              <w:rPr>
                <w:rFonts w:ascii="Arial" w:cs="Arial" w:eastAsia="Arial" w:hAnsi="Arial"/>
                <w:sz w:val="13"/>
                <w:szCs w:val="13"/>
                <w:b w:val="1"/>
                <w:bCs w:val="1"/>
                <w:color w:val="auto"/>
              </w:rPr>
              <w:t>January 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421,639</w:t>
            </w:r>
          </w:p>
        </w:tc>
        <w:tc>
          <w:tcPr>
            <w:tcW w:w="760" w:type="dxa"/>
            <w:vAlign w:val="bottom"/>
          </w:tcPr>
          <w:p>
            <w:pPr>
              <w:jc w:val="right"/>
              <w:spacing w:after="0"/>
              <w:rPr>
                <w:sz w:val="20"/>
                <w:szCs w:val="20"/>
                <w:color w:val="auto"/>
              </w:rPr>
            </w:pPr>
            <w:r>
              <w:rPr>
                <w:rFonts w:ascii="Arial" w:cs="Arial" w:eastAsia="Arial" w:hAnsi="Arial"/>
                <w:sz w:val="13"/>
                <w:szCs w:val="13"/>
                <w:color w:val="auto"/>
              </w:rPr>
              <w:t>1,139,916</w:t>
            </w:r>
          </w:p>
        </w:tc>
        <w:tc>
          <w:tcPr>
            <w:tcW w:w="2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591,449</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513,536</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615,059</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158,608</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64,019</w:t>
            </w:r>
          </w:p>
        </w:tc>
        <w:tc>
          <w:tcPr>
            <w:tcW w:w="740" w:type="dxa"/>
            <w:vAlign w:val="bottom"/>
          </w:tcPr>
          <w:p>
            <w:pPr>
              <w:ind w:left="240"/>
              <w:spacing w:after="0"/>
              <w:rPr>
                <w:sz w:val="20"/>
                <w:szCs w:val="20"/>
                <w:color w:val="auto"/>
              </w:rPr>
            </w:pPr>
            <w:r>
              <w:rPr>
                <w:rFonts w:ascii="Arial" w:cs="Arial" w:eastAsia="Arial" w:hAnsi="Arial"/>
                <w:sz w:val="13"/>
                <w:szCs w:val="13"/>
                <w:color w:val="auto"/>
                <w:w w:val="82"/>
              </w:rPr>
              <w:t>3,504,226</w:t>
            </w:r>
          </w:p>
        </w:tc>
        <w:tc>
          <w:tcPr>
            <w:tcW w:w="2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3,409,369</w:t>
            </w:r>
          </w:p>
        </w:tc>
        <w:tc>
          <w:tcPr>
            <w:tcW w:w="740" w:type="dxa"/>
            <w:vAlign w:val="bottom"/>
          </w:tcPr>
          <w:p>
            <w:pPr>
              <w:jc w:val="right"/>
              <w:spacing w:after="0"/>
              <w:rPr>
                <w:sz w:val="20"/>
                <w:szCs w:val="20"/>
                <w:color w:val="auto"/>
              </w:rPr>
            </w:pPr>
            <w:r>
              <w:rPr>
                <w:rFonts w:ascii="Arial" w:cs="Arial" w:eastAsia="Arial" w:hAnsi="Arial"/>
                <w:sz w:val="13"/>
                <w:szCs w:val="13"/>
                <w:color w:val="auto"/>
              </w:rPr>
              <w:t>3,455,442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Additions</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3,339</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9,589</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25,002</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39,270</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6,868</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97,391</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181,459</w:t>
            </w:r>
          </w:p>
        </w:tc>
        <w:tc>
          <w:tcPr>
            <w:tcW w:w="9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143,851</w:t>
            </w:r>
          </w:p>
        </w:tc>
        <w:tc>
          <w:tcPr>
            <w:tcW w:w="74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110,151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1" w:lineRule="exact"/>
              <w:rPr>
                <w:sz w:val="20"/>
                <w:szCs w:val="20"/>
                <w:color w:val="auto"/>
              </w:rPr>
            </w:pPr>
            <w:r>
              <w:rPr>
                <w:rFonts w:ascii="Arial" w:cs="Arial" w:eastAsia="Arial" w:hAnsi="Arial"/>
                <w:sz w:val="13"/>
                <w:szCs w:val="13"/>
                <w:color w:val="auto"/>
              </w:rPr>
              <w:t>Transfers</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6</w:t>
            </w:r>
          </w:p>
        </w:tc>
        <w:tc>
          <w:tcPr>
            <w:tcW w:w="98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8,348</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37,442</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3,820</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3,108</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337</w:t>
            </w:r>
          </w:p>
        </w:tc>
        <w:tc>
          <w:tcPr>
            <w:tcW w:w="220" w:type="dxa"/>
            <w:vAlign w:val="bottom"/>
          </w:tcPr>
          <w:p>
            <w:pPr>
              <w:spacing w:after="0"/>
              <w:rPr>
                <w:sz w:val="11"/>
                <w:szCs w:val="11"/>
                <w:color w:val="auto"/>
              </w:rPr>
            </w:pP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(53,061)</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w w:val="95"/>
              </w:rPr>
              <w:t>Disposals and others</w:t>
            </w:r>
          </w:p>
        </w:tc>
        <w:tc>
          <w:tcPr>
            <w:tcW w:w="9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(10,535)</w:t>
            </w:r>
          </w:p>
        </w:tc>
        <w:tc>
          <w:tcPr>
            <w:tcW w:w="9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10,774</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(26,912)</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(20,837)</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(25,223)</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(10,396)</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(28,976)</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(112,105)</w:t>
            </w:r>
          </w:p>
        </w:tc>
        <w:tc>
          <w:tcPr>
            <w:tcW w:w="9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(48,994)</w:t>
            </w: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(156,224)</w:t>
            </w:r>
          </w:p>
        </w:tc>
        <w:tc>
          <w:tcPr>
            <w:tcW w:w="0" w:type="dxa"/>
            <w:vAlign w:val="bottom"/>
          </w:tcPr>
          <w:p>
            <w:pPr>
              <w:spacing w:after="0"/>
              <w:rPr>
                <w:sz w:val="1"/>
                <w:szCs w:val="1"/>
                <w:color w:val="auto"/>
              </w:rPr>
            </w:pPr>
          </w:p>
        </w:tc>
      </w:tr>
      <w:tr>
        <w:trPr>
          <w:trHeight w:val="90"/>
        </w:trPr>
        <w:tc>
          <w:tcPr>
            <w:tcW w:w="1180" w:type="dxa"/>
            <w:vAlign w:val="bottom"/>
          </w:tcPr>
          <w:p>
            <w:pPr>
              <w:spacing w:after="0" w:line="91" w:lineRule="exact"/>
              <w:rPr>
                <w:sz w:val="20"/>
                <w:szCs w:val="20"/>
                <w:color w:val="auto"/>
              </w:rPr>
            </w:pPr>
            <w:r>
              <w:rPr>
                <w:rFonts w:ascii="Arial" w:cs="Arial" w:eastAsia="Arial" w:hAnsi="Arial"/>
                <w:sz w:val="9"/>
                <w:szCs w:val="9"/>
                <w:b w:val="1"/>
                <w:bCs w:val="1"/>
                <w:color w:val="auto"/>
              </w:rPr>
              <w:t>Balance as of</w:t>
            </w: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411,110</w:t>
            </w:r>
          </w:p>
        </w:tc>
        <w:tc>
          <w:tcPr>
            <w:tcW w:w="760" w:type="dxa"/>
            <w:vAlign w:val="bottom"/>
          </w:tcPr>
          <w:p>
            <w:pPr>
              <w:jc w:val="right"/>
              <w:spacing w:after="0"/>
              <w:rPr>
                <w:sz w:val="20"/>
                <w:szCs w:val="20"/>
                <w:color w:val="auto"/>
              </w:rPr>
            </w:pPr>
            <w:r>
              <w:rPr>
                <w:rFonts w:ascii="Arial" w:cs="Arial" w:eastAsia="Arial" w:hAnsi="Arial"/>
                <w:sz w:val="13"/>
                <w:szCs w:val="13"/>
                <w:color w:val="auto"/>
              </w:rPr>
              <w:t>1,162,377</w:t>
            </w:r>
          </w:p>
        </w:tc>
        <w:tc>
          <w:tcPr>
            <w:tcW w:w="2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611,568</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521,521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632,214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155,417</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79,373</w:t>
            </w:r>
          </w:p>
        </w:tc>
        <w:tc>
          <w:tcPr>
            <w:tcW w:w="740" w:type="dxa"/>
            <w:vAlign w:val="bottom"/>
          </w:tcPr>
          <w:p>
            <w:pPr>
              <w:ind w:left="240"/>
              <w:spacing w:after="0"/>
              <w:rPr>
                <w:sz w:val="20"/>
                <w:szCs w:val="20"/>
                <w:color w:val="auto"/>
              </w:rPr>
            </w:pPr>
            <w:r>
              <w:rPr>
                <w:rFonts w:ascii="Arial" w:cs="Arial" w:eastAsia="Arial" w:hAnsi="Arial"/>
                <w:sz w:val="13"/>
                <w:szCs w:val="13"/>
                <w:color w:val="auto"/>
                <w:w w:val="82"/>
              </w:rPr>
              <w:t>3,573,580</w:t>
            </w:r>
          </w:p>
        </w:tc>
        <w:tc>
          <w:tcPr>
            <w:tcW w:w="2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3,504,226</w:t>
            </w:r>
          </w:p>
        </w:tc>
        <w:tc>
          <w:tcPr>
            <w:tcW w:w="740" w:type="dxa"/>
            <w:vAlign w:val="bottom"/>
          </w:tcPr>
          <w:p>
            <w:pPr>
              <w:jc w:val="right"/>
              <w:spacing w:after="0"/>
              <w:rPr>
                <w:sz w:val="20"/>
                <w:szCs w:val="20"/>
                <w:color w:val="auto"/>
              </w:rPr>
            </w:pPr>
            <w:r>
              <w:rPr>
                <w:rFonts w:ascii="Arial" w:cs="Arial" w:eastAsia="Arial" w:hAnsi="Arial"/>
                <w:sz w:val="13"/>
                <w:szCs w:val="13"/>
                <w:color w:val="auto"/>
              </w:rPr>
              <w:t>3,409,369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line="111" w:lineRule="exact"/>
              <w:rPr>
                <w:sz w:val="20"/>
                <w:szCs w:val="20"/>
                <w:color w:val="auto"/>
              </w:rPr>
            </w:pPr>
            <w:r>
              <w:rPr>
                <w:rFonts w:ascii="Arial" w:cs="Arial" w:eastAsia="Arial" w:hAnsi="Arial"/>
                <w:sz w:val="12"/>
                <w:szCs w:val="12"/>
                <w:b w:val="1"/>
                <w:bCs w:val="1"/>
                <w:color w:val="auto"/>
              </w:rPr>
              <w:t>Accumulated</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20"/>
                <w:szCs w:val="20"/>
                <w:color w:val="auto"/>
              </w:rPr>
            </w:pPr>
            <w:r>
              <w:rPr>
                <w:rFonts w:ascii="Arial" w:cs="Arial" w:eastAsia="Arial" w:hAnsi="Arial"/>
                <w:sz w:val="13"/>
                <w:szCs w:val="13"/>
                <w:b w:val="1"/>
                <w:bCs w:val="1"/>
                <w:color w:val="auto"/>
              </w:rPr>
              <w:t>depreciation -</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8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Balance as of</w:t>
            </w: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January 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615,725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424,999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336,095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509,707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108,208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3"/>
                <w:szCs w:val="13"/>
                <w:color w:val="auto"/>
                <w:w w:val="82"/>
              </w:rPr>
              <w:t>1,994,734</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1,857,666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1,784,001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80" w:type="dxa"/>
            <w:vAlign w:val="bottom"/>
          </w:tcPr>
          <w:p>
            <w:pPr>
              <w:spacing w:after="0" w:line="114" w:lineRule="exact"/>
              <w:rPr>
                <w:sz w:val="20"/>
                <w:szCs w:val="20"/>
                <w:color w:val="auto"/>
              </w:rPr>
            </w:pPr>
            <w:r>
              <w:rPr>
                <w:rFonts w:ascii="Arial" w:cs="Arial" w:eastAsia="Arial" w:hAnsi="Arial"/>
                <w:sz w:val="13"/>
                <w:szCs w:val="13"/>
                <w:color w:val="auto"/>
              </w:rPr>
              <w:t>Depreciation for the</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line="146" w:lineRule="exact"/>
              <w:rPr>
                <w:sz w:val="20"/>
                <w:szCs w:val="20"/>
                <w:color w:val="auto"/>
              </w:rPr>
            </w:pPr>
            <w:r>
              <w:rPr>
                <w:rFonts w:ascii="Arial" w:cs="Arial" w:eastAsia="Arial" w:hAnsi="Arial"/>
                <w:sz w:val="13"/>
                <w:szCs w:val="13"/>
                <w:color w:val="auto"/>
              </w:rPr>
              <w:t>year</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30,607</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45,831</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33,419</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47,234</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13,047</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170,138</w:t>
            </w:r>
          </w:p>
        </w:tc>
        <w:tc>
          <w:tcPr>
            <w:tcW w:w="94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178,895</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182,845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w w:val="95"/>
              </w:rPr>
              <w:t>Disposals and others</w:t>
            </w:r>
          </w:p>
        </w:tc>
        <w:tc>
          <w:tcPr>
            <w:tcW w:w="9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(14,071)</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(13,726)</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(16,056)</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(20,619)</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(7,522)</w:t>
            </w:r>
          </w:p>
        </w:tc>
        <w:tc>
          <w:tcPr>
            <w:tcW w:w="9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(71,994)</w:t>
            </w:r>
          </w:p>
        </w:tc>
        <w:tc>
          <w:tcPr>
            <w:tcW w:w="9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(41,827)</w:t>
            </w: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(109,180)</w:t>
            </w:r>
          </w:p>
        </w:tc>
        <w:tc>
          <w:tcPr>
            <w:tcW w:w="0" w:type="dxa"/>
            <w:vAlign w:val="bottom"/>
          </w:tcPr>
          <w:p>
            <w:pPr>
              <w:spacing w:after="0"/>
              <w:rPr>
                <w:sz w:val="1"/>
                <w:szCs w:val="1"/>
                <w:color w:val="auto"/>
              </w:rPr>
            </w:pPr>
          </w:p>
        </w:tc>
      </w:tr>
      <w:tr>
        <w:trPr>
          <w:trHeight w:val="90"/>
        </w:trPr>
        <w:tc>
          <w:tcPr>
            <w:tcW w:w="1180" w:type="dxa"/>
            <w:vAlign w:val="bottom"/>
          </w:tcPr>
          <w:p>
            <w:pPr>
              <w:spacing w:after="0" w:line="91" w:lineRule="exact"/>
              <w:rPr>
                <w:sz w:val="20"/>
                <w:szCs w:val="20"/>
                <w:color w:val="auto"/>
              </w:rPr>
            </w:pPr>
            <w:r>
              <w:rPr>
                <w:rFonts w:ascii="Arial" w:cs="Arial" w:eastAsia="Arial" w:hAnsi="Arial"/>
                <w:sz w:val="9"/>
                <w:szCs w:val="9"/>
                <w:b w:val="1"/>
                <w:bCs w:val="1"/>
                <w:color w:val="auto"/>
              </w:rPr>
              <w:t>Balance as of</w:t>
            </w: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632,261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457,104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353,458</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536,322</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113,733</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ind w:left="240"/>
              <w:spacing w:after="0"/>
              <w:rPr>
                <w:sz w:val="20"/>
                <w:szCs w:val="20"/>
                <w:color w:val="auto"/>
              </w:rPr>
            </w:pPr>
            <w:r>
              <w:rPr>
                <w:rFonts w:ascii="Arial" w:cs="Arial" w:eastAsia="Arial" w:hAnsi="Arial"/>
                <w:sz w:val="13"/>
                <w:szCs w:val="13"/>
                <w:color w:val="auto"/>
                <w:w w:val="82"/>
              </w:rPr>
              <w:t>2,092,878</w:t>
            </w:r>
          </w:p>
        </w:tc>
        <w:tc>
          <w:tcPr>
            <w:tcW w:w="2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1,994,734</w:t>
            </w:r>
          </w:p>
        </w:tc>
        <w:tc>
          <w:tcPr>
            <w:tcW w:w="740" w:type="dxa"/>
            <w:vAlign w:val="bottom"/>
          </w:tcPr>
          <w:p>
            <w:pPr>
              <w:jc w:val="right"/>
              <w:spacing w:after="0"/>
              <w:rPr>
                <w:sz w:val="20"/>
                <w:szCs w:val="20"/>
                <w:color w:val="auto"/>
              </w:rPr>
            </w:pPr>
            <w:r>
              <w:rPr>
                <w:rFonts w:ascii="Arial" w:cs="Arial" w:eastAsia="Arial" w:hAnsi="Arial"/>
                <w:sz w:val="13"/>
                <w:szCs w:val="13"/>
                <w:color w:val="auto"/>
              </w:rPr>
              <w:t>1,857,666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line="111" w:lineRule="exact"/>
              <w:rPr>
                <w:sz w:val="20"/>
                <w:szCs w:val="20"/>
                <w:color w:val="auto"/>
              </w:rPr>
            </w:pPr>
            <w:r>
              <w:rPr>
                <w:rFonts w:ascii="Arial" w:cs="Arial" w:eastAsia="Arial" w:hAnsi="Arial"/>
                <w:sz w:val="12"/>
                <w:szCs w:val="12"/>
                <w:b w:val="1"/>
                <w:bCs w:val="1"/>
                <w:color w:val="auto"/>
              </w:rPr>
              <w:t>Net carrying</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411,110</w:t>
            </w:r>
          </w:p>
        </w:tc>
        <w:tc>
          <w:tcPr>
            <w:tcW w:w="760" w:type="dxa"/>
            <w:vAlign w:val="bottom"/>
          </w:tcPr>
          <w:p>
            <w:pPr>
              <w:jc w:val="right"/>
              <w:spacing w:after="0"/>
              <w:rPr>
                <w:sz w:val="20"/>
                <w:szCs w:val="20"/>
                <w:color w:val="auto"/>
              </w:rPr>
            </w:pPr>
            <w:r>
              <w:rPr>
                <w:rFonts w:ascii="Arial" w:cs="Arial" w:eastAsia="Arial" w:hAnsi="Arial"/>
                <w:sz w:val="13"/>
                <w:szCs w:val="13"/>
                <w:color w:val="auto"/>
              </w:rPr>
              <w:t>530,116</w:t>
            </w:r>
          </w:p>
        </w:tc>
        <w:tc>
          <w:tcPr>
            <w:tcW w:w="2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154,464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168,063</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95,892</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41,684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79,373</w:t>
            </w:r>
          </w:p>
        </w:tc>
        <w:tc>
          <w:tcPr>
            <w:tcW w:w="740" w:type="dxa"/>
            <w:vAlign w:val="bottom"/>
          </w:tcPr>
          <w:p>
            <w:pPr>
              <w:ind w:left="240"/>
              <w:spacing w:after="0"/>
              <w:rPr>
                <w:sz w:val="20"/>
                <w:szCs w:val="20"/>
                <w:color w:val="auto"/>
              </w:rPr>
            </w:pPr>
            <w:r>
              <w:rPr>
                <w:rFonts w:ascii="Arial" w:cs="Arial" w:eastAsia="Arial" w:hAnsi="Arial"/>
                <w:sz w:val="13"/>
                <w:szCs w:val="13"/>
                <w:color w:val="auto"/>
                <w:w w:val="82"/>
              </w:rPr>
              <w:t>1,480,702</w:t>
            </w:r>
          </w:p>
        </w:tc>
        <w:tc>
          <w:tcPr>
            <w:tcW w:w="2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1,509,492</w:t>
            </w:r>
          </w:p>
        </w:tc>
        <w:tc>
          <w:tcPr>
            <w:tcW w:w="740" w:type="dxa"/>
            <w:vAlign w:val="bottom"/>
          </w:tcPr>
          <w:p>
            <w:pPr>
              <w:jc w:val="right"/>
              <w:spacing w:after="0"/>
              <w:rPr>
                <w:sz w:val="20"/>
                <w:szCs w:val="20"/>
                <w:color w:val="auto"/>
              </w:rPr>
            </w:pPr>
            <w:r>
              <w:rPr>
                <w:rFonts w:ascii="Arial" w:cs="Arial" w:eastAsia="Arial" w:hAnsi="Arial"/>
                <w:sz w:val="13"/>
                <w:szCs w:val="13"/>
                <w:color w:val="auto"/>
              </w:rPr>
              <w:t>1,551,703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spacing w:after="0"/>
        <w:rPr>
          <w:sz w:val="20"/>
          <w:szCs w:val="20"/>
          <w:color w:val="auto"/>
        </w:rPr>
      </w:pPr>
      <w:r>
        <w:rPr>
          <w:rFonts w:ascii="Arial" w:cs="Arial" w:eastAsia="Arial" w:hAnsi="Arial"/>
          <w:sz w:val="16"/>
          <w:szCs w:val="16"/>
          <w:color w:val="auto"/>
        </w:rPr>
        <w:t>Banks, financial institutions and insurance entities operating in Peru are not allowed to pledge their fixed assets.</w:t>
      </w:r>
    </w:p>
    <w:p>
      <w:pPr>
        <w:spacing w:after="0" w:line="195" w:lineRule="exact"/>
        <w:rPr>
          <w:sz w:val="20"/>
          <w:szCs w:val="20"/>
          <w:color w:val="auto"/>
        </w:rPr>
      </w:pPr>
    </w:p>
    <w:p>
      <w:pPr>
        <w:ind w:left="565" w:right="80"/>
        <w:spacing w:after="0" w:line="254" w:lineRule="auto"/>
        <w:rPr>
          <w:sz w:val="20"/>
          <w:szCs w:val="20"/>
          <w:color w:val="auto"/>
        </w:rPr>
      </w:pPr>
      <w:r>
        <w:rPr>
          <w:rFonts w:ascii="Arial" w:cs="Arial" w:eastAsia="Arial" w:hAnsi="Arial"/>
          <w:sz w:val="16"/>
          <w:szCs w:val="16"/>
          <w:color w:val="auto"/>
        </w:rPr>
        <w:t>During the year 2018, the Bank has carried out operations related to the purchase of computer equipment, furniture and services, as well as the remodeling of its headquarters in La Molina, as part of its annual infrastructure investin. During 2017 Credicorp and its Subsidiaries, as part of its annual infrastructure investing, made cash disbursements related mainly to the acquisition, construction and implementation of new agencies for its banking segment, and the refurbishment and conditioning of several agencies and administrative offices.</w:t>
      </w:r>
    </w:p>
    <w:p>
      <w:pPr>
        <w:spacing w:after="0" w:line="169" w:lineRule="exact"/>
        <w:rPr>
          <w:sz w:val="20"/>
          <w:szCs w:val="20"/>
          <w:color w:val="auto"/>
        </w:rPr>
      </w:pPr>
    </w:p>
    <w:p>
      <w:pPr>
        <w:ind w:left="565"/>
        <w:spacing w:after="0"/>
        <w:rPr>
          <w:sz w:val="20"/>
          <w:szCs w:val="20"/>
          <w:color w:val="auto"/>
        </w:rPr>
      </w:pPr>
      <w:r>
        <w:rPr>
          <w:rFonts w:ascii="Arial" w:cs="Arial" w:eastAsia="Arial" w:hAnsi="Arial"/>
          <w:sz w:val="16"/>
          <w:szCs w:val="16"/>
          <w:color w:val="auto"/>
        </w:rPr>
        <w:t>Credicorp’s subsidiaries hold insurance contracts over its main assets in accordance with the policies established by Management.</w:t>
      </w:r>
    </w:p>
    <w:p>
      <w:pPr>
        <w:spacing w:after="0" w:line="195" w:lineRule="exact"/>
        <w:rPr>
          <w:sz w:val="20"/>
          <w:szCs w:val="20"/>
          <w:color w:val="auto"/>
        </w:rPr>
      </w:pPr>
    </w:p>
    <w:p>
      <w:pPr>
        <w:ind w:left="565"/>
        <w:spacing w:after="0" w:line="258" w:lineRule="auto"/>
        <w:rPr>
          <w:sz w:val="20"/>
          <w:szCs w:val="20"/>
          <w:color w:val="auto"/>
        </w:rPr>
      </w:pPr>
      <w:r>
        <w:rPr>
          <w:rFonts w:ascii="Arial" w:cs="Arial" w:eastAsia="Arial" w:hAnsi="Arial"/>
          <w:sz w:val="16"/>
          <w:szCs w:val="16"/>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2018 and 2017 there is no evidence of impairment of the Group’s property, furniture and equipment.</w:t>
      </w:r>
    </w:p>
    <w:p>
      <w:pPr>
        <w:spacing w:after="0" w:line="35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0" w:right="219" w:bottom="1440" w:gutter="0" w:footer="0" w:header="0"/>
        </w:sectPr>
      </w:pPr>
    </w:p>
    <w:bookmarkStart w:id="86" w:name="page87"/>
    <w:bookmarkEnd w:id="86"/>
    <w:p>
      <w:pPr>
        <w:ind w:left="285" w:hanging="285"/>
        <w:spacing w:after="0"/>
        <w:tabs>
          <w:tab w:leader="none" w:pos="285"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 AND GOODWILL, NET</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195"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The movement of intangible assets with limited useful life for the years ended December 31, 2018, 2017 and 2016 was as follows:</w:t>
      </w:r>
    </w:p>
    <w:p>
      <w:pPr>
        <w:spacing w:after="0" w:line="169" w:lineRule="exact"/>
        <w:rPr>
          <w:sz w:val="20"/>
          <w:szCs w:val="20"/>
          <w:color w:val="auto"/>
        </w:rPr>
      </w:pPr>
    </w:p>
    <w:tbl>
      <w:tblPr>
        <w:tblLayout w:type="fixed"/>
        <w:tblInd w:w="565"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Client</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Rights of</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Brand</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Fund</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Core deposits</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Software and</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1"/>
              </w:rPr>
              <w:t>Intangible</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relationships</w:t>
            </w: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8"/>
              </w:rPr>
              <w:t>manager</w:t>
            </w: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7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1"/>
                <w:szCs w:val="11"/>
                <w:color w:val="auto"/>
              </w:rPr>
            </w:pPr>
          </w:p>
        </w:tc>
        <w:tc>
          <w:tcPr>
            <w:tcW w:w="7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1"/>
                <w:szCs w:val="11"/>
                <w:color w:val="auto"/>
              </w:rPr>
            </w:pPr>
          </w:p>
        </w:tc>
        <w:tc>
          <w:tcPr>
            <w:tcW w:w="5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80" w:type="dxa"/>
            <w:vAlign w:val="bottom"/>
            <w:gridSpan w:val="2"/>
            <w:vMerge w:val="continue"/>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(i)</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0"/>
              </w:rPr>
              <w:t>use</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name (ii)</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contract (iii)</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intangible</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developments</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 progress</w:t>
            </w:r>
          </w:p>
        </w:tc>
        <w:tc>
          <w:tcPr>
            <w:tcW w:w="92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S/(000)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Cost -</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8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Balances at</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January 1</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407,205</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55,900</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262,099</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101,485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21,100</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1,909,252</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306,211</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27,113</w:t>
            </w:r>
          </w:p>
        </w:tc>
        <w:tc>
          <w:tcPr>
            <w:tcW w:w="740" w:type="dxa"/>
            <w:vAlign w:val="bottom"/>
          </w:tcPr>
          <w:p>
            <w:pPr>
              <w:jc w:val="right"/>
              <w:spacing w:after="0"/>
              <w:rPr>
                <w:sz w:val="20"/>
                <w:szCs w:val="20"/>
                <w:color w:val="auto"/>
              </w:rPr>
            </w:pPr>
            <w:r>
              <w:rPr>
                <w:rFonts w:ascii="Arial" w:cs="Arial" w:eastAsia="Arial" w:hAnsi="Arial"/>
                <w:sz w:val="13"/>
                <w:szCs w:val="13"/>
                <w:color w:val="auto"/>
              </w:rPr>
              <w:t>3,090,365</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2,789,435</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2,512,114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0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Additions</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96,368</w:t>
            </w:r>
          </w:p>
        </w:tc>
        <w:tc>
          <w:tcPr>
            <w:tcW w:w="9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323,421</w:t>
            </w:r>
          </w:p>
        </w:tc>
        <w:tc>
          <w:tcPr>
            <w:tcW w:w="92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419,789</w:t>
            </w: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271,722</w:t>
            </w:r>
          </w:p>
        </w:tc>
        <w:tc>
          <w:tcPr>
            <w:tcW w:w="58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277,346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80" w:type="dxa"/>
            <w:vAlign w:val="bottom"/>
            <w:gridSpan w:val="2"/>
          </w:tcPr>
          <w:p>
            <w:pPr>
              <w:spacing w:after="0" w:line="131" w:lineRule="exact"/>
              <w:rPr>
                <w:sz w:val="20"/>
                <w:szCs w:val="20"/>
                <w:color w:val="auto"/>
              </w:rPr>
            </w:pPr>
            <w:r>
              <w:rPr>
                <w:rFonts w:ascii="Arial" w:cs="Arial" w:eastAsia="Arial" w:hAnsi="Arial"/>
                <w:sz w:val="13"/>
                <w:szCs w:val="13"/>
                <w:color w:val="auto"/>
              </w:rPr>
              <w:t>Transfers</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202,876</w:t>
            </w:r>
          </w:p>
        </w:tc>
        <w:tc>
          <w:tcPr>
            <w:tcW w:w="94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(202,604)</w:t>
            </w:r>
          </w:p>
        </w:tc>
        <w:tc>
          <w:tcPr>
            <w:tcW w:w="9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(272)</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08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Disposals and</w:t>
            </w: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(3,598)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(55,900)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(3,171)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(5,958)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(35,194)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(103,821)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29,208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90"/>
        </w:trPr>
        <w:tc>
          <w:tcPr>
            <w:tcW w:w="1080" w:type="dxa"/>
            <w:vAlign w:val="bottom"/>
            <w:gridSpan w:val="2"/>
          </w:tcPr>
          <w:p>
            <w:pPr>
              <w:spacing w:after="0" w:line="91" w:lineRule="exact"/>
              <w:rPr>
                <w:sz w:val="20"/>
                <w:szCs w:val="20"/>
                <w:color w:val="auto"/>
              </w:rPr>
            </w:pPr>
            <w:r>
              <w:rPr>
                <w:rFonts w:ascii="Arial" w:cs="Arial" w:eastAsia="Arial" w:hAnsi="Arial"/>
                <w:sz w:val="9"/>
                <w:szCs w:val="9"/>
                <w:b w:val="1"/>
                <w:bCs w:val="1"/>
                <w:color w:val="auto"/>
              </w:rPr>
              <w:t>Balances at</w:t>
            </w: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403,607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258,928</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95,527</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21,100</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2,173,302</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427,028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26,841</w:t>
            </w:r>
          </w:p>
        </w:tc>
        <w:tc>
          <w:tcPr>
            <w:tcW w:w="740" w:type="dxa"/>
            <w:vAlign w:val="bottom"/>
          </w:tcPr>
          <w:p>
            <w:pPr>
              <w:jc w:val="right"/>
              <w:spacing w:after="0"/>
              <w:rPr>
                <w:sz w:val="20"/>
                <w:szCs w:val="20"/>
                <w:color w:val="auto"/>
              </w:rPr>
            </w:pPr>
            <w:r>
              <w:rPr>
                <w:rFonts w:ascii="Arial" w:cs="Arial" w:eastAsia="Arial" w:hAnsi="Arial"/>
                <w:sz w:val="13"/>
                <w:szCs w:val="13"/>
                <w:color w:val="auto"/>
              </w:rPr>
              <w:t>3,406,333</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3,090,365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2,789,435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Accumulated</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amortization -</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08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Balance at</w:t>
            </w: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January 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231,552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55,900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111,653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2,739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13,187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1,305,603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26,841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1,747,475</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1,464,894</w:t>
            </w: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1,242,843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080" w:type="dxa"/>
            <w:vAlign w:val="bottom"/>
            <w:gridSpan w:val="2"/>
          </w:tcPr>
          <w:p>
            <w:pPr>
              <w:spacing w:after="0" w:line="114" w:lineRule="exact"/>
              <w:rPr>
                <w:sz w:val="20"/>
                <w:szCs w:val="20"/>
                <w:color w:val="auto"/>
              </w:rPr>
            </w:pPr>
            <w:r>
              <w:rPr>
                <w:rFonts w:ascii="Arial" w:cs="Arial" w:eastAsia="Arial" w:hAnsi="Arial"/>
                <w:sz w:val="13"/>
                <w:szCs w:val="13"/>
                <w:color w:val="auto"/>
              </w:rPr>
              <w:t>Amortization of</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80" w:type="dxa"/>
            <w:vAlign w:val="bottom"/>
            <w:gridSpan w:val="2"/>
          </w:tcPr>
          <w:p>
            <w:pPr>
              <w:spacing w:after="0" w:line="146" w:lineRule="exact"/>
              <w:rPr>
                <w:sz w:val="20"/>
                <w:szCs w:val="20"/>
                <w:color w:val="auto"/>
              </w:rPr>
            </w:pPr>
            <w:r>
              <w:rPr>
                <w:rFonts w:ascii="Arial" w:cs="Arial" w:eastAsia="Arial" w:hAnsi="Arial"/>
                <w:sz w:val="13"/>
                <w:szCs w:val="13"/>
                <w:color w:val="auto"/>
              </w:rPr>
              <w:t>the year</w:t>
            </w:r>
          </w:p>
        </w:tc>
        <w:tc>
          <w:tcPr>
            <w:tcW w:w="9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27,411</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11,574</w:t>
            </w:r>
          </w:p>
        </w:tc>
        <w:tc>
          <w:tcPr>
            <w:tcW w:w="94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5,363</w:t>
            </w:r>
          </w:p>
        </w:tc>
        <w:tc>
          <w:tcPr>
            <w:tcW w:w="94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3,516</w:t>
            </w:r>
          </w:p>
        </w:tc>
        <w:tc>
          <w:tcPr>
            <w:tcW w:w="94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211,120</w:t>
            </w:r>
          </w:p>
        </w:tc>
        <w:tc>
          <w:tcPr>
            <w:tcW w:w="94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258,984</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241,080</w:t>
            </w: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224,216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08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Disposals and</w:t>
            </w: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(55,900)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(2,802)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(3,383)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(64,498)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41,501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(2,165)</w:t>
            </w:r>
          </w:p>
        </w:tc>
        <w:tc>
          <w:tcPr>
            <w:tcW w:w="0" w:type="dxa"/>
            <w:vAlign w:val="bottom"/>
          </w:tcPr>
          <w:p>
            <w:pPr>
              <w:spacing w:after="0"/>
              <w:rPr>
                <w:sz w:val="1"/>
                <w:szCs w:val="1"/>
                <w:color w:val="auto"/>
              </w:rPr>
            </w:pPr>
          </w:p>
        </w:tc>
      </w:tr>
      <w:tr>
        <w:trPr>
          <w:trHeight w:val="90"/>
        </w:trPr>
        <w:tc>
          <w:tcPr>
            <w:tcW w:w="1080" w:type="dxa"/>
            <w:vAlign w:val="bottom"/>
            <w:gridSpan w:val="2"/>
          </w:tcPr>
          <w:p>
            <w:pPr>
              <w:spacing w:after="0" w:line="91" w:lineRule="exact"/>
              <w:rPr>
                <w:sz w:val="20"/>
                <w:szCs w:val="20"/>
                <w:color w:val="auto"/>
              </w:rPr>
            </w:pPr>
            <w:r>
              <w:rPr>
                <w:rFonts w:ascii="Arial" w:cs="Arial" w:eastAsia="Arial" w:hAnsi="Arial"/>
                <w:sz w:val="9"/>
                <w:szCs w:val="9"/>
                <w:b w:val="1"/>
                <w:bCs w:val="1"/>
                <w:color w:val="auto"/>
              </w:rPr>
              <w:t>Balance at</w:t>
            </w: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257,580</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120,425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7,072</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16,703</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1,513,340</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26,841</w:t>
            </w:r>
          </w:p>
        </w:tc>
        <w:tc>
          <w:tcPr>
            <w:tcW w:w="740" w:type="dxa"/>
            <w:vAlign w:val="bottom"/>
          </w:tcPr>
          <w:p>
            <w:pPr>
              <w:jc w:val="right"/>
              <w:spacing w:after="0"/>
              <w:rPr>
                <w:sz w:val="20"/>
                <w:szCs w:val="20"/>
                <w:color w:val="auto"/>
              </w:rPr>
            </w:pPr>
            <w:r>
              <w:rPr>
                <w:rFonts w:ascii="Arial" w:cs="Arial" w:eastAsia="Arial" w:hAnsi="Arial"/>
                <w:sz w:val="13"/>
                <w:szCs w:val="13"/>
                <w:color w:val="auto"/>
              </w:rPr>
              <w:t>1,941,961</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1,747,475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1,464,894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Net carrying</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146,027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138,503</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88,455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4,397</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659,962</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427,028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1,464,372</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1,342,890</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1,324,541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right="40"/>
        <w:spacing w:after="0" w:line="302" w:lineRule="auto"/>
        <w:rPr>
          <w:sz w:val="20"/>
          <w:szCs w:val="20"/>
          <w:color w:val="auto"/>
        </w:rPr>
      </w:pPr>
      <w:r>
        <w:rPr>
          <w:rFonts w:ascii="Arial" w:cs="Arial" w:eastAsia="Arial" w:hAnsi="Arial"/>
          <w:sz w:val="14"/>
          <w:szCs w:val="14"/>
          <w:color w:val="auto"/>
        </w:rPr>
        <w:t>During the year 2018, additions are mainly related to the implementation and development of various IT projects such as Business Integration, DWH – Modelo Lineal I15, Credit Card, Customer Identity and Access Management, DWH – Operative Model, Yape and others (Nuevo HomeBanking Alta, opening of savings accounts in Kiosco, Yape, User IT, Retail Credits, Effectiveness in approval and Portal Via BCP (implementation of a technological platform, which is used for the administration of the insurance segment of the group, and to develop applications related to customer service channels, and implementation of treasury solutions during the year 2017).</w:t>
      </w:r>
    </w:p>
    <w:p>
      <w:pPr>
        <w:spacing w:after="0" w:line="328"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5"/>
          </w:cols>
          <w:pgMar w:left="235" w:top="810"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1"/>
        </w:trPr>
        <w:tc>
          <w:tcPr>
            <w:tcW w:w="240" w:type="dxa"/>
            <w:vAlign w:val="bottom"/>
          </w:tcPr>
          <w:p>
            <w:pPr>
              <w:spacing w:after="0"/>
              <w:rPr>
                <w:sz w:val="20"/>
                <w:szCs w:val="20"/>
                <w:color w:val="auto"/>
              </w:rPr>
            </w:pPr>
            <w:r>
              <w:rPr>
                <w:rFonts w:ascii="Arial" w:cs="Arial" w:eastAsia="Arial" w:hAnsi="Arial"/>
                <w:sz w:val="16"/>
                <w:szCs w:val="16"/>
                <w:color w:val="auto"/>
              </w:rPr>
              <w:t>(i)</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Client relationships -</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This item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7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Prima AFP - AFP Unión Vida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94,670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Mibanco</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27,065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39,093</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Holding Chile - Inversiones IMT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22,776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26,206</w:t>
            </w: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Mibanco - Edyficar Perú</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1,516</w:t>
            </w:r>
          </w:p>
        </w:tc>
        <w:tc>
          <w:tcPr>
            <w:tcW w:w="1120" w:type="dxa"/>
            <w:vAlign w:val="bottom"/>
          </w:tcPr>
          <w:p>
            <w:pPr>
              <w:jc w:val="right"/>
              <w:spacing w:after="0"/>
              <w:rPr>
                <w:sz w:val="20"/>
                <w:szCs w:val="20"/>
                <w:color w:val="auto"/>
              </w:rPr>
            </w:pPr>
            <w:r>
              <w:rPr>
                <w:rFonts w:ascii="Arial" w:cs="Arial" w:eastAsia="Arial" w:hAnsi="Arial"/>
                <w:sz w:val="16"/>
                <w:szCs w:val="16"/>
                <w:color w:val="auto"/>
              </w:rPr>
              <w:t>3,336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carrying amount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146,027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6"/>
                <w:szCs w:val="16"/>
                <w:color w:val="auto"/>
              </w:rPr>
              <w:t>(ii)</w:t>
            </w:r>
          </w:p>
        </w:tc>
        <w:tc>
          <w:tcPr>
            <w:tcW w:w="7780" w:type="dxa"/>
            <w:vAlign w:val="bottom"/>
            <w:gridSpan w:val="2"/>
            <w:vMerge w:val="restart"/>
          </w:tcPr>
          <w:p>
            <w:pPr>
              <w:ind w:left="40"/>
              <w:spacing w:after="0"/>
              <w:rPr>
                <w:sz w:val="20"/>
                <w:szCs w:val="20"/>
                <w:color w:val="auto"/>
              </w:rPr>
            </w:pPr>
            <w:r>
              <w:rPr>
                <w:rFonts w:ascii="Arial" w:cs="Arial" w:eastAsia="Arial" w:hAnsi="Arial"/>
                <w:sz w:val="16"/>
                <w:szCs w:val="16"/>
                <w:color w:val="auto"/>
              </w:rPr>
              <w:t>Brand name -</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40" w:type="dxa"/>
            <w:vAlign w:val="bottom"/>
            <w:vMerge w:val="continue"/>
          </w:tcPr>
          <w:p>
            <w:pPr>
              <w:spacing w:after="0"/>
              <w:rPr>
                <w:sz w:val="24"/>
                <w:szCs w:val="24"/>
                <w:color w:val="auto"/>
              </w:rPr>
            </w:pPr>
          </w:p>
        </w:tc>
        <w:tc>
          <w:tcPr>
            <w:tcW w:w="77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This item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774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Mibanco</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138,268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Credicorp Capital Holding Chile - Inversiones IMT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235</w:t>
            </w:r>
          </w:p>
        </w:tc>
        <w:tc>
          <w:tcPr>
            <w:tcW w:w="1120" w:type="dxa"/>
            <w:vAlign w:val="bottom"/>
          </w:tcPr>
          <w:p>
            <w:pPr>
              <w:jc w:val="right"/>
              <w:spacing w:after="0"/>
              <w:rPr>
                <w:sz w:val="20"/>
                <w:szCs w:val="20"/>
                <w:color w:val="auto"/>
              </w:rPr>
            </w:pPr>
            <w:r>
              <w:rPr>
                <w:rFonts w:ascii="Arial" w:cs="Arial" w:eastAsia="Arial" w:hAnsi="Arial"/>
                <w:sz w:val="16"/>
                <w:szCs w:val="16"/>
                <w:color w:val="auto"/>
              </w:rPr>
              <w:t>5,351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carrying amount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138,503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6"/>
                <w:szCs w:val="16"/>
                <w:color w:val="auto"/>
              </w:rPr>
              <w:t>(iii) Fund management contract -</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0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This item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774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Colombia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47,886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52,635</w:t>
            </w: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Credicorp Capital Holding Chile - Inversiones IMT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40,569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46,111</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carrying amount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88,455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line="269" w:lineRule="auto"/>
        <w:rPr>
          <w:sz w:val="20"/>
          <w:szCs w:val="20"/>
          <w:color w:val="auto"/>
        </w:rPr>
      </w:pPr>
      <w:r>
        <w:rPr>
          <w:rFonts w:ascii="Arial" w:cs="Arial" w:eastAsia="Arial" w:hAnsi="Arial"/>
          <w:sz w:val="16"/>
          <w:szCs w:val="16"/>
          <w:color w:val="auto"/>
        </w:rPr>
        <w:t>Management has assessed at each reporting date that there was no indication that customer relationships, rights of use, brand name, fund management contract and software and developments may be impaired.</w:t>
      </w:r>
    </w:p>
    <w:p>
      <w:pPr>
        <w:spacing w:after="0" w:line="34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580"/>
          </w:cols>
          <w:pgMar w:left="800" w:top="815" w:right="519" w:bottom="1440" w:gutter="0" w:footer="0" w:header="0"/>
        </w:sectPr>
      </w:pPr>
    </w:p>
    <w:bookmarkStart w:id="88" w:name="page89"/>
    <w:bookmarkEnd w:id="88"/>
    <w:p>
      <w:pPr>
        <w:ind w:left="281" w:hanging="281"/>
        <w:spacing w:after="0"/>
        <w:tabs>
          <w:tab w:leader="none" w:pos="28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Goodwill -</w:t>
      </w:r>
    </w:p>
    <w:p>
      <w:pPr>
        <w:spacing w:after="0" w:line="195" w:lineRule="exact"/>
        <w:rPr>
          <w:rFonts w:ascii="Arial" w:cs="Arial" w:eastAsia="Arial" w:hAnsi="Arial"/>
          <w:sz w:val="16"/>
          <w:szCs w:val="16"/>
          <w:color w:val="auto"/>
        </w:rPr>
      </w:pPr>
    </w:p>
    <w:p>
      <w:pPr>
        <w:ind w:left="281" w:right="620"/>
        <w:spacing w:after="0" w:line="269" w:lineRule="auto"/>
        <w:rPr>
          <w:rFonts w:ascii="Arial" w:cs="Arial" w:eastAsia="Arial" w:hAnsi="Arial"/>
          <w:sz w:val="16"/>
          <w:szCs w:val="16"/>
          <w:color w:val="auto"/>
        </w:rPr>
      </w:pPr>
      <w:r>
        <w:rPr>
          <w:rFonts w:ascii="Arial" w:cs="Arial" w:eastAsia="Arial" w:hAnsi="Arial"/>
          <w:sz w:val="16"/>
          <w:szCs w:val="16"/>
          <w:color w:val="auto"/>
        </w:rPr>
        <w:t>Goodwill acquired through business combinations has been allocated to each subsidiary or groups of them, which are also identified as a CGU for the purposes of impairment testing, as follows:</w:t>
      </w:r>
    </w:p>
    <w:p>
      <w:pPr>
        <w:spacing w:after="0" w:line="164" w:lineRule="exact"/>
        <w:rPr>
          <w:sz w:val="20"/>
          <w:szCs w:val="20"/>
          <w:color w:val="auto"/>
        </w:rPr>
      </w:pPr>
    </w:p>
    <w:tbl>
      <w:tblPr>
        <w:tblLayout w:type="fixed"/>
        <w:tblInd w:w="281"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r>
      <w:tr>
        <w:trPr>
          <w:trHeight w:val="183"/>
        </w:trPr>
        <w:tc>
          <w:tcPr>
            <w:tcW w:w="798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0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5"/>
                <w:szCs w:val="15"/>
                <w:color w:val="auto"/>
              </w:rPr>
            </w:pP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Mibanco - Edyficar Perú</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273,694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273,694</w:t>
            </w: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Prima AFP - AFP Unión Vida</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124,641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124,641</w:t>
            </w: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Colombia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74,391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77,746</w:t>
            </w: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Banco de Crédito del Perú</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52,359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52,359</w:t>
            </w: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Pacífico Seguros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36,354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36,354</w:t>
            </w: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29,795</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29,795</w:t>
            </w: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Crediseguro Seguros Personales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6"/>
                <w:szCs w:val="16"/>
                <w:color w:val="auto"/>
              </w:rPr>
            </w:pPr>
          </w:p>
        </w:tc>
      </w:tr>
      <w:tr>
        <w:trPr>
          <w:trHeight w:val="201"/>
        </w:trPr>
        <w:tc>
          <w:tcPr>
            <w:tcW w:w="7980" w:type="dxa"/>
            <w:vAlign w:val="bottom"/>
          </w:tcPr>
          <w:p>
            <w:pPr>
              <w:spacing w:after="0"/>
              <w:rPr>
                <w:sz w:val="20"/>
                <w:szCs w:val="20"/>
                <w:color w:val="auto"/>
              </w:rPr>
            </w:pPr>
            <w:r>
              <w:rPr>
                <w:rFonts w:ascii="Arial" w:cs="Arial" w:eastAsia="Arial" w:hAnsi="Arial"/>
                <w:sz w:val="16"/>
                <w:szCs w:val="16"/>
                <w:color w:val="auto"/>
              </w:rPr>
              <w:t>Credicorp Capital Holding Chile - Inversiones IMT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41,290</w:t>
            </w:r>
          </w:p>
        </w:tc>
      </w:tr>
      <w:tr>
        <w:trPr>
          <w:trHeight w:val="193"/>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carrying amount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591,330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635,975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1" w:right="160"/>
        <w:spacing w:after="0" w:line="269" w:lineRule="auto"/>
        <w:rPr>
          <w:sz w:val="20"/>
          <w:szCs w:val="20"/>
          <w:color w:val="auto"/>
        </w:rPr>
      </w:pPr>
      <w:r>
        <w:rPr>
          <w:rFonts w:ascii="Arial" w:cs="Arial" w:eastAsia="Arial" w:hAnsi="Arial"/>
          <w:sz w:val="16"/>
          <w:szCs w:val="16"/>
          <w:color w:val="auto"/>
        </w:rPr>
        <w:t>The recoverable amount of all of the CGUs has been determined based on the calculations of the fair value less selling costs, which is the present value of the discounted cash flows determined principally with assumptions of revenue and expenses projection (based on efficiency ratios).</w:t>
      </w:r>
    </w:p>
    <w:p>
      <w:pPr>
        <w:spacing w:after="0" w:line="157" w:lineRule="exact"/>
        <w:rPr>
          <w:sz w:val="20"/>
          <w:szCs w:val="20"/>
          <w:color w:val="auto"/>
        </w:rPr>
      </w:pPr>
    </w:p>
    <w:p>
      <w:pPr>
        <w:ind w:left="281" w:right="240"/>
        <w:spacing w:after="0" w:line="269" w:lineRule="auto"/>
        <w:rPr>
          <w:sz w:val="20"/>
          <w:szCs w:val="20"/>
          <w:color w:val="auto"/>
        </w:rPr>
      </w:pPr>
      <w:r>
        <w:rPr>
          <w:rFonts w:ascii="Arial" w:cs="Arial" w:eastAsia="Arial" w:hAnsi="Arial"/>
          <w:sz w:val="16"/>
          <w:szCs w:val="16"/>
          <w:color w:val="auto"/>
        </w:rPr>
        <w:t>Balances of goodwill from Inversiones IMT and Credicorp Capital Colombia are impacted by the volatility of the exchange rate of the local currency of the countries in which they operate against the exchange rate of Group’s functional currency.</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The following table summarizes the key assumptions used for the calculation of fair value less selling costs in 2018 and 2017:</w:t>
      </w:r>
    </w:p>
    <w:p>
      <w:pPr>
        <w:spacing w:after="0" w:line="203" w:lineRule="exact"/>
        <w:rPr>
          <w:sz w:val="20"/>
          <w:szCs w:val="20"/>
          <w:color w:val="auto"/>
        </w:rPr>
      </w:pPr>
    </w:p>
    <w:tbl>
      <w:tblPr>
        <w:tblLayout w:type="fixed"/>
        <w:tblInd w:w="281" w:type="dxa"/>
        <w:tblCellMar>
          <w:top w:w="0" w:type="dxa"/>
          <w:left w:w="0" w:type="dxa"/>
          <w:bottom w:w="0" w:type="dxa"/>
          <w:right w:w="0" w:type="dxa"/>
        </w:tblCellMar>
      </w:tblPr>
      <w:tr>
        <w:trPr>
          <w:trHeight w:val="205"/>
        </w:trPr>
        <w:tc>
          <w:tcPr>
            <w:tcW w:w="7760" w:type="dxa"/>
            <w:vAlign w:val="bottom"/>
          </w:tcPr>
          <w:p>
            <w:pPr>
              <w:spacing w:after="0"/>
              <w:rPr>
                <w:sz w:val="17"/>
                <w:szCs w:val="17"/>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At December 31, 2018</w:t>
            </w:r>
          </w:p>
        </w:tc>
      </w:tr>
      <w:tr>
        <w:trPr>
          <w:trHeight w:val="166"/>
        </w:trPr>
        <w:tc>
          <w:tcPr>
            <w:tcW w:w="7760" w:type="dxa"/>
            <w:vAlign w:val="bottom"/>
          </w:tcPr>
          <w:p>
            <w:pPr>
              <w:spacing w:after="0"/>
              <w:rPr>
                <w:sz w:val="14"/>
                <w:szCs w:val="14"/>
                <w:color w:val="auto"/>
              </w:rPr>
            </w:pPr>
          </w:p>
        </w:tc>
        <w:tc>
          <w:tcPr>
            <w:tcW w:w="1400" w:type="dxa"/>
            <w:vAlign w:val="bottom"/>
            <w:tcBorders>
              <w:top w:val="single" w:sz="8" w:color="auto"/>
            </w:tcBorders>
            <w:gridSpan w:val="2"/>
          </w:tcPr>
          <w:p>
            <w:pPr>
              <w:jc w:val="center"/>
              <w:ind w:right="260"/>
              <w:spacing w:after="0" w:line="166" w:lineRule="exact"/>
              <w:rPr>
                <w:sz w:val="20"/>
                <w:szCs w:val="20"/>
                <w:color w:val="auto"/>
              </w:rPr>
            </w:pPr>
            <w:r>
              <w:rPr>
                <w:rFonts w:ascii="Arial" w:cs="Arial" w:eastAsia="Arial" w:hAnsi="Arial"/>
                <w:sz w:val="16"/>
                <w:szCs w:val="16"/>
                <w:b w:val="1"/>
                <w:bCs w:val="1"/>
                <w:color w:val="auto"/>
                <w:w w:val="92"/>
              </w:rPr>
              <w:t>Terminal</w:t>
            </w: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77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value growth</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77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rate</w:t>
            </w:r>
          </w:p>
        </w:tc>
        <w:tc>
          <w:tcPr>
            <w:tcW w:w="14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Discount rate</w:t>
            </w:r>
          </w:p>
        </w:tc>
      </w:tr>
      <w:tr>
        <w:trPr>
          <w:trHeight w:val="183"/>
        </w:trPr>
        <w:tc>
          <w:tcPr>
            <w:tcW w:w="776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ind w:right="541"/>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Mibanco - Edyficar Perú</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14.18</w:t>
            </w:r>
          </w:p>
        </w:tc>
      </w:tr>
      <w:tr>
        <w:trPr>
          <w:trHeight w:val="190"/>
        </w:trPr>
        <w:tc>
          <w:tcPr>
            <w:tcW w:w="7760" w:type="dxa"/>
            <w:vAlign w:val="bottom"/>
          </w:tcPr>
          <w:p>
            <w:pPr>
              <w:spacing w:after="0"/>
              <w:rPr>
                <w:sz w:val="20"/>
                <w:szCs w:val="20"/>
                <w:color w:val="auto"/>
              </w:rPr>
            </w:pPr>
            <w:r>
              <w:rPr>
                <w:rFonts w:ascii="Arial" w:cs="Arial" w:eastAsia="Arial" w:hAnsi="Arial"/>
                <w:sz w:val="16"/>
                <w:szCs w:val="16"/>
                <w:color w:val="auto"/>
              </w:rPr>
              <w:t>Prima AFP - AFP Unión Vida</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10.73</w:t>
            </w: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Colombia</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14.65</w:t>
            </w:r>
          </w:p>
        </w:tc>
      </w:tr>
      <w:tr>
        <w:trPr>
          <w:trHeight w:val="190"/>
        </w:trPr>
        <w:tc>
          <w:tcPr>
            <w:tcW w:w="7760" w:type="dxa"/>
            <w:vAlign w:val="bottom"/>
          </w:tcPr>
          <w:p>
            <w:pPr>
              <w:spacing w:after="0"/>
              <w:rPr>
                <w:sz w:val="20"/>
                <w:szCs w:val="20"/>
                <w:color w:val="auto"/>
              </w:rPr>
            </w:pPr>
            <w:r>
              <w:rPr>
                <w:rFonts w:ascii="Arial" w:cs="Arial" w:eastAsia="Arial" w:hAnsi="Arial"/>
                <w:sz w:val="16"/>
                <w:szCs w:val="16"/>
                <w:color w:val="auto"/>
              </w:rPr>
              <w:t>Banco de Crédito del Perú</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11.15</w:t>
            </w: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Holding Chile - Inversiones IMT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13.68</w:t>
            </w:r>
          </w:p>
        </w:tc>
      </w:tr>
      <w:tr>
        <w:trPr>
          <w:trHeight w:val="190"/>
        </w:trPr>
        <w:tc>
          <w:tcPr>
            <w:tcW w:w="7760" w:type="dxa"/>
            <w:vAlign w:val="bottom"/>
          </w:tcPr>
          <w:p>
            <w:pPr>
              <w:spacing w:after="0"/>
              <w:rPr>
                <w:sz w:val="20"/>
                <w:szCs w:val="20"/>
                <w:color w:val="auto"/>
              </w:rPr>
            </w:pPr>
            <w:r>
              <w:rPr>
                <w:rFonts w:ascii="Arial" w:cs="Arial" w:eastAsia="Arial" w:hAnsi="Arial"/>
                <w:sz w:val="16"/>
                <w:szCs w:val="16"/>
                <w:color w:val="auto"/>
              </w:rPr>
              <w:t>Pacífico Seguros (*)</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12.05 and 14.00</w:t>
            </w: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Atlantic Security Holding Corporation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10.07</w:t>
            </w:r>
          </w:p>
        </w:tc>
      </w:tr>
    </w:tbl>
    <w:p>
      <w:pPr>
        <w:spacing w:after="0" w:line="367" w:lineRule="exact"/>
        <w:rPr>
          <w:sz w:val="20"/>
          <w:szCs w:val="20"/>
          <w:color w:val="auto"/>
        </w:rPr>
      </w:pPr>
    </w:p>
    <w:p>
      <w:pPr>
        <w:ind w:left="561" w:hanging="276"/>
        <w:spacing w:after="0" w:line="269" w:lineRule="auto"/>
        <w:tabs>
          <w:tab w:leader="none" w:pos="56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of December 31, 2018, corresponds to the discount rates used to determine the recoverable value for the general and life insurance business lines cash flows that comprise the merged entity in 2017 period, see Note 2(c).</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5"/>
        </w:trPr>
        <w:tc>
          <w:tcPr>
            <w:tcW w:w="7760" w:type="dxa"/>
            <w:vAlign w:val="bottom"/>
          </w:tcPr>
          <w:p>
            <w:pPr>
              <w:spacing w:after="0"/>
              <w:rPr>
                <w:sz w:val="17"/>
                <w:szCs w:val="17"/>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At December 31, 2017</w:t>
            </w:r>
          </w:p>
        </w:tc>
      </w:tr>
      <w:tr>
        <w:trPr>
          <w:trHeight w:val="166"/>
        </w:trPr>
        <w:tc>
          <w:tcPr>
            <w:tcW w:w="7760" w:type="dxa"/>
            <w:vAlign w:val="bottom"/>
          </w:tcPr>
          <w:p>
            <w:pPr>
              <w:spacing w:after="0"/>
              <w:rPr>
                <w:sz w:val="14"/>
                <w:szCs w:val="14"/>
                <w:color w:val="auto"/>
              </w:rPr>
            </w:pPr>
          </w:p>
        </w:tc>
        <w:tc>
          <w:tcPr>
            <w:tcW w:w="1400" w:type="dxa"/>
            <w:vAlign w:val="bottom"/>
            <w:tcBorders>
              <w:top w:val="single" w:sz="8" w:color="auto"/>
            </w:tcBorders>
            <w:gridSpan w:val="2"/>
          </w:tcPr>
          <w:p>
            <w:pPr>
              <w:jc w:val="center"/>
              <w:ind w:right="260"/>
              <w:spacing w:after="0" w:line="166" w:lineRule="exact"/>
              <w:rPr>
                <w:sz w:val="20"/>
                <w:szCs w:val="20"/>
                <w:color w:val="auto"/>
              </w:rPr>
            </w:pPr>
            <w:r>
              <w:rPr>
                <w:rFonts w:ascii="Arial" w:cs="Arial" w:eastAsia="Arial" w:hAnsi="Arial"/>
                <w:sz w:val="16"/>
                <w:szCs w:val="16"/>
                <w:b w:val="1"/>
                <w:bCs w:val="1"/>
                <w:color w:val="auto"/>
                <w:w w:val="92"/>
              </w:rPr>
              <w:t>Terminal</w:t>
            </w: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77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value growth</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77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rate</w:t>
            </w:r>
          </w:p>
        </w:tc>
        <w:tc>
          <w:tcPr>
            <w:tcW w:w="14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Discount rate</w:t>
            </w:r>
          </w:p>
        </w:tc>
      </w:tr>
      <w:tr>
        <w:trPr>
          <w:trHeight w:val="183"/>
        </w:trPr>
        <w:tc>
          <w:tcPr>
            <w:tcW w:w="776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ind w:right="541"/>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Mibanco - Edyficar Perú</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12.43</w:t>
            </w:r>
          </w:p>
        </w:tc>
      </w:tr>
      <w:tr>
        <w:trPr>
          <w:trHeight w:val="190"/>
        </w:trPr>
        <w:tc>
          <w:tcPr>
            <w:tcW w:w="7760" w:type="dxa"/>
            <w:vAlign w:val="bottom"/>
          </w:tcPr>
          <w:p>
            <w:pPr>
              <w:spacing w:after="0"/>
              <w:rPr>
                <w:sz w:val="20"/>
                <w:szCs w:val="20"/>
                <w:color w:val="auto"/>
              </w:rPr>
            </w:pPr>
            <w:r>
              <w:rPr>
                <w:rFonts w:ascii="Arial" w:cs="Arial" w:eastAsia="Arial" w:hAnsi="Arial"/>
                <w:sz w:val="16"/>
                <w:szCs w:val="16"/>
                <w:color w:val="auto"/>
              </w:rPr>
              <w:t>Prima AFP - AFP Unión Vida</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9.41</w:t>
            </w: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Colombia</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12.63</w:t>
            </w:r>
          </w:p>
        </w:tc>
      </w:tr>
      <w:tr>
        <w:trPr>
          <w:trHeight w:val="190"/>
        </w:trPr>
        <w:tc>
          <w:tcPr>
            <w:tcW w:w="7760" w:type="dxa"/>
            <w:vAlign w:val="bottom"/>
          </w:tcPr>
          <w:p>
            <w:pPr>
              <w:spacing w:after="0"/>
              <w:rPr>
                <w:sz w:val="20"/>
                <w:szCs w:val="20"/>
                <w:color w:val="auto"/>
              </w:rPr>
            </w:pPr>
            <w:r>
              <w:rPr>
                <w:rFonts w:ascii="Arial" w:cs="Arial" w:eastAsia="Arial" w:hAnsi="Arial"/>
                <w:sz w:val="16"/>
                <w:szCs w:val="16"/>
                <w:color w:val="auto"/>
              </w:rPr>
              <w:t>Banco de Crédito del Perú</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11.46</w:t>
            </w: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Holding Chile - Inversiones IMT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11.72</w:t>
            </w:r>
          </w:p>
        </w:tc>
      </w:tr>
      <w:tr>
        <w:trPr>
          <w:trHeight w:val="190"/>
        </w:trPr>
        <w:tc>
          <w:tcPr>
            <w:tcW w:w="7760" w:type="dxa"/>
            <w:vAlign w:val="bottom"/>
          </w:tcPr>
          <w:p>
            <w:pPr>
              <w:spacing w:after="0"/>
              <w:rPr>
                <w:sz w:val="20"/>
                <w:szCs w:val="20"/>
                <w:color w:val="auto"/>
              </w:rPr>
            </w:pPr>
            <w:r>
              <w:rPr>
                <w:rFonts w:ascii="Arial" w:cs="Arial" w:eastAsia="Arial" w:hAnsi="Arial"/>
                <w:sz w:val="16"/>
                <w:szCs w:val="16"/>
                <w:color w:val="auto"/>
              </w:rPr>
              <w:t>Pacífico Seguros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11.24 and 12.38</w:t>
            </w: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Atlantic Security Holding Corporation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10.31</w:t>
            </w:r>
          </w:p>
        </w:tc>
      </w:tr>
    </w:tbl>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Five or ten years of cash flows, depending on the business maturity, were included in the discounted cash flow model. The growth rate estimates are based on past performance and management’s expectations of market development. A long-term growth rate to perpetuity has been determined taking into account forecasts included in industry reports.</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Discount rates represent the current market assessment of the risks specific to each CGU. The discount rate is derived from the capital asset pricing model (CAPM). The cost of equity is derived from the expected return on investment by the Group’s investors, specific risk incorporated by applying individual comparable beta factors adjusted by the debt structure of each CGU and country and market risk specific premiums to each CGU. The beta factors are evaluated annually based on publicly available market data.</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During the year 2018, the Group recorded a gross impairment loss amounting to S/38.2 million (no impairment recorded during 2017 and S/0.1 million during 2016), as a result of the assessment of the recoverable amount of the CGU “Inversiones IMT”, decreasing in relation to prior years due to the lower revenues generated compared to those originally budgeted by Management and for the changes expected in the payment of taxes attributable to the parent company resulting from the tax law reform presented in Chile.</w:t>
      </w:r>
    </w:p>
    <w:p>
      <w:pPr>
        <w:spacing w:after="0" w:line="169" w:lineRule="exact"/>
        <w:rPr>
          <w:sz w:val="20"/>
          <w:szCs w:val="20"/>
          <w:color w:val="auto"/>
        </w:rPr>
      </w:pPr>
    </w:p>
    <w:p>
      <w:pPr>
        <w:ind w:right="380"/>
        <w:spacing w:after="0" w:line="303" w:lineRule="auto"/>
        <w:rPr>
          <w:sz w:val="20"/>
          <w:szCs w:val="20"/>
          <w:color w:val="auto"/>
        </w:rPr>
      </w:pPr>
      <w:r>
        <w:rPr>
          <w:rFonts w:ascii="Arial" w:cs="Arial" w:eastAsia="Arial" w:hAnsi="Arial"/>
          <w:sz w:val="15"/>
          <w:szCs w:val="15"/>
          <w:color w:val="auto"/>
        </w:rPr>
        <w:t>The key assumptions described above may change if the conditions of the economy and market change. At December 31, 2018, the Group estimates that reasonably possible changes in these assumptions would not cause the recoverable amount of all CGUs to decline below their carrying amount.</w:t>
      </w:r>
    </w:p>
    <w:p>
      <w:pPr>
        <w:spacing w:after="0" w:line="3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760"/>
          </w:cols>
          <w:pgMar w:left="800" w:top="822" w:right="339" w:bottom="1440" w:gutter="0" w:footer="0" w:header="0"/>
        </w:sectPr>
      </w:pPr>
    </w:p>
    <w:bookmarkStart w:id="90" w:name="page91"/>
    <w:bookmarkEnd w:id="90"/>
    <w:p>
      <w:pPr>
        <w:ind w:left="285" w:hanging="285"/>
        <w:spacing w:after="0"/>
        <w:tabs>
          <w:tab w:leader="none" w:pos="285"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OTHER ASSETS AND OTHER LIABILITIES</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r>
      <w:tr>
        <w:trPr>
          <w:trHeight w:val="183"/>
        </w:trPr>
        <w:tc>
          <w:tcPr>
            <w:tcW w:w="798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0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5"/>
                <w:szCs w:val="15"/>
                <w:color w:val="auto"/>
              </w:rPr>
            </w:pP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 -</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980" w:type="dxa"/>
            <w:vAlign w:val="bottom"/>
          </w:tcPr>
          <w:p>
            <w:pPr>
              <w:spacing w:after="0"/>
              <w:rPr>
                <w:sz w:val="20"/>
                <w:szCs w:val="20"/>
                <w:color w:val="auto"/>
              </w:rPr>
            </w:pPr>
            <w:r>
              <w:rPr>
                <w:rFonts w:ascii="Arial" w:cs="Arial" w:eastAsia="Arial" w:hAnsi="Arial"/>
                <w:sz w:val="16"/>
                <w:szCs w:val="16"/>
                <w:b w:val="1"/>
                <w:bCs w:val="1"/>
                <w:color w:val="auto"/>
              </w:rPr>
              <w:t>Financial instruments: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Receivables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1,948,849</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1,676,583</w:t>
            </w:r>
          </w:p>
        </w:tc>
        <w:tc>
          <w:tcPr>
            <w:tcW w:w="100" w:type="dxa"/>
            <w:vAlign w:val="bottom"/>
            <w:shd w:val="clear" w:color="auto" w:fill="CCEEFF"/>
          </w:tcPr>
          <w:p>
            <w:pPr>
              <w:spacing w:after="0"/>
              <w:rPr>
                <w:sz w:val="16"/>
                <w:szCs w:val="16"/>
                <w:color w:val="auto"/>
              </w:rPr>
            </w:pP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Derivatives receivable (b)</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766,317</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701,826</w:t>
            </w:r>
          </w:p>
        </w:tc>
      </w:tr>
      <w:tr>
        <w:trPr>
          <w:trHeight w:val="201"/>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Operations in process (c)</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357,611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82,542</w:t>
            </w:r>
          </w:p>
        </w:tc>
      </w:tr>
      <w:tr>
        <w:trPr>
          <w:trHeight w:val="182"/>
        </w:trPr>
        <w:tc>
          <w:tcPr>
            <w:tcW w:w="798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3,072,777</w:t>
            </w:r>
          </w:p>
        </w:tc>
        <w:tc>
          <w:tcPr>
            <w:tcW w:w="2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2,460,951</w:t>
            </w:r>
          </w:p>
        </w:tc>
        <w:tc>
          <w:tcPr>
            <w:tcW w:w="100" w:type="dxa"/>
            <w:vAlign w:val="bottom"/>
            <w:tcBorders>
              <w:bottom w:val="single" w:sz="8" w:color="CCEEFF"/>
            </w:tcBorders>
          </w:tcPr>
          <w:p>
            <w:pPr>
              <w:spacing w:after="0"/>
              <w:rPr>
                <w:sz w:val="15"/>
                <w:szCs w:val="15"/>
                <w:color w:val="auto"/>
              </w:rPr>
            </w:pPr>
          </w:p>
        </w:tc>
      </w:tr>
      <w:tr>
        <w:trPr>
          <w:trHeight w:val="182"/>
        </w:trPr>
        <w:tc>
          <w:tcPr>
            <w:tcW w:w="79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7980" w:type="dxa"/>
            <w:vAlign w:val="bottom"/>
          </w:tcPr>
          <w:p>
            <w:pPr>
              <w:spacing w:after="0"/>
              <w:rPr>
                <w:sz w:val="20"/>
                <w:szCs w:val="20"/>
                <w:color w:val="auto"/>
              </w:rPr>
            </w:pPr>
            <w:r>
              <w:rPr>
                <w:rFonts w:ascii="Arial" w:cs="Arial" w:eastAsia="Arial" w:hAnsi="Arial"/>
                <w:sz w:val="16"/>
                <w:szCs w:val="16"/>
                <w:b w:val="1"/>
                <w:bCs w:val="1"/>
                <w:color w:val="auto"/>
              </w:rPr>
              <w:t>Non-financial instruments: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asset, Note 18(c)</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463,717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480,057</w:t>
            </w: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Investment in associates (d)</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582,132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708,873</w:t>
            </w: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Investment properties, net (e)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440,234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458,855</w:t>
            </w: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Deferred fees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455,249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431,598</w:t>
            </w: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Income tax prepayments, net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389,029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301,863</w:t>
            </w:r>
          </w:p>
        </w:tc>
      </w:tr>
      <w:tr>
        <w:trPr>
          <w:trHeight w:val="190"/>
        </w:trPr>
        <w:tc>
          <w:tcPr>
            <w:tcW w:w="7980" w:type="dxa"/>
            <w:vAlign w:val="bottom"/>
          </w:tcPr>
          <w:p>
            <w:pPr>
              <w:spacing w:after="0"/>
              <w:rPr>
                <w:sz w:val="20"/>
                <w:szCs w:val="20"/>
                <w:color w:val="auto"/>
              </w:rPr>
            </w:pPr>
            <w:r>
              <w:rPr>
                <w:rFonts w:ascii="Arial" w:cs="Arial" w:eastAsia="Arial" w:hAnsi="Arial"/>
                <w:sz w:val="16"/>
                <w:szCs w:val="16"/>
                <w:color w:val="auto"/>
              </w:rPr>
              <w:t>Seized assets, net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133,112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95,012</w:t>
            </w:r>
          </w:p>
        </w:tc>
      </w:tr>
      <w:tr>
        <w:trPr>
          <w:trHeight w:val="190"/>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VAT (IGV) tax credit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37,771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50,138</w:t>
            </w:r>
          </w:p>
        </w:tc>
      </w:tr>
      <w:tr>
        <w:trPr>
          <w:trHeight w:val="201"/>
        </w:trPr>
        <w:tc>
          <w:tcPr>
            <w:tcW w:w="7980" w:type="dxa"/>
            <w:vAlign w:val="bottom"/>
          </w:tcPr>
          <w:p>
            <w:pPr>
              <w:spacing w:after="0"/>
              <w:rPr>
                <w:sz w:val="20"/>
                <w:szCs w:val="20"/>
                <w:color w:val="auto"/>
              </w:rPr>
            </w:pPr>
            <w:r>
              <w:rPr>
                <w:rFonts w:ascii="Arial" w:cs="Arial" w:eastAsia="Arial" w:hAnsi="Arial"/>
                <w:sz w:val="16"/>
                <w:szCs w:val="16"/>
                <w:color w:val="auto"/>
              </w:rPr>
              <w:t>Others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12,732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12,651</w:t>
            </w:r>
          </w:p>
        </w:tc>
      </w:tr>
      <w:tr>
        <w:trPr>
          <w:trHeight w:val="182"/>
        </w:trPr>
        <w:tc>
          <w:tcPr>
            <w:tcW w:w="7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2,513,976</w:t>
            </w:r>
          </w:p>
        </w:tc>
        <w:tc>
          <w:tcPr>
            <w:tcW w:w="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2,539,047</w:t>
            </w:r>
          </w:p>
        </w:tc>
        <w:tc>
          <w:tcPr>
            <w:tcW w:w="100" w:type="dxa"/>
            <w:vAlign w:val="bottom"/>
            <w:tcBorders>
              <w:top w:val="single" w:sz="8" w:color="CCEEFF"/>
            </w:tcBorders>
            <w:shd w:val="clear" w:color="auto" w:fill="CCEEFF"/>
          </w:tcPr>
          <w:p>
            <w:pPr>
              <w:spacing w:after="0"/>
              <w:rPr>
                <w:sz w:val="15"/>
                <w:szCs w:val="15"/>
                <w:color w:val="auto"/>
              </w:rPr>
            </w:pPr>
          </w:p>
        </w:tc>
      </w:tr>
      <w:tr>
        <w:trPr>
          <w:trHeight w:val="193"/>
        </w:trPr>
        <w:tc>
          <w:tcPr>
            <w:tcW w:w="79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5,586,753</w:t>
            </w:r>
          </w:p>
        </w:tc>
        <w:tc>
          <w:tcPr>
            <w:tcW w:w="2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4,999,998</w:t>
            </w:r>
          </w:p>
        </w:tc>
        <w:tc>
          <w:tcPr>
            <w:tcW w:w="100" w:type="dxa"/>
            <w:vAlign w:val="bottom"/>
          </w:tcPr>
          <w:p>
            <w:pPr>
              <w:spacing w:after="0"/>
              <w:rPr>
                <w:sz w:val="16"/>
                <w:szCs w:val="16"/>
                <w:color w:val="auto"/>
              </w:rPr>
            </w:pPr>
          </w:p>
        </w:tc>
      </w:tr>
      <w:tr>
        <w:trPr>
          <w:trHeight w:val="20"/>
        </w:trPr>
        <w:tc>
          <w:tcPr>
            <w:tcW w:w="7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240" w:type="dxa"/>
            <w:vAlign w:val="bottom"/>
            <w:gridSpan w:val="2"/>
          </w:tcPr>
          <w:p>
            <w:pPr>
              <w:jc w:val="right"/>
              <w:ind w:right="36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1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liabilities -</w:t>
            </w:r>
          </w:p>
        </w:tc>
        <w:tc>
          <w:tcPr>
            <w:tcW w:w="4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b w:val="1"/>
                <w:bCs w:val="1"/>
                <w:color w:val="auto"/>
              </w:rPr>
              <w:t>Financial instruments:</w:t>
            </w:r>
          </w:p>
        </w:tc>
        <w:tc>
          <w:tcPr>
            <w:tcW w:w="4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1,540,057</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1,875,153</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Derivatives payable (b)</w:t>
            </w:r>
          </w:p>
        </w:tc>
        <w:tc>
          <w:tcPr>
            <w:tcW w:w="5440" w:type="dxa"/>
            <w:vAlign w:val="bottom"/>
            <w:gridSpan w:val="3"/>
          </w:tcPr>
          <w:p>
            <w:pPr>
              <w:jc w:val="right"/>
              <w:ind w:right="200"/>
              <w:spacing w:after="0"/>
              <w:rPr>
                <w:sz w:val="20"/>
                <w:szCs w:val="20"/>
                <w:color w:val="auto"/>
              </w:rPr>
            </w:pPr>
            <w:r>
              <w:rPr>
                <w:rFonts w:ascii="Arial" w:cs="Arial" w:eastAsia="Arial" w:hAnsi="Arial"/>
                <w:sz w:val="16"/>
                <w:szCs w:val="16"/>
                <w:color w:val="auto"/>
              </w:rPr>
              <w:t>715,804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636,762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Salaries and other personnel expenses</w:t>
            </w:r>
          </w:p>
        </w:tc>
        <w:tc>
          <w:tcPr>
            <w:tcW w:w="5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717,820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644,234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Allowance for indirect loan losses, Note 7(d)</w:t>
            </w:r>
          </w:p>
        </w:tc>
        <w:tc>
          <w:tcPr>
            <w:tcW w:w="5440" w:type="dxa"/>
            <w:vAlign w:val="bottom"/>
            <w:gridSpan w:val="3"/>
          </w:tcPr>
          <w:p>
            <w:pPr>
              <w:jc w:val="right"/>
              <w:ind w:right="200"/>
              <w:spacing w:after="0"/>
              <w:rPr>
                <w:sz w:val="20"/>
                <w:szCs w:val="20"/>
                <w:color w:val="auto"/>
              </w:rPr>
            </w:pPr>
            <w:r>
              <w:rPr>
                <w:rFonts w:ascii="Arial" w:cs="Arial" w:eastAsia="Arial" w:hAnsi="Arial"/>
                <w:sz w:val="16"/>
                <w:szCs w:val="16"/>
                <w:color w:val="auto"/>
              </w:rPr>
              <w:t>362,139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442,510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Operations in process (c)</w:t>
            </w:r>
          </w:p>
        </w:tc>
        <w:tc>
          <w:tcPr>
            <w:tcW w:w="5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358,498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274,354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3,694,318</w:t>
            </w:r>
          </w:p>
        </w:tc>
        <w:tc>
          <w:tcPr>
            <w:tcW w:w="2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3,873,013</w:t>
            </w:r>
          </w:p>
        </w:tc>
        <w:tc>
          <w:tcPr>
            <w:tcW w:w="100" w:type="dxa"/>
            <w:vAlign w:val="bottom"/>
            <w:tcBorders>
              <w:bottom w:val="single" w:sz="8" w:color="CCEEFF"/>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9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Non-financial instruments:</w:t>
            </w:r>
          </w:p>
        </w:tc>
        <w:tc>
          <w:tcPr>
            <w:tcW w:w="40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Taxes</w:t>
            </w:r>
          </w:p>
        </w:tc>
        <w:tc>
          <w:tcPr>
            <w:tcW w:w="5440" w:type="dxa"/>
            <w:vAlign w:val="bottom"/>
            <w:gridSpan w:val="3"/>
          </w:tcPr>
          <w:p>
            <w:pPr>
              <w:jc w:val="right"/>
              <w:ind w:right="200"/>
              <w:spacing w:after="0"/>
              <w:rPr>
                <w:sz w:val="20"/>
                <w:szCs w:val="20"/>
                <w:color w:val="auto"/>
              </w:rPr>
            </w:pPr>
            <w:r>
              <w:rPr>
                <w:rFonts w:ascii="Arial" w:cs="Arial" w:eastAsia="Arial" w:hAnsi="Arial"/>
                <w:sz w:val="16"/>
                <w:szCs w:val="16"/>
                <w:color w:val="auto"/>
              </w:rPr>
              <w:t>677,229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480,781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Note 18(c)</w:t>
            </w:r>
          </w:p>
        </w:tc>
        <w:tc>
          <w:tcPr>
            <w:tcW w:w="5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108,603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150,280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Provision for sundry risks (f)</w:t>
            </w:r>
          </w:p>
        </w:tc>
        <w:tc>
          <w:tcPr>
            <w:tcW w:w="5440" w:type="dxa"/>
            <w:vAlign w:val="bottom"/>
            <w:gridSpan w:val="3"/>
          </w:tcPr>
          <w:p>
            <w:pPr>
              <w:jc w:val="right"/>
              <w:ind w:right="200"/>
              <w:spacing w:after="0"/>
              <w:rPr>
                <w:sz w:val="20"/>
                <w:szCs w:val="20"/>
                <w:color w:val="auto"/>
              </w:rPr>
            </w:pPr>
            <w:r>
              <w:rPr>
                <w:rFonts w:ascii="Arial" w:cs="Arial" w:eastAsia="Arial" w:hAnsi="Arial"/>
                <w:sz w:val="16"/>
                <w:szCs w:val="16"/>
                <w:color w:val="auto"/>
              </w:rPr>
              <w:t>342,350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275,841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5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227,636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234,197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1,355,818</w:t>
            </w:r>
          </w:p>
        </w:tc>
        <w:tc>
          <w:tcPr>
            <w:tcW w:w="2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1,141,099</w:t>
            </w:r>
          </w:p>
        </w:tc>
        <w:tc>
          <w:tcPr>
            <w:tcW w:w="100" w:type="dxa"/>
            <w:vAlign w:val="bottom"/>
            <w:tcBorders>
              <w:bottom w:val="single" w:sz="8" w:color="CCEEFF"/>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0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5,050,136</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5,014,112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60" w:type="dxa"/>
            <w:vAlign w:val="bottom"/>
            <w:vMerge w:val="restart"/>
          </w:tcPr>
          <w:p>
            <w:pPr>
              <w:jc w:val="right"/>
              <w:ind w:right="2561"/>
              <w:spacing w:after="0"/>
              <w:rPr>
                <w:sz w:val="20"/>
                <w:szCs w:val="20"/>
                <w:color w:val="auto"/>
              </w:rPr>
            </w:pPr>
            <w:r>
              <w:rPr>
                <w:rFonts w:ascii="Arial" w:cs="Arial" w:eastAsia="Arial" w:hAnsi="Arial"/>
                <w:sz w:val="16"/>
                <w:szCs w:val="16"/>
                <w:color w:val="auto"/>
              </w:rPr>
              <w:t>- 84 -</w:t>
            </w: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5"/>
          </w:cols>
          <w:pgMar w:left="235" w:top="810" w:right="219" w:bottom="1440" w:gutter="0" w:footer="0" w:header="0"/>
        </w:sectPr>
      </w:pPr>
    </w:p>
    <w:bookmarkStart w:id="91" w:name="page92"/>
    <w:bookmarkEnd w:id="91"/>
    <w:p>
      <w:pPr>
        <w:ind w:left="281" w:right="160" w:hanging="281"/>
        <w:spacing w:after="0" w:line="269" w:lineRule="auto"/>
        <w:tabs>
          <w:tab w:leader="none" w:pos="28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risk in derivative contracts arises from the possibility of the counterparty failing to comply with the terms and conditions agreed and that the reference rates at which the transactions took place change.</w:t>
      </w:r>
    </w:p>
    <w:p>
      <w:pPr>
        <w:spacing w:after="0" w:line="157" w:lineRule="exact"/>
        <w:rPr>
          <w:sz w:val="20"/>
          <w:szCs w:val="20"/>
          <w:color w:val="auto"/>
        </w:rPr>
      </w:pPr>
    </w:p>
    <w:p>
      <w:pPr>
        <w:ind w:left="281" w:right="320"/>
        <w:spacing w:after="0" w:line="258" w:lineRule="auto"/>
        <w:rPr>
          <w:sz w:val="20"/>
          <w:szCs w:val="20"/>
          <w:color w:val="auto"/>
        </w:rPr>
      </w:pPr>
      <w:r>
        <w:rPr>
          <w:rFonts w:ascii="Arial" w:cs="Arial" w:eastAsia="Arial" w:hAnsi="Arial"/>
          <w:sz w:val="16"/>
          <w:szCs w:val="16"/>
          <w:color w:val="auto"/>
        </w:rPr>
        <w:t>The table below shows at December 31, 2018 and 2017 the fair value of derivative financial instruments, recorded as an asset or a liability, together with their notional amounts and maturities. The nominal amount, recorded gross, is the amount of a derivative’s underlying asset and is the basis upon which fair value of derivatives is measured.</w:t>
      </w:r>
    </w:p>
    <w:p>
      <w:pPr>
        <w:spacing w:after="0" w:line="170"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w w:val="75"/>
              </w:rPr>
              <w:t>2018</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2018 and 2017</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6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Note</w:t>
            </w: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Assets</w:t>
            </w: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Liabilities</w:t>
            </w:r>
          </w:p>
        </w:tc>
        <w:tc>
          <w:tcPr>
            <w:tcW w:w="900" w:type="dxa"/>
            <w:vAlign w:val="bottom"/>
            <w:gridSpan w:val="2"/>
          </w:tcPr>
          <w:p>
            <w:pPr>
              <w:jc w:val="center"/>
              <w:ind w:right="240"/>
              <w:spacing w:after="0" w:line="103" w:lineRule="exact"/>
              <w:rPr>
                <w:sz w:val="20"/>
                <w:szCs w:val="20"/>
                <w:color w:val="auto"/>
              </w:rPr>
            </w:pPr>
            <w:r>
              <w:rPr>
                <w:rFonts w:ascii="Arial" w:cs="Arial" w:eastAsia="Arial" w:hAnsi="Arial"/>
                <w:sz w:val="11"/>
                <w:szCs w:val="11"/>
                <w:b w:val="1"/>
                <w:bCs w:val="1"/>
                <w:color w:val="auto"/>
              </w:rPr>
              <w:t>Notional</w:t>
            </w: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Maturity</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Assets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89"/>
              </w:rPr>
              <w:t>Liabilities</w:t>
            </w:r>
          </w:p>
        </w:tc>
        <w:tc>
          <w:tcPr>
            <w:tcW w:w="86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rPr>
              <w:t>Notional</w:t>
            </w:r>
          </w:p>
        </w:tc>
        <w:tc>
          <w:tcPr>
            <w:tcW w:w="136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Maturity</w:t>
            </w:r>
          </w:p>
        </w:tc>
        <w:tc>
          <w:tcPr>
            <w:tcW w:w="1100" w:type="dxa"/>
            <w:vAlign w:val="bottom"/>
            <w:vMerge w:val="restart"/>
          </w:tcPr>
          <w:p>
            <w:pPr>
              <w:spacing w:after="0"/>
              <w:rPr>
                <w:sz w:val="20"/>
                <w:szCs w:val="20"/>
                <w:color w:val="auto"/>
              </w:rPr>
            </w:pPr>
            <w:r>
              <w:rPr>
                <w:rFonts w:ascii="Arial" w:cs="Arial" w:eastAsia="Arial" w:hAnsi="Arial"/>
                <w:sz w:val="13"/>
                <w:szCs w:val="13"/>
                <w:b w:val="1"/>
                <w:bCs w:val="1"/>
                <w:color w:val="auto"/>
                <w:w w:val="86"/>
              </w:rPr>
              <w:t>Related instruments</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amount</w:t>
            </w:r>
          </w:p>
        </w:tc>
        <w:tc>
          <w:tcPr>
            <w:tcW w:w="11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36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Derivatives held for</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trading (i) -</w:t>
            </w:r>
          </w:p>
        </w:tc>
        <w:tc>
          <w:tcPr>
            <w:tcW w:w="7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Foreign currency</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January 2019 /</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January 2018 / June</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forwards</w:t>
            </w:r>
          </w:p>
        </w:tc>
        <w:tc>
          <w:tcPr>
            <w:tcW w:w="760" w:type="dxa"/>
            <w:vAlign w:val="bottom"/>
          </w:tcPr>
          <w:p>
            <w:pPr>
              <w:spacing w:after="0"/>
              <w:rPr>
                <w:sz w:val="12"/>
                <w:szCs w:val="12"/>
                <w:color w:val="auto"/>
              </w:rPr>
            </w:pP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124,688</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104,206</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17,799,190</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September 2020</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62,353</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56,869</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w w:val="98"/>
              </w:rPr>
              <w:t>10,846,203</w:t>
            </w:r>
          </w:p>
        </w:tc>
        <w:tc>
          <w:tcPr>
            <w:tcW w:w="1260" w:type="dxa"/>
            <w:vAlign w:val="bottom"/>
          </w:tcPr>
          <w:p>
            <w:pPr>
              <w:ind w:left="40"/>
              <w:spacing w:after="0" w:line="146" w:lineRule="exact"/>
              <w:rPr>
                <w:sz w:val="20"/>
                <w:szCs w:val="20"/>
                <w:color w:val="auto"/>
              </w:rPr>
            </w:pPr>
            <w:r>
              <w:rPr>
                <w:rFonts w:ascii="Arial" w:cs="Arial" w:eastAsia="Arial" w:hAnsi="Arial"/>
                <w:sz w:val="13"/>
                <w:szCs w:val="13"/>
                <w:color w:val="auto"/>
              </w:rPr>
              <w:t>2020</w:t>
            </w:r>
          </w:p>
        </w:tc>
        <w:tc>
          <w:tcPr>
            <w:tcW w:w="100" w:type="dxa"/>
            <w:vAlign w:val="bottom"/>
          </w:tcPr>
          <w:p>
            <w:pPr>
              <w:spacing w:after="0"/>
              <w:rPr>
                <w:sz w:val="12"/>
                <w:szCs w:val="12"/>
                <w:color w:val="auto"/>
              </w:rPr>
            </w:pP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January 2019 /</w:t>
            </w: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January 2018 /</w:t>
            </w: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Interest rate swaps</w:t>
            </w:r>
          </w:p>
        </w:tc>
        <w:tc>
          <w:tcPr>
            <w:tcW w:w="7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141,731</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148,119</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29,905,592</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December 2031</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101,765</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94,238</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w w:val="98"/>
              </w:rPr>
              <w:t>33,057,283</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December 2031</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January 2019 /</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January 2018 /</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Currency swaps</w:t>
            </w:r>
          </w:p>
        </w:tc>
        <w:tc>
          <w:tcPr>
            <w:tcW w:w="760" w:type="dxa"/>
            <w:vAlign w:val="bottom"/>
          </w:tcPr>
          <w:p>
            <w:pPr>
              <w:spacing w:after="0"/>
              <w:rPr>
                <w:sz w:val="12"/>
                <w:szCs w:val="12"/>
                <w:color w:val="auto"/>
              </w:rPr>
            </w:pP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354,432</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401,856</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9,999,343</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January 2033</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332,376</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349,779</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8,528,764</w:t>
            </w:r>
          </w:p>
        </w:tc>
        <w:tc>
          <w:tcPr>
            <w:tcW w:w="13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December 2027</w:t>
            </w: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Foreign exchange</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January 2019 /</w:t>
            </w: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January 2018 /</w:t>
            </w: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options</w:t>
            </w:r>
          </w:p>
        </w:tc>
        <w:tc>
          <w:tcPr>
            <w:tcW w:w="7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728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306,321</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November 2020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2,692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980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410,982</w:t>
            </w:r>
          </w:p>
        </w:tc>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November 2018</w:t>
            </w:r>
          </w:p>
        </w:tc>
        <w:tc>
          <w:tcPr>
            <w:tcW w:w="1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622,132</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654,909</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58,010,446</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499,186</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501,866</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52,843,232</w:t>
            </w: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Derivatives held as</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hedges</w:t>
            </w:r>
          </w:p>
        </w:tc>
        <w:tc>
          <w:tcPr>
            <w:tcW w:w="7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line="111" w:lineRule="exact"/>
              <w:rPr>
                <w:sz w:val="20"/>
                <w:szCs w:val="20"/>
                <w:color w:val="auto"/>
              </w:rPr>
            </w:pPr>
            <w:r>
              <w:rPr>
                <w:rFonts w:ascii="Arial" w:cs="Arial" w:eastAsia="Arial" w:hAnsi="Arial"/>
                <w:sz w:val="12"/>
                <w:szCs w:val="12"/>
                <w:b w:val="1"/>
                <w:bCs w:val="1"/>
                <w:color w:val="auto"/>
              </w:rPr>
              <w:t>Cash flow hedges</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b w:val="1"/>
                <w:bCs w:val="1"/>
                <w:color w:val="auto"/>
              </w:rPr>
              <w:t>(ii) -</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January 2019 /</w:t>
            </w: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5"/>
              </w:rPr>
              <w:t>14(b)(i)</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4,364</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123</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1,180,550</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2019</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2,491</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486,150</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2019</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February 2019 /</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September 2018 /</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8"/>
              </w:rPr>
              <w:t>14(b)(ii)</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3,445</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67</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843,250</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November 2019</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1,864</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486,150</w:t>
            </w:r>
          </w:p>
        </w:tc>
        <w:tc>
          <w:tcPr>
            <w:tcW w:w="13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November 2019</w:t>
            </w: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May 2019 /</w:t>
            </w: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0"/>
              </w:rPr>
              <w:t>14(b)(iv)</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233</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505,950</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October 2019</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112</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324,100</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January 2018</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2"/>
              </w:rPr>
              <w:t>14(b)(v)</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151</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337,300</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July 2019</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1260" w:type="dxa"/>
            <w:vAlign w:val="bottom"/>
          </w:tcPr>
          <w:p>
            <w:pPr>
              <w:ind w:left="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0"/>
              </w:rPr>
              <w:t>14(b)(vi)</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312</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337,300</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May 2019</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3"/>
              </w:rPr>
              <w:t>14(b)(vii)</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658</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324,100</w:t>
            </w:r>
          </w:p>
        </w:tc>
        <w:tc>
          <w:tcPr>
            <w:tcW w:w="13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March 2018</w:t>
            </w: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March 2019 /</w:t>
            </w: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rPr>
              <w:t>March 2019 /</w:t>
            </w:r>
          </w:p>
        </w:tc>
        <w:tc>
          <w:tcPr>
            <w:tcW w:w="1100" w:type="dxa"/>
            <w:vAlign w:val="bottom"/>
            <w:shd w:val="clear" w:color="auto" w:fill="CCEEFF"/>
          </w:tcPr>
          <w:p>
            <w:pPr>
              <w:ind w:left="40"/>
              <w:spacing w:after="0" w:line="114"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4"/>
              </w:rPr>
              <w:t>5(c)(i)</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3,417</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505,950</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December 2019</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4,626</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486,150</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December 2019</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Cross currency</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swaps (CCS)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7"/>
              </w:rPr>
              <w:t>16(a)(x)</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35,658</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1,011,900</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October 2019</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97,440</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972,300</w:t>
            </w:r>
          </w:p>
        </w:tc>
        <w:tc>
          <w:tcPr>
            <w:tcW w:w="13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October 2019</w:t>
            </w: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Bonds issued</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Cross currency</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ind w:left="40"/>
              <w:spacing w:after="0" w:line="114"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swaps (CCS)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rPr>
              <w:t>5(c)(iii)</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35,229</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236,110</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2020</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18,889</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226,870</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2020</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Cross currency</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ind w:left="40"/>
              <w:spacing w:after="0" w:line="114"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swaps (CCS)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8"/>
              </w:rPr>
              <w:t>5(c)(iv)</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11,939</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151,785</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August 2026</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26,240</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145,845</w:t>
            </w:r>
          </w:p>
        </w:tc>
        <w:tc>
          <w:tcPr>
            <w:tcW w:w="13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August 2026</w:t>
            </w: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Cross currency</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ind w:left="40"/>
              <w:spacing w:after="0" w:line="114"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swaps (CCS)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5"/>
              </w:rPr>
              <w:t>5(c)(v)</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1,741</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84,325</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2026</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9,053</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81,025</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2026</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Cross currency</w:t>
            </w:r>
          </w:p>
        </w:tc>
        <w:tc>
          <w:tcPr>
            <w:tcW w:w="760" w:type="dxa"/>
            <w:vAlign w:val="bottom"/>
          </w:tcPr>
          <w:p>
            <w:pPr>
              <w:jc w:val="center"/>
              <w:spacing w:after="0" w:line="114" w:lineRule="exact"/>
              <w:rPr>
                <w:sz w:val="20"/>
                <w:szCs w:val="20"/>
                <w:color w:val="auto"/>
              </w:rPr>
            </w:pPr>
            <w:r>
              <w:rPr>
                <w:rFonts w:ascii="Arial" w:cs="Arial" w:eastAsia="Arial" w:hAnsi="Arial"/>
                <w:sz w:val="13"/>
                <w:szCs w:val="13"/>
                <w:color w:val="auto"/>
                <w:w w:val="89"/>
              </w:rPr>
              <w:t>6(b)(i) and</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February 2021 /</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January 2018 /</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swaps (CCS)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4"/>
              </w:rPr>
              <w:t>6(c)(i)</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21,424</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1,867</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136,119</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September 2024</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24,263</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1,386</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228,756</w:t>
            </w:r>
          </w:p>
        </w:tc>
        <w:tc>
          <w:tcPr>
            <w:tcW w:w="13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September 2024</w:t>
            </w: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Investments (*)</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rPr>
                <w:sz w:val="9"/>
                <w:szCs w:val="9"/>
                <w:color w:val="auto"/>
              </w:rPr>
            </w:pPr>
          </w:p>
        </w:tc>
        <w:tc>
          <w:tcPr>
            <w:tcW w:w="760" w:type="dxa"/>
            <w:vAlign w:val="bottom"/>
            <w:shd w:val="clear" w:color="auto" w:fill="CCEEFF"/>
          </w:tcPr>
          <w:p>
            <w:pPr>
              <w:jc w:val="center"/>
              <w:spacing w:after="0" w:line="114" w:lineRule="exact"/>
              <w:rPr>
                <w:sz w:val="20"/>
                <w:szCs w:val="20"/>
                <w:color w:val="auto"/>
              </w:rPr>
            </w:pPr>
            <w:r>
              <w:rPr>
                <w:rFonts w:ascii="Arial" w:cs="Arial" w:eastAsia="Arial" w:hAnsi="Arial"/>
                <w:sz w:val="13"/>
                <w:szCs w:val="13"/>
                <w:color w:val="auto"/>
                <w:w w:val="98"/>
              </w:rPr>
              <w:t>6(b)(iii)</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Cross currency</w:t>
            </w:r>
          </w:p>
        </w:tc>
        <w:tc>
          <w:tcPr>
            <w:tcW w:w="76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w w:val="82"/>
              </w:rPr>
              <w:t>and</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swaps (CCS)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rPr>
              <w:t>6(c)(iii)</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4,249</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77,822</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March 2019</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151</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55,097</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March 2019</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Investments (*)</w:t>
            </w: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Cross currency</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swaps (CCS)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rPr>
              <w:t>14(b)(iii)</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16,132</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337,300</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January 2020</w:t>
            </w: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73</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79</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324,100</w:t>
            </w:r>
          </w:p>
        </w:tc>
        <w:tc>
          <w:tcPr>
            <w:tcW w:w="13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January 2020</w:t>
            </w: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Cross currency</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w w:val="94"/>
              </w:rPr>
              <w:t>swaps and interest</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rate swaps (CCS</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and IRS)</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7"/>
              </w:rPr>
              <w:t>5(c)(ii)</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47,959</w:t>
            </w:r>
          </w:p>
        </w:tc>
        <w:tc>
          <w:tcPr>
            <w:tcW w:w="8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269,840</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2020</w:t>
            </w: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32,719</w:t>
            </w:r>
          </w:p>
        </w:tc>
        <w:tc>
          <w:tcPr>
            <w:tcW w:w="8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259,280</w:t>
            </w:r>
          </w:p>
        </w:tc>
        <w:tc>
          <w:tcPr>
            <w:tcW w:w="13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August 2020</w:t>
            </w:r>
          </w:p>
        </w:tc>
        <w:tc>
          <w:tcPr>
            <w:tcW w:w="11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30"/>
        </w:trPr>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6"/>
              </w:rPr>
              <w:t>Fair value hedges -</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July 2019 / July</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April 2018 / October</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line="146" w:lineRule="exact"/>
              <w:rPr>
                <w:sz w:val="20"/>
                <w:szCs w:val="20"/>
                <w:color w:val="auto"/>
              </w:rPr>
            </w:pPr>
            <w:r>
              <w:rPr>
                <w:rFonts w:ascii="Arial" w:cs="Arial" w:eastAsia="Arial" w:hAnsi="Arial"/>
                <w:sz w:val="13"/>
                <w:szCs w:val="13"/>
                <w:color w:val="auto"/>
              </w:rPr>
              <w:t>(IRS)</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1"/>
              </w:rPr>
              <w:t>6(b) y 6(c)</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11,694</w:t>
            </w:r>
          </w:p>
        </w:tc>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4,867</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923,912</w:t>
            </w:r>
          </w:p>
        </w:tc>
        <w:tc>
          <w:tcPr>
            <w:tcW w:w="1060" w:type="dxa"/>
            <w:vAlign w:val="bottom"/>
          </w:tcPr>
          <w:p>
            <w:pPr>
              <w:ind w:left="40"/>
              <w:spacing w:after="0" w:line="146"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6,137</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547</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659,524</w:t>
            </w:r>
          </w:p>
        </w:tc>
        <w:tc>
          <w:tcPr>
            <w:tcW w:w="1260" w:type="dxa"/>
            <w:vAlign w:val="bottom"/>
          </w:tcPr>
          <w:p>
            <w:pPr>
              <w:ind w:left="40"/>
              <w:spacing w:after="0" w:line="146" w:lineRule="exact"/>
              <w:rPr>
                <w:sz w:val="20"/>
                <w:szCs w:val="20"/>
                <w:color w:val="auto"/>
              </w:rPr>
            </w:pPr>
            <w:r>
              <w:rPr>
                <w:rFonts w:ascii="Arial" w:cs="Arial" w:eastAsia="Arial" w:hAnsi="Arial"/>
                <w:sz w:val="13"/>
                <w:szCs w:val="13"/>
                <w:color w:val="auto"/>
              </w:rPr>
              <w:t>2023</w:t>
            </w:r>
          </w:p>
        </w:tc>
        <w:tc>
          <w:tcPr>
            <w:tcW w:w="100" w:type="dxa"/>
            <w:vAlign w:val="bottom"/>
          </w:tcPr>
          <w:p>
            <w:pPr>
              <w:spacing w:after="0"/>
              <w:rPr>
                <w:sz w:val="12"/>
                <w:szCs w:val="12"/>
                <w:color w:val="auto"/>
              </w:rPr>
            </w:pPr>
          </w:p>
        </w:tc>
        <w:tc>
          <w:tcPr>
            <w:tcW w:w="1100" w:type="dxa"/>
            <w:vAlign w:val="bottom"/>
          </w:tcPr>
          <w:p>
            <w:pPr>
              <w:ind w:left="40"/>
              <w:spacing w:after="0" w:line="146" w:lineRule="exact"/>
              <w:rPr>
                <w:sz w:val="20"/>
                <w:szCs w:val="20"/>
                <w:color w:val="auto"/>
              </w:rPr>
            </w:pPr>
            <w:r>
              <w:rPr>
                <w:rFonts w:ascii="Arial" w:cs="Arial" w:eastAsia="Arial" w:hAnsi="Arial"/>
                <w:sz w:val="13"/>
                <w:szCs w:val="13"/>
                <w:color w:val="auto"/>
              </w:rPr>
              <w:t>Investments (*)</w:t>
            </w:r>
          </w:p>
        </w:tc>
        <w:tc>
          <w:tcPr>
            <w:tcW w:w="0" w:type="dxa"/>
            <w:vAlign w:val="bottom"/>
          </w:tcPr>
          <w:p>
            <w:pPr>
              <w:spacing w:after="0"/>
              <w:rPr>
                <w:sz w:val="1"/>
                <w:szCs w:val="1"/>
                <w:color w:val="auto"/>
              </w:rPr>
            </w:pPr>
          </w:p>
        </w:tc>
      </w:tr>
      <w:tr>
        <w:trPr>
          <w:trHeight w:val="114"/>
        </w:trPr>
        <w:tc>
          <w:tcPr>
            <w:tcW w:w="11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Interest rate swaps</w:t>
            </w:r>
          </w:p>
        </w:tc>
        <w:tc>
          <w:tcPr>
            <w:tcW w:w="7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3"/>
                <w:szCs w:val="13"/>
                <w:color w:val="auto"/>
                <w:w w:val="97"/>
              </w:rPr>
              <w:t>September 2020 / April</w:t>
            </w: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(IRS)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16(a)</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110,808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7,915,886</w:t>
            </w:r>
          </w:p>
        </w:tc>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Bonds issued</w:t>
            </w:r>
          </w:p>
        </w:tc>
        <w:tc>
          <w:tcPr>
            <w:tcW w:w="0" w:type="dxa"/>
            <w:vAlign w:val="bottom"/>
          </w:tcPr>
          <w:p>
            <w:pPr>
              <w:spacing w:after="0"/>
              <w:rPr>
                <w:sz w:val="1"/>
                <w:szCs w:val="1"/>
                <w:color w:val="auto"/>
              </w:rPr>
            </w:pPr>
          </w:p>
        </w:tc>
      </w:tr>
      <w:tr>
        <w:trPr>
          <w:trHeight w:val="122"/>
        </w:trPr>
        <w:tc>
          <w:tcPr>
            <w:tcW w:w="116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144,185</w:t>
            </w:r>
          </w:p>
        </w:tc>
        <w:tc>
          <w:tcPr>
            <w:tcW w:w="2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60,895</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6,939,413</w:t>
            </w:r>
          </w:p>
        </w:tc>
        <w:tc>
          <w:tcPr>
            <w:tcW w:w="2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202,640</w:t>
            </w:r>
          </w:p>
        </w:tc>
        <w:tc>
          <w:tcPr>
            <w:tcW w:w="20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134,896</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12,975,333</w:t>
            </w:r>
          </w:p>
        </w:tc>
        <w:tc>
          <w:tcPr>
            <w:tcW w:w="20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766,317</w:t>
            </w:r>
          </w:p>
        </w:tc>
        <w:tc>
          <w:tcPr>
            <w:tcW w:w="2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715,804</w:t>
            </w:r>
          </w:p>
        </w:tc>
        <w:tc>
          <w:tcPr>
            <w:tcW w:w="2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64,949,859</w:t>
            </w:r>
          </w:p>
        </w:tc>
        <w:tc>
          <w:tcPr>
            <w:tcW w:w="2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701,826</w:t>
            </w: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636,762</w:t>
            </w:r>
          </w:p>
        </w:tc>
        <w:tc>
          <w:tcPr>
            <w:tcW w:w="2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8"/>
              </w:rPr>
              <w:t>65,818,565</w:t>
            </w:r>
          </w:p>
        </w:tc>
        <w:tc>
          <w:tcPr>
            <w:tcW w:w="20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1" w:hanging="281"/>
        <w:spacing w:after="0" w:line="269" w:lineRule="auto"/>
        <w:tabs>
          <w:tab w:leader="none" w:pos="28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Corresponds to investments classified at the fair value through other comprehensive income under IFRS 9 as of December 31, 2018 (classified as available-for-sale under IAS 39 as of December 31, 2017).</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5" w:right="239" w:bottom="1440" w:gutter="0" w:footer="0" w:header="0"/>
        </w:sectPr>
      </w:pPr>
    </w:p>
    <w:bookmarkStart w:id="92" w:name="page93"/>
    <w:bookmarkEnd w:id="92"/>
    <w:p>
      <w:pPr>
        <w:ind w:left="360" w:right="80" w:hanging="281"/>
        <w:spacing w:after="0" w:line="258" w:lineRule="auto"/>
        <w:tabs>
          <w:tab w:leader="none" w:pos="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(IAS 39 as of December 31, 2017). Fair value of derivatives held for trading classified by contractual maturity is as follows:</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At December 31, 2018</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At December 31, 2017</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4"/>
        </w:trPr>
        <w:tc>
          <w:tcPr>
            <w:tcW w:w="1020" w:type="dxa"/>
            <w:vAlign w:val="bottom"/>
          </w:tcPr>
          <w:p>
            <w:pPr>
              <w:spacing w:after="0"/>
              <w:rPr>
                <w:sz w:val="9"/>
                <w:szCs w:val="9"/>
                <w:color w:val="auto"/>
              </w:rPr>
            </w:pPr>
          </w:p>
        </w:tc>
        <w:tc>
          <w:tcPr>
            <w:tcW w:w="740" w:type="dxa"/>
            <w:vAlign w:val="bottom"/>
            <w:gridSpan w:val="2"/>
          </w:tcPr>
          <w:p>
            <w:pPr>
              <w:ind w:left="100"/>
              <w:spacing w:after="0" w:line="114" w:lineRule="exact"/>
              <w:rPr>
                <w:sz w:val="20"/>
                <w:szCs w:val="20"/>
                <w:color w:val="auto"/>
              </w:rPr>
            </w:pPr>
            <w:r>
              <w:rPr>
                <w:rFonts w:ascii="Arial" w:cs="Arial" w:eastAsia="Arial" w:hAnsi="Arial"/>
                <w:sz w:val="13"/>
                <w:szCs w:val="13"/>
                <w:b w:val="1"/>
                <w:bCs w:val="1"/>
                <w:color w:val="auto"/>
              </w:rPr>
              <w:t>Up to 3</w:t>
            </w:r>
          </w:p>
        </w:tc>
        <w:tc>
          <w:tcPr>
            <w:tcW w:w="100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87"/>
              </w:rPr>
              <w:t>From 3 months</w:t>
            </w:r>
          </w:p>
        </w:tc>
        <w:tc>
          <w:tcPr>
            <w:tcW w:w="700" w:type="dxa"/>
            <w:vAlign w:val="bottom"/>
            <w:gridSpan w:val="2"/>
          </w:tcPr>
          <w:p>
            <w:pPr>
              <w:jc w:val="center"/>
              <w:ind w:right="80"/>
              <w:spacing w:after="0" w:line="114" w:lineRule="exact"/>
              <w:rPr>
                <w:sz w:val="20"/>
                <w:szCs w:val="20"/>
                <w:color w:val="auto"/>
              </w:rPr>
            </w:pPr>
            <w:r>
              <w:rPr>
                <w:rFonts w:ascii="Arial" w:cs="Arial" w:eastAsia="Arial" w:hAnsi="Arial"/>
                <w:sz w:val="13"/>
                <w:szCs w:val="13"/>
                <w:b w:val="1"/>
                <w:bCs w:val="1"/>
                <w:color w:val="auto"/>
                <w:w w:val="88"/>
              </w:rPr>
              <w:t>From 1 to 3</w:t>
            </w:r>
          </w:p>
        </w:tc>
        <w:tc>
          <w:tcPr>
            <w:tcW w:w="860" w:type="dxa"/>
            <w:vAlign w:val="bottom"/>
            <w:gridSpan w:val="3"/>
          </w:tcPr>
          <w:p>
            <w:pPr>
              <w:jc w:val="center"/>
              <w:ind w:right="80"/>
              <w:spacing w:after="0" w:line="114" w:lineRule="exact"/>
              <w:rPr>
                <w:sz w:val="20"/>
                <w:szCs w:val="20"/>
                <w:color w:val="auto"/>
              </w:rPr>
            </w:pPr>
            <w:r>
              <w:rPr>
                <w:rFonts w:ascii="Arial" w:cs="Arial" w:eastAsia="Arial" w:hAnsi="Arial"/>
                <w:sz w:val="13"/>
                <w:szCs w:val="13"/>
                <w:b w:val="1"/>
                <w:bCs w:val="1"/>
                <w:color w:val="auto"/>
                <w:w w:val="88"/>
              </w:rPr>
              <w:t>From 3 to 5</w:t>
            </w:r>
          </w:p>
        </w:tc>
        <w:tc>
          <w:tcPr>
            <w:tcW w:w="80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88"/>
              </w:rPr>
              <w:t>Over 5</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ind w:left="100"/>
              <w:spacing w:after="0" w:line="114" w:lineRule="exact"/>
              <w:rPr>
                <w:sz w:val="20"/>
                <w:szCs w:val="20"/>
                <w:color w:val="auto"/>
              </w:rPr>
            </w:pPr>
            <w:r>
              <w:rPr>
                <w:rFonts w:ascii="Arial" w:cs="Arial" w:eastAsia="Arial" w:hAnsi="Arial"/>
                <w:sz w:val="13"/>
                <w:szCs w:val="13"/>
                <w:b w:val="1"/>
                <w:bCs w:val="1"/>
                <w:color w:val="auto"/>
              </w:rPr>
              <w:t>Up to 3</w:t>
            </w:r>
          </w:p>
        </w:tc>
        <w:tc>
          <w:tcPr>
            <w:tcW w:w="900" w:type="dxa"/>
            <w:vAlign w:val="bottom"/>
            <w:gridSpan w:val="2"/>
          </w:tcPr>
          <w:p>
            <w:pPr>
              <w:jc w:val="center"/>
              <w:ind w:right="60"/>
              <w:spacing w:after="0" w:line="114" w:lineRule="exact"/>
              <w:rPr>
                <w:sz w:val="20"/>
                <w:szCs w:val="20"/>
                <w:color w:val="auto"/>
              </w:rPr>
            </w:pPr>
            <w:r>
              <w:rPr>
                <w:rFonts w:ascii="Arial" w:cs="Arial" w:eastAsia="Arial" w:hAnsi="Arial"/>
                <w:sz w:val="13"/>
                <w:szCs w:val="13"/>
                <w:b w:val="1"/>
                <w:bCs w:val="1"/>
                <w:color w:val="auto"/>
                <w:w w:val="89"/>
              </w:rPr>
              <w:t>From 3 months</w:t>
            </w:r>
          </w:p>
        </w:tc>
        <w:tc>
          <w:tcPr>
            <w:tcW w:w="120" w:type="dxa"/>
            <w:vAlign w:val="bottom"/>
          </w:tcPr>
          <w:p>
            <w:pPr>
              <w:spacing w:after="0"/>
              <w:rPr>
                <w:sz w:val="9"/>
                <w:szCs w:val="9"/>
                <w:color w:val="auto"/>
              </w:rPr>
            </w:pPr>
          </w:p>
        </w:tc>
        <w:tc>
          <w:tcPr>
            <w:tcW w:w="80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88"/>
              </w:rPr>
              <w:t>From 1 to 3</w:t>
            </w:r>
          </w:p>
        </w:tc>
        <w:tc>
          <w:tcPr>
            <w:tcW w:w="80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88"/>
              </w:rPr>
              <w:t>From 3 to 5</w:t>
            </w:r>
          </w:p>
        </w:tc>
        <w:tc>
          <w:tcPr>
            <w:tcW w:w="80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93"/>
              </w:rPr>
              <w:t>Over 5</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0"/>
        </w:trPr>
        <w:tc>
          <w:tcPr>
            <w:tcW w:w="10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months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 1 year</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years</w:t>
            </w: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years</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years</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months</w:t>
            </w: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to 1 year</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years</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years</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years</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3"/>
              </w:rPr>
              <w:t>Total</w:t>
            </w:r>
          </w:p>
        </w:tc>
      </w:tr>
      <w:tr>
        <w:trPr>
          <w:trHeight w:val="122"/>
        </w:trPr>
        <w:tc>
          <w:tcPr>
            <w:tcW w:w="1020" w:type="dxa"/>
            <w:vAlign w:val="bottom"/>
          </w:tcPr>
          <w:p>
            <w:pPr>
              <w:spacing w:after="0"/>
              <w:rPr>
                <w:sz w:val="10"/>
                <w:szCs w:val="10"/>
                <w:color w:val="auto"/>
              </w:rPr>
            </w:pPr>
          </w:p>
        </w:tc>
        <w:tc>
          <w:tcPr>
            <w:tcW w:w="5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0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5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40" w:type="dxa"/>
            <w:vAlign w:val="bottom"/>
          </w:tcPr>
          <w:p>
            <w:pPr>
              <w:spacing w:after="0"/>
              <w:rPr>
                <w:sz w:val="10"/>
                <w:szCs w:val="10"/>
                <w:color w:val="auto"/>
              </w:rPr>
            </w:pPr>
          </w:p>
        </w:tc>
      </w:tr>
      <w:tr>
        <w:trPr>
          <w:trHeight w:val="114"/>
        </w:trPr>
        <w:tc>
          <w:tcPr>
            <w:tcW w:w="10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Foreign currency</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6"/>
        </w:trPr>
        <w:tc>
          <w:tcPr>
            <w:tcW w:w="10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forwards</w:t>
            </w: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72,540</w:t>
            </w:r>
          </w:p>
        </w:tc>
        <w:tc>
          <w:tcPr>
            <w:tcW w:w="100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47,081</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5,067</w:t>
            </w: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124,688</w:t>
            </w:r>
          </w:p>
        </w:tc>
        <w:tc>
          <w:tcPr>
            <w:tcW w:w="7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41,995</w:t>
            </w:r>
          </w:p>
        </w:tc>
        <w:tc>
          <w:tcPr>
            <w:tcW w:w="900" w:type="dxa"/>
            <w:vAlign w:val="bottom"/>
            <w:gridSpan w:val="2"/>
            <w:shd w:val="clear" w:color="auto" w:fill="CCEEFF"/>
          </w:tcPr>
          <w:p>
            <w:pPr>
              <w:ind w:left="480"/>
              <w:spacing w:after="0" w:line="146" w:lineRule="exact"/>
              <w:rPr>
                <w:sz w:val="20"/>
                <w:szCs w:val="20"/>
                <w:color w:val="auto"/>
              </w:rPr>
            </w:pPr>
            <w:r>
              <w:rPr>
                <w:rFonts w:ascii="Arial" w:cs="Arial" w:eastAsia="Arial" w:hAnsi="Arial"/>
                <w:sz w:val="13"/>
                <w:szCs w:val="13"/>
                <w:color w:val="auto"/>
              </w:rPr>
              <w:t>19,238</w:t>
            </w:r>
          </w:p>
        </w:tc>
        <w:tc>
          <w:tcPr>
            <w:tcW w:w="920" w:type="dxa"/>
            <w:vAlign w:val="bottom"/>
            <w:gridSpan w:val="3"/>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1,120</w:t>
            </w:r>
          </w:p>
        </w:tc>
        <w:tc>
          <w:tcPr>
            <w:tcW w:w="80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62,353</w:t>
            </w:r>
          </w:p>
        </w:tc>
      </w:tr>
      <w:tr>
        <w:trPr>
          <w:trHeight w:val="114"/>
        </w:trPr>
        <w:tc>
          <w:tcPr>
            <w:tcW w:w="1020" w:type="dxa"/>
            <w:vAlign w:val="bottom"/>
          </w:tcPr>
          <w:p>
            <w:pPr>
              <w:spacing w:after="0" w:line="114" w:lineRule="exact"/>
              <w:rPr>
                <w:sz w:val="20"/>
                <w:szCs w:val="20"/>
                <w:color w:val="auto"/>
              </w:rPr>
            </w:pPr>
            <w:r>
              <w:rPr>
                <w:rFonts w:ascii="Arial" w:cs="Arial" w:eastAsia="Arial" w:hAnsi="Arial"/>
                <w:sz w:val="13"/>
                <w:szCs w:val="13"/>
                <w:color w:val="auto"/>
              </w:rPr>
              <w:t>Interest rate</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6"/>
        </w:trPr>
        <w:tc>
          <w:tcPr>
            <w:tcW w:w="1020" w:type="dxa"/>
            <w:vAlign w:val="bottom"/>
          </w:tcPr>
          <w:p>
            <w:pPr>
              <w:spacing w:after="0" w:line="146" w:lineRule="exact"/>
              <w:rPr>
                <w:sz w:val="20"/>
                <w:szCs w:val="20"/>
                <w:color w:val="auto"/>
              </w:rPr>
            </w:pPr>
            <w:r>
              <w:rPr>
                <w:rFonts w:ascii="Arial" w:cs="Arial" w:eastAsia="Arial" w:hAnsi="Arial"/>
                <w:sz w:val="13"/>
                <w:szCs w:val="13"/>
                <w:color w:val="auto"/>
              </w:rPr>
              <w:t>swaps</w:t>
            </w: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4,075</w:t>
            </w:r>
          </w:p>
        </w:tc>
        <w:tc>
          <w:tcPr>
            <w:tcW w:w="10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7,441</w:t>
            </w: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22,888</w:t>
            </w:r>
          </w:p>
        </w:tc>
        <w:tc>
          <w:tcPr>
            <w:tcW w:w="86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22,286</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85,041</w:t>
            </w:r>
          </w:p>
        </w:tc>
        <w:tc>
          <w:tcPr>
            <w:tcW w:w="7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141,731</w:t>
            </w:r>
          </w:p>
        </w:tc>
        <w:tc>
          <w:tcPr>
            <w:tcW w:w="7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5,487</w:t>
            </w:r>
          </w:p>
        </w:tc>
        <w:tc>
          <w:tcPr>
            <w:tcW w:w="900" w:type="dxa"/>
            <w:vAlign w:val="bottom"/>
            <w:gridSpan w:val="2"/>
          </w:tcPr>
          <w:p>
            <w:pPr>
              <w:ind w:left="480"/>
              <w:spacing w:after="0" w:line="146" w:lineRule="exact"/>
              <w:rPr>
                <w:sz w:val="20"/>
                <w:szCs w:val="20"/>
                <w:color w:val="auto"/>
              </w:rPr>
            </w:pPr>
            <w:r>
              <w:rPr>
                <w:rFonts w:ascii="Arial" w:cs="Arial" w:eastAsia="Arial" w:hAnsi="Arial"/>
                <w:sz w:val="13"/>
                <w:szCs w:val="13"/>
                <w:color w:val="auto"/>
              </w:rPr>
              <w:t>16,971</w:t>
            </w:r>
          </w:p>
        </w:tc>
        <w:tc>
          <w:tcPr>
            <w:tcW w:w="920" w:type="dxa"/>
            <w:vAlign w:val="bottom"/>
            <w:gridSpan w:val="3"/>
          </w:tcPr>
          <w:p>
            <w:pPr>
              <w:jc w:val="right"/>
              <w:ind w:right="180"/>
              <w:spacing w:after="0" w:line="146" w:lineRule="exact"/>
              <w:rPr>
                <w:sz w:val="20"/>
                <w:szCs w:val="20"/>
                <w:color w:val="auto"/>
              </w:rPr>
            </w:pPr>
            <w:r>
              <w:rPr>
                <w:rFonts w:ascii="Arial" w:cs="Arial" w:eastAsia="Arial" w:hAnsi="Arial"/>
                <w:sz w:val="13"/>
                <w:szCs w:val="13"/>
                <w:color w:val="auto"/>
              </w:rPr>
              <w:t>22,705</w:t>
            </w:r>
          </w:p>
        </w:tc>
        <w:tc>
          <w:tcPr>
            <w:tcW w:w="8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18,464</w:t>
            </w:r>
          </w:p>
        </w:tc>
        <w:tc>
          <w:tcPr>
            <w:tcW w:w="8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38,138</w:t>
            </w:r>
          </w:p>
        </w:tc>
        <w:tc>
          <w:tcPr>
            <w:tcW w:w="5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101,765</w:t>
            </w:r>
          </w:p>
        </w:tc>
      </w:tr>
      <w:tr>
        <w:trPr>
          <w:trHeight w:val="130"/>
        </w:trPr>
        <w:tc>
          <w:tcPr>
            <w:tcW w:w="10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Currency swaps</w:t>
            </w:r>
          </w:p>
        </w:tc>
        <w:tc>
          <w:tcPr>
            <w:tcW w:w="7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6,316</w:t>
            </w:r>
          </w:p>
        </w:tc>
        <w:tc>
          <w:tcPr>
            <w:tcW w:w="10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24,183</w:t>
            </w:r>
          </w:p>
        </w:tc>
        <w:tc>
          <w:tcPr>
            <w:tcW w:w="7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142,696</w:t>
            </w:r>
          </w:p>
        </w:tc>
        <w:tc>
          <w:tcPr>
            <w:tcW w:w="86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130,594</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50,643</w:t>
            </w:r>
          </w:p>
        </w:tc>
        <w:tc>
          <w:tcPr>
            <w:tcW w:w="7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354,432</w:t>
            </w:r>
          </w:p>
        </w:tc>
        <w:tc>
          <w:tcPr>
            <w:tcW w:w="7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12,190</w:t>
            </w:r>
          </w:p>
        </w:tc>
        <w:tc>
          <w:tcPr>
            <w:tcW w:w="900" w:type="dxa"/>
            <w:vAlign w:val="bottom"/>
            <w:gridSpan w:val="2"/>
            <w:shd w:val="clear" w:color="auto" w:fill="CCEEFF"/>
          </w:tcPr>
          <w:p>
            <w:pPr>
              <w:ind w:left="540"/>
              <w:spacing w:after="0" w:line="131" w:lineRule="exact"/>
              <w:rPr>
                <w:sz w:val="20"/>
                <w:szCs w:val="20"/>
                <w:color w:val="auto"/>
              </w:rPr>
            </w:pPr>
            <w:r>
              <w:rPr>
                <w:rFonts w:ascii="Arial" w:cs="Arial" w:eastAsia="Arial" w:hAnsi="Arial"/>
                <w:sz w:val="13"/>
                <w:szCs w:val="13"/>
                <w:color w:val="auto"/>
              </w:rPr>
              <w:t>7,803</w:t>
            </w:r>
          </w:p>
        </w:tc>
        <w:tc>
          <w:tcPr>
            <w:tcW w:w="92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142,370</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58,391</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111,622</w:t>
            </w:r>
          </w:p>
        </w:tc>
        <w:tc>
          <w:tcPr>
            <w:tcW w:w="54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rPr>
              <w:t>332,376</w:t>
            </w:r>
          </w:p>
        </w:tc>
      </w:tr>
      <w:tr>
        <w:trPr>
          <w:trHeight w:val="114"/>
        </w:trPr>
        <w:tc>
          <w:tcPr>
            <w:tcW w:w="1020" w:type="dxa"/>
            <w:vAlign w:val="bottom"/>
          </w:tcPr>
          <w:p>
            <w:pPr>
              <w:spacing w:after="0" w:line="114" w:lineRule="exact"/>
              <w:rPr>
                <w:sz w:val="20"/>
                <w:szCs w:val="20"/>
                <w:color w:val="auto"/>
              </w:rPr>
            </w:pPr>
            <w:r>
              <w:rPr>
                <w:rFonts w:ascii="Arial" w:cs="Arial" w:eastAsia="Arial" w:hAnsi="Arial"/>
                <w:sz w:val="13"/>
                <w:szCs w:val="13"/>
                <w:color w:val="auto"/>
                <w:w w:val="96"/>
              </w:rPr>
              <w:t>Foreign exchange</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8"/>
        </w:trPr>
        <w:tc>
          <w:tcPr>
            <w:tcW w:w="1020" w:type="dxa"/>
            <w:vAlign w:val="bottom"/>
          </w:tcPr>
          <w:p>
            <w:pPr>
              <w:spacing w:after="0"/>
              <w:rPr>
                <w:sz w:val="20"/>
                <w:szCs w:val="20"/>
                <w:color w:val="auto"/>
              </w:rPr>
            </w:pPr>
            <w:r>
              <w:rPr>
                <w:rFonts w:ascii="Arial" w:cs="Arial" w:eastAsia="Arial" w:hAnsi="Arial"/>
                <w:sz w:val="13"/>
                <w:szCs w:val="13"/>
                <w:color w:val="auto"/>
              </w:rPr>
              <w:t>options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763</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380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138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1,281</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2,468</w:t>
            </w:r>
          </w:p>
        </w:tc>
        <w:tc>
          <w:tcPr>
            <w:tcW w:w="820" w:type="dxa"/>
            <w:vAlign w:val="bottom"/>
          </w:tcPr>
          <w:p>
            <w:pPr>
              <w:ind w:left="640"/>
              <w:spacing w:after="0"/>
              <w:rPr>
                <w:sz w:val="20"/>
                <w:szCs w:val="20"/>
                <w:color w:val="auto"/>
              </w:rPr>
            </w:pPr>
            <w:r>
              <w:rPr>
                <w:rFonts w:ascii="Arial" w:cs="Arial" w:eastAsia="Arial" w:hAnsi="Arial"/>
                <w:sz w:val="13"/>
                <w:szCs w:val="13"/>
                <w:color w:val="auto"/>
                <w:w w:val="73"/>
              </w:rPr>
              <w:t>224</w:t>
            </w:r>
          </w:p>
        </w:tc>
        <w:tc>
          <w:tcPr>
            <w:tcW w:w="80" w:type="dxa"/>
            <w:vAlign w:val="bottom"/>
          </w:tcPr>
          <w:p>
            <w:pPr>
              <w:spacing w:after="0"/>
              <w:rPr>
                <w:sz w:val="13"/>
                <w:szCs w:val="13"/>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2,692</w:t>
            </w:r>
          </w:p>
        </w:tc>
      </w:tr>
      <w:tr>
        <w:trPr>
          <w:trHeight w:val="126"/>
        </w:trPr>
        <w:tc>
          <w:tcPr>
            <w:tcW w:w="1020" w:type="dxa"/>
            <w:vAlign w:val="bottom"/>
            <w:tcBorders>
              <w:top w:val="single" w:sz="8" w:color="CCEEFF"/>
              <w:bottom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 assets</w:t>
            </w:r>
          </w:p>
        </w:tc>
        <w:tc>
          <w:tcPr>
            <w:tcW w:w="5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83,694</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79,085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170,789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152,880</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135,684</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622,132</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62,140</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ind w:left="480"/>
              <w:spacing w:after="0" w:line="123" w:lineRule="exact"/>
              <w:rPr>
                <w:sz w:val="20"/>
                <w:szCs w:val="20"/>
                <w:color w:val="auto"/>
              </w:rPr>
            </w:pPr>
            <w:r>
              <w:rPr>
                <w:rFonts w:ascii="Arial" w:cs="Arial" w:eastAsia="Arial" w:hAnsi="Arial"/>
                <w:sz w:val="13"/>
                <w:szCs w:val="13"/>
                <w:color w:val="auto"/>
                <w:w w:val="80"/>
              </w:rPr>
              <w:t>44,236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166,195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76,855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149,760</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499,186</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332"/>
        </w:trPr>
        <w:tc>
          <w:tcPr>
            <w:tcW w:w="10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At December 31, 2018</w:t>
            </w: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At December 31, 2017</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4"/>
        </w:trPr>
        <w:tc>
          <w:tcPr>
            <w:tcW w:w="1020" w:type="dxa"/>
            <w:vAlign w:val="bottom"/>
          </w:tcPr>
          <w:p>
            <w:pPr>
              <w:spacing w:after="0"/>
              <w:rPr>
                <w:sz w:val="9"/>
                <w:szCs w:val="9"/>
                <w:color w:val="auto"/>
              </w:rPr>
            </w:pPr>
          </w:p>
        </w:tc>
        <w:tc>
          <w:tcPr>
            <w:tcW w:w="740" w:type="dxa"/>
            <w:vAlign w:val="bottom"/>
            <w:gridSpan w:val="2"/>
          </w:tcPr>
          <w:p>
            <w:pPr>
              <w:ind w:left="100"/>
              <w:spacing w:after="0" w:line="114" w:lineRule="exact"/>
              <w:rPr>
                <w:sz w:val="20"/>
                <w:szCs w:val="20"/>
                <w:color w:val="auto"/>
              </w:rPr>
            </w:pPr>
            <w:r>
              <w:rPr>
                <w:rFonts w:ascii="Arial" w:cs="Arial" w:eastAsia="Arial" w:hAnsi="Arial"/>
                <w:sz w:val="13"/>
                <w:szCs w:val="13"/>
                <w:b w:val="1"/>
                <w:bCs w:val="1"/>
                <w:color w:val="auto"/>
              </w:rPr>
              <w:t>Up to 3</w:t>
            </w:r>
          </w:p>
        </w:tc>
        <w:tc>
          <w:tcPr>
            <w:tcW w:w="100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87"/>
              </w:rPr>
              <w:t>From 3 months</w:t>
            </w:r>
          </w:p>
        </w:tc>
        <w:tc>
          <w:tcPr>
            <w:tcW w:w="700" w:type="dxa"/>
            <w:vAlign w:val="bottom"/>
            <w:gridSpan w:val="2"/>
          </w:tcPr>
          <w:p>
            <w:pPr>
              <w:jc w:val="center"/>
              <w:ind w:right="80"/>
              <w:spacing w:after="0" w:line="114" w:lineRule="exact"/>
              <w:rPr>
                <w:sz w:val="20"/>
                <w:szCs w:val="20"/>
                <w:color w:val="auto"/>
              </w:rPr>
            </w:pPr>
            <w:r>
              <w:rPr>
                <w:rFonts w:ascii="Arial" w:cs="Arial" w:eastAsia="Arial" w:hAnsi="Arial"/>
                <w:sz w:val="13"/>
                <w:szCs w:val="13"/>
                <w:b w:val="1"/>
                <w:bCs w:val="1"/>
                <w:color w:val="auto"/>
                <w:w w:val="88"/>
              </w:rPr>
              <w:t>From 1 to 3</w:t>
            </w:r>
          </w:p>
        </w:tc>
        <w:tc>
          <w:tcPr>
            <w:tcW w:w="860" w:type="dxa"/>
            <w:vAlign w:val="bottom"/>
            <w:gridSpan w:val="3"/>
          </w:tcPr>
          <w:p>
            <w:pPr>
              <w:jc w:val="center"/>
              <w:ind w:right="80"/>
              <w:spacing w:after="0" w:line="114" w:lineRule="exact"/>
              <w:rPr>
                <w:sz w:val="20"/>
                <w:szCs w:val="20"/>
                <w:color w:val="auto"/>
              </w:rPr>
            </w:pPr>
            <w:r>
              <w:rPr>
                <w:rFonts w:ascii="Arial" w:cs="Arial" w:eastAsia="Arial" w:hAnsi="Arial"/>
                <w:sz w:val="13"/>
                <w:szCs w:val="13"/>
                <w:b w:val="1"/>
                <w:bCs w:val="1"/>
                <w:color w:val="auto"/>
                <w:w w:val="88"/>
              </w:rPr>
              <w:t>From 3 to 5</w:t>
            </w:r>
          </w:p>
        </w:tc>
        <w:tc>
          <w:tcPr>
            <w:tcW w:w="80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88"/>
              </w:rPr>
              <w:t>Over 5</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ind w:left="100"/>
              <w:spacing w:after="0" w:line="114" w:lineRule="exact"/>
              <w:rPr>
                <w:sz w:val="20"/>
                <w:szCs w:val="20"/>
                <w:color w:val="auto"/>
              </w:rPr>
            </w:pPr>
            <w:r>
              <w:rPr>
                <w:rFonts w:ascii="Arial" w:cs="Arial" w:eastAsia="Arial" w:hAnsi="Arial"/>
                <w:sz w:val="13"/>
                <w:szCs w:val="13"/>
                <w:b w:val="1"/>
                <w:bCs w:val="1"/>
                <w:color w:val="auto"/>
              </w:rPr>
              <w:t>Up to 3</w:t>
            </w:r>
          </w:p>
        </w:tc>
        <w:tc>
          <w:tcPr>
            <w:tcW w:w="900" w:type="dxa"/>
            <w:vAlign w:val="bottom"/>
            <w:gridSpan w:val="2"/>
          </w:tcPr>
          <w:p>
            <w:pPr>
              <w:jc w:val="center"/>
              <w:ind w:right="60"/>
              <w:spacing w:after="0" w:line="114" w:lineRule="exact"/>
              <w:rPr>
                <w:sz w:val="20"/>
                <w:szCs w:val="20"/>
                <w:color w:val="auto"/>
              </w:rPr>
            </w:pPr>
            <w:r>
              <w:rPr>
                <w:rFonts w:ascii="Arial" w:cs="Arial" w:eastAsia="Arial" w:hAnsi="Arial"/>
                <w:sz w:val="13"/>
                <w:szCs w:val="13"/>
                <w:b w:val="1"/>
                <w:bCs w:val="1"/>
                <w:color w:val="auto"/>
                <w:w w:val="89"/>
              </w:rPr>
              <w:t>From 3 months</w:t>
            </w:r>
          </w:p>
        </w:tc>
        <w:tc>
          <w:tcPr>
            <w:tcW w:w="120" w:type="dxa"/>
            <w:vAlign w:val="bottom"/>
          </w:tcPr>
          <w:p>
            <w:pPr>
              <w:spacing w:after="0"/>
              <w:rPr>
                <w:sz w:val="9"/>
                <w:szCs w:val="9"/>
                <w:color w:val="auto"/>
              </w:rPr>
            </w:pPr>
          </w:p>
        </w:tc>
        <w:tc>
          <w:tcPr>
            <w:tcW w:w="80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88"/>
              </w:rPr>
              <w:t>From 1 to 3</w:t>
            </w:r>
          </w:p>
        </w:tc>
        <w:tc>
          <w:tcPr>
            <w:tcW w:w="80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88"/>
              </w:rPr>
              <w:t>From 3 to 5</w:t>
            </w:r>
          </w:p>
        </w:tc>
        <w:tc>
          <w:tcPr>
            <w:tcW w:w="80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93"/>
              </w:rPr>
              <w:t>Over 5</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0"/>
        </w:trPr>
        <w:tc>
          <w:tcPr>
            <w:tcW w:w="10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months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 1 year</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years</w:t>
            </w: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years</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years</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months</w:t>
            </w: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to 1 year</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years</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years</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years</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3"/>
              </w:rPr>
              <w:t>Total</w:t>
            </w:r>
          </w:p>
        </w:tc>
      </w:tr>
      <w:tr>
        <w:trPr>
          <w:trHeight w:val="122"/>
        </w:trPr>
        <w:tc>
          <w:tcPr>
            <w:tcW w:w="1020" w:type="dxa"/>
            <w:vAlign w:val="bottom"/>
          </w:tcPr>
          <w:p>
            <w:pPr>
              <w:spacing w:after="0"/>
              <w:rPr>
                <w:sz w:val="10"/>
                <w:szCs w:val="10"/>
                <w:color w:val="auto"/>
              </w:rPr>
            </w:pPr>
          </w:p>
        </w:tc>
        <w:tc>
          <w:tcPr>
            <w:tcW w:w="5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0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5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40" w:type="dxa"/>
            <w:vAlign w:val="bottom"/>
          </w:tcPr>
          <w:p>
            <w:pPr>
              <w:spacing w:after="0"/>
              <w:rPr>
                <w:sz w:val="10"/>
                <w:szCs w:val="10"/>
                <w:color w:val="auto"/>
              </w:rPr>
            </w:pPr>
          </w:p>
        </w:tc>
      </w:tr>
      <w:tr>
        <w:trPr>
          <w:trHeight w:val="114"/>
        </w:trPr>
        <w:tc>
          <w:tcPr>
            <w:tcW w:w="10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Foreign currency</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6"/>
        </w:trPr>
        <w:tc>
          <w:tcPr>
            <w:tcW w:w="10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forwards</w:t>
            </w:r>
          </w:p>
        </w:tc>
        <w:tc>
          <w:tcPr>
            <w:tcW w:w="7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64,459</w:t>
            </w:r>
          </w:p>
        </w:tc>
        <w:tc>
          <w:tcPr>
            <w:tcW w:w="100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37,501</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2,246</w:t>
            </w: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104,206</w:t>
            </w:r>
          </w:p>
        </w:tc>
        <w:tc>
          <w:tcPr>
            <w:tcW w:w="7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39,888</w:t>
            </w:r>
          </w:p>
        </w:tc>
        <w:tc>
          <w:tcPr>
            <w:tcW w:w="900" w:type="dxa"/>
            <w:vAlign w:val="bottom"/>
            <w:gridSpan w:val="2"/>
            <w:shd w:val="clear" w:color="auto" w:fill="CCEEFF"/>
          </w:tcPr>
          <w:p>
            <w:pPr>
              <w:ind w:left="480"/>
              <w:spacing w:after="0" w:line="146" w:lineRule="exact"/>
              <w:rPr>
                <w:sz w:val="20"/>
                <w:szCs w:val="20"/>
                <w:color w:val="auto"/>
              </w:rPr>
            </w:pPr>
            <w:r>
              <w:rPr>
                <w:rFonts w:ascii="Arial" w:cs="Arial" w:eastAsia="Arial" w:hAnsi="Arial"/>
                <w:sz w:val="13"/>
                <w:szCs w:val="13"/>
                <w:color w:val="auto"/>
              </w:rPr>
              <w:t>16,603</w:t>
            </w:r>
          </w:p>
        </w:tc>
        <w:tc>
          <w:tcPr>
            <w:tcW w:w="920" w:type="dxa"/>
            <w:vAlign w:val="bottom"/>
            <w:gridSpan w:val="3"/>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378</w:t>
            </w:r>
          </w:p>
        </w:tc>
        <w:tc>
          <w:tcPr>
            <w:tcW w:w="80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56,869</w:t>
            </w:r>
          </w:p>
        </w:tc>
      </w:tr>
      <w:tr>
        <w:trPr>
          <w:trHeight w:val="114"/>
        </w:trPr>
        <w:tc>
          <w:tcPr>
            <w:tcW w:w="1020" w:type="dxa"/>
            <w:vAlign w:val="bottom"/>
          </w:tcPr>
          <w:p>
            <w:pPr>
              <w:spacing w:after="0" w:line="114" w:lineRule="exact"/>
              <w:rPr>
                <w:sz w:val="20"/>
                <w:szCs w:val="20"/>
                <w:color w:val="auto"/>
              </w:rPr>
            </w:pPr>
            <w:r>
              <w:rPr>
                <w:rFonts w:ascii="Arial" w:cs="Arial" w:eastAsia="Arial" w:hAnsi="Arial"/>
                <w:sz w:val="13"/>
                <w:szCs w:val="13"/>
                <w:color w:val="auto"/>
              </w:rPr>
              <w:t>Interest rate</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6"/>
        </w:trPr>
        <w:tc>
          <w:tcPr>
            <w:tcW w:w="1020" w:type="dxa"/>
            <w:vAlign w:val="bottom"/>
          </w:tcPr>
          <w:p>
            <w:pPr>
              <w:spacing w:after="0" w:line="146" w:lineRule="exact"/>
              <w:rPr>
                <w:sz w:val="20"/>
                <w:szCs w:val="20"/>
                <w:color w:val="auto"/>
              </w:rPr>
            </w:pPr>
            <w:r>
              <w:rPr>
                <w:rFonts w:ascii="Arial" w:cs="Arial" w:eastAsia="Arial" w:hAnsi="Arial"/>
                <w:sz w:val="13"/>
                <w:szCs w:val="13"/>
                <w:color w:val="auto"/>
              </w:rPr>
              <w:t>swaps</w:t>
            </w:r>
          </w:p>
        </w:tc>
        <w:tc>
          <w:tcPr>
            <w:tcW w:w="7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11,265</w:t>
            </w:r>
          </w:p>
        </w:tc>
        <w:tc>
          <w:tcPr>
            <w:tcW w:w="10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16,586</w:t>
            </w: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19,458</w:t>
            </w:r>
          </w:p>
        </w:tc>
        <w:tc>
          <w:tcPr>
            <w:tcW w:w="86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19,459</w:t>
            </w: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81,351</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148,119</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6,841</w:t>
            </w:r>
          </w:p>
        </w:tc>
        <w:tc>
          <w:tcPr>
            <w:tcW w:w="900" w:type="dxa"/>
            <w:vAlign w:val="bottom"/>
            <w:gridSpan w:val="2"/>
          </w:tcPr>
          <w:p>
            <w:pPr>
              <w:ind w:left="480"/>
              <w:spacing w:after="0" w:line="146" w:lineRule="exact"/>
              <w:rPr>
                <w:sz w:val="20"/>
                <w:szCs w:val="20"/>
                <w:color w:val="auto"/>
              </w:rPr>
            </w:pPr>
            <w:r>
              <w:rPr>
                <w:rFonts w:ascii="Arial" w:cs="Arial" w:eastAsia="Arial" w:hAnsi="Arial"/>
                <w:sz w:val="13"/>
                <w:szCs w:val="13"/>
                <w:color w:val="auto"/>
              </w:rPr>
              <w:t>14,196</w:t>
            </w:r>
          </w:p>
        </w:tc>
        <w:tc>
          <w:tcPr>
            <w:tcW w:w="920" w:type="dxa"/>
            <w:vAlign w:val="bottom"/>
            <w:gridSpan w:val="3"/>
          </w:tcPr>
          <w:p>
            <w:pPr>
              <w:jc w:val="right"/>
              <w:ind w:right="180"/>
              <w:spacing w:after="0" w:line="146" w:lineRule="exact"/>
              <w:rPr>
                <w:sz w:val="20"/>
                <w:szCs w:val="20"/>
                <w:color w:val="auto"/>
              </w:rPr>
            </w:pPr>
            <w:r>
              <w:rPr>
                <w:rFonts w:ascii="Arial" w:cs="Arial" w:eastAsia="Arial" w:hAnsi="Arial"/>
                <w:sz w:val="13"/>
                <w:szCs w:val="13"/>
                <w:color w:val="auto"/>
              </w:rPr>
              <w:t>24,537</w:t>
            </w:r>
          </w:p>
        </w:tc>
        <w:tc>
          <w:tcPr>
            <w:tcW w:w="8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17,018</w:t>
            </w:r>
          </w:p>
        </w:tc>
        <w:tc>
          <w:tcPr>
            <w:tcW w:w="8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31,646</w:t>
            </w:r>
          </w:p>
        </w:tc>
        <w:tc>
          <w:tcPr>
            <w:tcW w:w="5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94,238</w:t>
            </w:r>
          </w:p>
        </w:tc>
      </w:tr>
      <w:tr>
        <w:trPr>
          <w:trHeight w:val="130"/>
        </w:trPr>
        <w:tc>
          <w:tcPr>
            <w:tcW w:w="10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Currency swaps</w:t>
            </w:r>
          </w:p>
        </w:tc>
        <w:tc>
          <w:tcPr>
            <w:tcW w:w="7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22,163</w:t>
            </w:r>
          </w:p>
        </w:tc>
        <w:tc>
          <w:tcPr>
            <w:tcW w:w="10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34,896</w:t>
            </w:r>
          </w:p>
        </w:tc>
        <w:tc>
          <w:tcPr>
            <w:tcW w:w="7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187,581</w:t>
            </w:r>
          </w:p>
        </w:tc>
        <w:tc>
          <w:tcPr>
            <w:tcW w:w="86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87,496</w:t>
            </w:r>
          </w:p>
        </w:tc>
        <w:tc>
          <w:tcPr>
            <w:tcW w:w="8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69,720</w:t>
            </w:r>
          </w:p>
        </w:tc>
        <w:tc>
          <w:tcPr>
            <w:tcW w:w="7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401,856</w:t>
            </w:r>
          </w:p>
        </w:tc>
        <w:tc>
          <w:tcPr>
            <w:tcW w:w="7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22,457</w:t>
            </w:r>
          </w:p>
        </w:tc>
        <w:tc>
          <w:tcPr>
            <w:tcW w:w="900" w:type="dxa"/>
            <w:vAlign w:val="bottom"/>
            <w:gridSpan w:val="2"/>
            <w:shd w:val="clear" w:color="auto" w:fill="CCEEFF"/>
          </w:tcPr>
          <w:p>
            <w:pPr>
              <w:ind w:left="480"/>
              <w:spacing w:after="0" w:line="131" w:lineRule="exact"/>
              <w:rPr>
                <w:sz w:val="20"/>
                <w:szCs w:val="20"/>
                <w:color w:val="auto"/>
              </w:rPr>
            </w:pPr>
            <w:r>
              <w:rPr>
                <w:rFonts w:ascii="Arial" w:cs="Arial" w:eastAsia="Arial" w:hAnsi="Arial"/>
                <w:sz w:val="13"/>
                <w:szCs w:val="13"/>
                <w:color w:val="auto"/>
              </w:rPr>
              <w:t>27,855</w:t>
            </w:r>
          </w:p>
        </w:tc>
        <w:tc>
          <w:tcPr>
            <w:tcW w:w="92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171,412</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17,056</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110,999</w:t>
            </w:r>
          </w:p>
        </w:tc>
        <w:tc>
          <w:tcPr>
            <w:tcW w:w="54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rPr>
              <w:t>349,779</w:t>
            </w:r>
          </w:p>
        </w:tc>
      </w:tr>
      <w:tr>
        <w:trPr>
          <w:trHeight w:val="114"/>
        </w:trPr>
        <w:tc>
          <w:tcPr>
            <w:tcW w:w="1020" w:type="dxa"/>
            <w:vAlign w:val="bottom"/>
          </w:tcPr>
          <w:p>
            <w:pPr>
              <w:spacing w:after="0" w:line="114" w:lineRule="exact"/>
              <w:rPr>
                <w:sz w:val="20"/>
                <w:szCs w:val="20"/>
                <w:color w:val="auto"/>
              </w:rPr>
            </w:pPr>
            <w:r>
              <w:rPr>
                <w:rFonts w:ascii="Arial" w:cs="Arial" w:eastAsia="Arial" w:hAnsi="Arial"/>
                <w:sz w:val="13"/>
                <w:szCs w:val="13"/>
                <w:color w:val="auto"/>
                <w:w w:val="96"/>
              </w:rPr>
              <w:t>Foreign exchange</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8"/>
        </w:trPr>
        <w:tc>
          <w:tcPr>
            <w:tcW w:w="1020" w:type="dxa"/>
            <w:vAlign w:val="bottom"/>
          </w:tcPr>
          <w:p>
            <w:pPr>
              <w:spacing w:after="0"/>
              <w:rPr>
                <w:sz w:val="20"/>
                <w:szCs w:val="20"/>
                <w:color w:val="auto"/>
              </w:rPr>
            </w:pPr>
            <w:r>
              <w:rPr>
                <w:rFonts w:ascii="Arial" w:cs="Arial" w:eastAsia="Arial" w:hAnsi="Arial"/>
                <w:sz w:val="13"/>
                <w:szCs w:val="13"/>
                <w:color w:val="auto"/>
              </w:rPr>
              <w:t>options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282</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310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136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728</w:t>
            </w:r>
          </w:p>
        </w:tc>
        <w:tc>
          <w:tcPr>
            <w:tcW w:w="1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547</w:t>
            </w:r>
          </w:p>
        </w:tc>
        <w:tc>
          <w:tcPr>
            <w:tcW w:w="820" w:type="dxa"/>
            <w:vAlign w:val="bottom"/>
          </w:tcPr>
          <w:p>
            <w:pPr>
              <w:ind w:left="640"/>
              <w:spacing w:after="0"/>
              <w:rPr>
                <w:sz w:val="20"/>
                <w:szCs w:val="20"/>
                <w:color w:val="auto"/>
              </w:rPr>
            </w:pPr>
            <w:r>
              <w:rPr>
                <w:rFonts w:ascii="Arial" w:cs="Arial" w:eastAsia="Arial" w:hAnsi="Arial"/>
                <w:sz w:val="13"/>
                <w:szCs w:val="13"/>
                <w:color w:val="auto"/>
                <w:w w:val="73"/>
              </w:rPr>
              <w:t>433</w:t>
            </w:r>
          </w:p>
        </w:tc>
        <w:tc>
          <w:tcPr>
            <w:tcW w:w="80" w:type="dxa"/>
            <w:vAlign w:val="bottom"/>
          </w:tcPr>
          <w:p>
            <w:pPr>
              <w:spacing w:after="0"/>
              <w:rPr>
                <w:sz w:val="13"/>
                <w:szCs w:val="13"/>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980</w:t>
            </w:r>
          </w:p>
        </w:tc>
      </w:tr>
      <w:tr>
        <w:trPr>
          <w:trHeight w:val="126"/>
        </w:trPr>
        <w:tc>
          <w:tcPr>
            <w:tcW w:w="1020" w:type="dxa"/>
            <w:vAlign w:val="bottom"/>
            <w:tcBorders>
              <w:top w:val="single" w:sz="8" w:color="CCEEFF"/>
              <w:bottom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 liabilities</w:t>
            </w:r>
          </w:p>
        </w:tc>
        <w:tc>
          <w:tcPr>
            <w:tcW w:w="5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98,169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89,293</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209,421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106,955</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151,071</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654,909</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69,733</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ind w:left="480"/>
              <w:spacing w:after="0" w:line="123" w:lineRule="exact"/>
              <w:rPr>
                <w:sz w:val="20"/>
                <w:szCs w:val="20"/>
                <w:color w:val="auto"/>
              </w:rPr>
            </w:pPr>
            <w:r>
              <w:rPr>
                <w:rFonts w:ascii="Arial" w:cs="Arial" w:eastAsia="Arial" w:hAnsi="Arial"/>
                <w:sz w:val="13"/>
                <w:szCs w:val="13"/>
                <w:color w:val="auto"/>
                <w:w w:val="80"/>
              </w:rPr>
              <w:t>59,087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196,327</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34,074</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142,645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501,866</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r>
    </w:tbl>
    <w:p>
      <w:pPr>
        <w:spacing w:after="0" w:line="177" w:lineRule="exact"/>
        <w:rPr>
          <w:sz w:val="20"/>
          <w:szCs w:val="20"/>
          <w:color w:val="auto"/>
        </w:rPr>
      </w:pPr>
    </w:p>
    <w:p>
      <w:pPr>
        <w:ind w:left="340" w:right="500" w:hanging="332"/>
        <w:spacing w:after="0" w:line="269"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Group is exposed to variability in future cash flows on assets and liabilities in foreign currency and/or those that bear interest at variable rates. The Group uses derivative financial instruments as cash flow hedges to cover these risks.</w:t>
      </w:r>
    </w:p>
    <w:p>
      <w:pPr>
        <w:spacing w:after="0" w:line="157" w:lineRule="exact"/>
        <w:rPr>
          <w:sz w:val="20"/>
          <w:szCs w:val="20"/>
          <w:color w:val="auto"/>
        </w:rPr>
      </w:pPr>
    </w:p>
    <w:p>
      <w:pPr>
        <w:ind w:left="360" w:right="100"/>
        <w:spacing w:after="0" w:line="269" w:lineRule="auto"/>
        <w:rPr>
          <w:sz w:val="20"/>
          <w:szCs w:val="20"/>
          <w:color w:val="auto"/>
        </w:rPr>
      </w:pPr>
      <w:r>
        <w:rPr>
          <w:rFonts w:ascii="Arial" w:cs="Arial" w:eastAsia="Arial" w:hAnsi="Arial"/>
          <w:sz w:val="16"/>
          <w:szCs w:val="16"/>
          <w:color w:val="auto"/>
        </w:rPr>
        <w:t>A schedule indicating the periods when the current cash flow hedges are expected to occur and affect the consolidated statement of income, net of deferred income tax is presented below:</w:t>
      </w:r>
    </w:p>
    <w:p>
      <w:pPr>
        <w:spacing w:after="0" w:line="164"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6"/>
                <w:szCs w:val="16"/>
                <w:b w:val="1"/>
                <w:bCs w:val="1"/>
                <w:color w:val="auto"/>
              </w:rPr>
              <w:t>At December 31, 2018</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6"/>
                <w:szCs w:val="16"/>
                <w:b w:val="1"/>
                <w:bCs w:val="1"/>
                <w:color w:val="auto"/>
              </w:rPr>
              <w:t>At December 31, 2017</w:t>
            </w: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8"/>
        </w:trPr>
        <w:tc>
          <w:tcPr>
            <w:tcW w:w="900" w:type="dxa"/>
            <w:vAlign w:val="bottom"/>
          </w:tcPr>
          <w:p>
            <w:pPr>
              <w:spacing w:after="0"/>
              <w:rPr>
                <w:sz w:val="15"/>
                <w:szCs w:val="15"/>
                <w:color w:val="auto"/>
              </w:rPr>
            </w:pPr>
          </w:p>
        </w:tc>
        <w:tc>
          <w:tcPr>
            <w:tcW w:w="840" w:type="dxa"/>
            <w:vAlign w:val="bottom"/>
            <w:gridSpan w:val="2"/>
          </w:tcPr>
          <w:p>
            <w:pPr>
              <w:ind w:left="120"/>
              <w:spacing w:after="0" w:line="178" w:lineRule="exact"/>
              <w:rPr>
                <w:sz w:val="20"/>
                <w:szCs w:val="20"/>
                <w:color w:val="auto"/>
              </w:rPr>
            </w:pPr>
            <w:r>
              <w:rPr>
                <w:rFonts w:ascii="Arial" w:cs="Arial" w:eastAsia="Arial" w:hAnsi="Arial"/>
                <w:sz w:val="16"/>
                <w:szCs w:val="16"/>
                <w:b w:val="1"/>
                <w:bCs w:val="1"/>
                <w:color w:val="auto"/>
              </w:rPr>
              <w:t>Up to 1</w:t>
            </w:r>
          </w:p>
        </w:tc>
        <w:tc>
          <w:tcPr>
            <w:tcW w:w="900" w:type="dxa"/>
            <w:vAlign w:val="bottom"/>
            <w:gridSpan w:val="2"/>
          </w:tcPr>
          <w:p>
            <w:pPr>
              <w:jc w:val="center"/>
              <w:ind w:right="80"/>
              <w:spacing w:after="0" w:line="178" w:lineRule="exact"/>
              <w:rPr>
                <w:sz w:val="20"/>
                <w:szCs w:val="20"/>
                <w:color w:val="auto"/>
              </w:rPr>
            </w:pPr>
            <w:r>
              <w:rPr>
                <w:rFonts w:ascii="Arial" w:cs="Arial" w:eastAsia="Arial" w:hAnsi="Arial"/>
                <w:sz w:val="16"/>
                <w:szCs w:val="16"/>
                <w:b w:val="1"/>
                <w:bCs w:val="1"/>
                <w:color w:val="auto"/>
                <w:w w:val="90"/>
              </w:rPr>
              <w:t>From 1 to 3</w:t>
            </w:r>
          </w:p>
        </w:tc>
        <w:tc>
          <w:tcPr>
            <w:tcW w:w="900" w:type="dxa"/>
            <w:vAlign w:val="bottom"/>
            <w:gridSpan w:val="3"/>
          </w:tcPr>
          <w:p>
            <w:pPr>
              <w:jc w:val="center"/>
              <w:ind w:right="80"/>
              <w:spacing w:after="0" w:line="178" w:lineRule="exact"/>
              <w:rPr>
                <w:sz w:val="20"/>
                <w:szCs w:val="20"/>
                <w:color w:val="auto"/>
              </w:rPr>
            </w:pPr>
            <w:r>
              <w:rPr>
                <w:rFonts w:ascii="Arial" w:cs="Arial" w:eastAsia="Arial" w:hAnsi="Arial"/>
                <w:sz w:val="16"/>
                <w:szCs w:val="16"/>
                <w:b w:val="1"/>
                <w:bCs w:val="1"/>
                <w:color w:val="auto"/>
                <w:w w:val="90"/>
              </w:rPr>
              <w:t>From 3 to 5</w:t>
            </w:r>
          </w:p>
        </w:tc>
        <w:tc>
          <w:tcPr>
            <w:tcW w:w="740" w:type="dxa"/>
            <w:vAlign w:val="bottom"/>
            <w:gridSpan w:val="2"/>
          </w:tcPr>
          <w:p>
            <w:pPr>
              <w:jc w:val="center"/>
              <w:ind w:right="120"/>
              <w:spacing w:after="0" w:line="178" w:lineRule="exact"/>
              <w:rPr>
                <w:sz w:val="20"/>
                <w:szCs w:val="20"/>
                <w:color w:val="auto"/>
              </w:rPr>
            </w:pPr>
            <w:r>
              <w:rPr>
                <w:rFonts w:ascii="Arial" w:cs="Arial" w:eastAsia="Arial" w:hAnsi="Arial"/>
                <w:sz w:val="16"/>
                <w:szCs w:val="16"/>
                <w:b w:val="1"/>
                <w:bCs w:val="1"/>
                <w:color w:val="auto"/>
                <w:w w:val="92"/>
              </w:rPr>
              <w:t>Over 5</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20"/>
              <w:spacing w:after="0" w:line="178" w:lineRule="exact"/>
              <w:rPr>
                <w:sz w:val="20"/>
                <w:szCs w:val="20"/>
                <w:color w:val="auto"/>
              </w:rPr>
            </w:pPr>
            <w:r>
              <w:rPr>
                <w:rFonts w:ascii="Arial" w:cs="Arial" w:eastAsia="Arial" w:hAnsi="Arial"/>
                <w:sz w:val="16"/>
                <w:szCs w:val="16"/>
                <w:b w:val="1"/>
                <w:bCs w:val="1"/>
                <w:color w:val="auto"/>
                <w:w w:val="88"/>
              </w:rPr>
              <w:t>Up to 1</w:t>
            </w:r>
          </w:p>
        </w:tc>
        <w:tc>
          <w:tcPr>
            <w:tcW w:w="900" w:type="dxa"/>
            <w:vAlign w:val="bottom"/>
            <w:gridSpan w:val="2"/>
          </w:tcPr>
          <w:p>
            <w:pPr>
              <w:jc w:val="center"/>
              <w:ind w:right="80"/>
              <w:spacing w:after="0" w:line="178" w:lineRule="exact"/>
              <w:rPr>
                <w:sz w:val="20"/>
                <w:szCs w:val="20"/>
                <w:color w:val="auto"/>
              </w:rPr>
            </w:pPr>
            <w:r>
              <w:rPr>
                <w:rFonts w:ascii="Arial" w:cs="Arial" w:eastAsia="Arial" w:hAnsi="Arial"/>
                <w:sz w:val="16"/>
                <w:szCs w:val="16"/>
                <w:b w:val="1"/>
                <w:bCs w:val="1"/>
                <w:color w:val="auto"/>
                <w:w w:val="90"/>
              </w:rPr>
              <w:t>From 1 to 3</w:t>
            </w:r>
          </w:p>
        </w:tc>
        <w:tc>
          <w:tcPr>
            <w:tcW w:w="900" w:type="dxa"/>
            <w:vAlign w:val="bottom"/>
            <w:gridSpan w:val="3"/>
          </w:tcPr>
          <w:p>
            <w:pPr>
              <w:jc w:val="center"/>
              <w:ind w:right="80"/>
              <w:spacing w:after="0" w:line="178" w:lineRule="exact"/>
              <w:rPr>
                <w:sz w:val="20"/>
                <w:szCs w:val="20"/>
                <w:color w:val="auto"/>
              </w:rPr>
            </w:pPr>
            <w:r>
              <w:rPr>
                <w:rFonts w:ascii="Arial" w:cs="Arial" w:eastAsia="Arial" w:hAnsi="Arial"/>
                <w:sz w:val="16"/>
                <w:szCs w:val="16"/>
                <w:b w:val="1"/>
                <w:bCs w:val="1"/>
                <w:color w:val="auto"/>
                <w:w w:val="90"/>
              </w:rPr>
              <w:t>From 3 to 5</w:t>
            </w:r>
          </w:p>
        </w:tc>
        <w:tc>
          <w:tcPr>
            <w:tcW w:w="740" w:type="dxa"/>
            <w:vAlign w:val="bottom"/>
            <w:gridSpan w:val="2"/>
          </w:tcPr>
          <w:p>
            <w:pPr>
              <w:jc w:val="center"/>
              <w:ind w:right="120"/>
              <w:spacing w:after="0" w:line="178" w:lineRule="exact"/>
              <w:rPr>
                <w:sz w:val="20"/>
                <w:szCs w:val="20"/>
                <w:color w:val="auto"/>
              </w:rPr>
            </w:pPr>
            <w:r>
              <w:rPr>
                <w:rFonts w:ascii="Arial" w:cs="Arial" w:eastAsia="Arial" w:hAnsi="Arial"/>
                <w:sz w:val="16"/>
                <w:szCs w:val="16"/>
                <w:b w:val="1"/>
                <w:bCs w:val="1"/>
                <w:color w:val="auto"/>
                <w:w w:val="92"/>
              </w:rPr>
              <w:t>Over 5</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900" w:type="dxa"/>
            <w:vAlign w:val="bottom"/>
          </w:tcPr>
          <w:p>
            <w:pPr>
              <w:spacing w:after="0"/>
              <w:rPr>
                <w:sz w:val="17"/>
                <w:szCs w:val="17"/>
                <w:color w:val="auto"/>
              </w:rPr>
            </w:pPr>
          </w:p>
        </w:tc>
        <w:tc>
          <w:tcPr>
            <w:tcW w:w="840" w:type="dxa"/>
            <w:vAlign w:val="bottom"/>
            <w:gridSpan w:val="2"/>
          </w:tcPr>
          <w:p>
            <w:pPr>
              <w:ind w:left="220"/>
              <w:spacing w:after="0"/>
              <w:rPr>
                <w:sz w:val="20"/>
                <w:szCs w:val="20"/>
                <w:color w:val="auto"/>
              </w:rPr>
            </w:pPr>
            <w:r>
              <w:rPr>
                <w:rFonts w:ascii="Arial" w:cs="Arial" w:eastAsia="Arial" w:hAnsi="Arial"/>
                <w:sz w:val="16"/>
                <w:szCs w:val="16"/>
                <w:b w:val="1"/>
                <w:bCs w:val="1"/>
                <w:color w:val="auto"/>
              </w:rPr>
              <w:t>year</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years</w:t>
            </w:r>
          </w:p>
        </w:tc>
        <w:tc>
          <w:tcPr>
            <w:tcW w:w="2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years</w:t>
            </w: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years</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year</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years</w:t>
            </w:r>
          </w:p>
        </w:tc>
        <w:tc>
          <w:tcPr>
            <w:tcW w:w="2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1"/>
              </w:rPr>
              <w:t>years</w:t>
            </w: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years</w:t>
            </w:r>
          </w:p>
        </w:tc>
        <w:tc>
          <w:tcPr>
            <w:tcW w:w="7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Total</w:t>
            </w:r>
          </w:p>
        </w:tc>
      </w:tr>
      <w:tr>
        <w:trPr>
          <w:trHeight w:val="183"/>
        </w:trPr>
        <w:tc>
          <w:tcPr>
            <w:tcW w:w="900" w:type="dxa"/>
            <w:vAlign w:val="bottom"/>
          </w:tcPr>
          <w:p>
            <w:pPr>
              <w:spacing w:after="0"/>
              <w:rPr>
                <w:sz w:val="15"/>
                <w:szCs w:val="15"/>
                <w:color w:val="auto"/>
              </w:rPr>
            </w:pPr>
          </w:p>
        </w:tc>
        <w:tc>
          <w:tcPr>
            <w:tcW w:w="720" w:type="dxa"/>
            <w:vAlign w:val="bottom"/>
            <w:tcBorders>
              <w:top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5"/>
                <w:szCs w:val="15"/>
                <w:color w:val="auto"/>
              </w:rPr>
            </w:pPr>
          </w:p>
        </w:tc>
        <w:tc>
          <w:tcPr>
            <w:tcW w:w="8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5"/>
                <w:szCs w:val="15"/>
                <w:color w:val="auto"/>
              </w:rPr>
            </w:pPr>
          </w:p>
        </w:tc>
        <w:tc>
          <w:tcPr>
            <w:tcW w:w="720" w:type="dxa"/>
            <w:vAlign w:val="bottom"/>
            <w:tcBorders>
              <w:top w:val="single" w:sz="8" w:color="auto"/>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5"/>
                <w:szCs w:val="15"/>
                <w:color w:val="auto"/>
              </w:rPr>
            </w:pPr>
          </w:p>
        </w:tc>
        <w:tc>
          <w:tcPr>
            <w:tcW w:w="7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5"/>
                <w:szCs w:val="15"/>
                <w:color w:val="auto"/>
              </w:rPr>
            </w:pPr>
          </w:p>
        </w:tc>
        <w:tc>
          <w:tcPr>
            <w:tcW w:w="8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5"/>
                <w:szCs w:val="15"/>
                <w:color w:val="auto"/>
              </w:rPr>
            </w:pPr>
          </w:p>
        </w:tc>
        <w:tc>
          <w:tcPr>
            <w:tcW w:w="7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60" w:type="dxa"/>
            <w:vAlign w:val="bottom"/>
          </w:tcPr>
          <w:p>
            <w:pPr>
              <w:spacing w:after="0"/>
              <w:rPr>
                <w:sz w:val="15"/>
                <w:szCs w:val="15"/>
                <w:color w:val="auto"/>
              </w:rPr>
            </w:pPr>
          </w:p>
        </w:tc>
      </w:tr>
      <w:tr>
        <w:trPr>
          <w:trHeight w:val="177"/>
        </w:trPr>
        <w:tc>
          <w:tcPr>
            <w:tcW w:w="9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96"/>
              </w:rPr>
              <w:t>Cash inflows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2"/>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4"/>
              </w:rPr>
              <w:t>4,873,965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1,197,478</w:t>
            </w: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27,734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281,061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6,380,238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962,966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3,432,756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100,247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283,896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4,779,865</w:t>
            </w:r>
          </w:p>
        </w:tc>
      </w:tr>
      <w:tr>
        <w:trPr>
          <w:trHeight w:val="177"/>
        </w:trPr>
        <w:tc>
          <w:tcPr>
            <w:tcW w:w="900" w:type="dxa"/>
            <w:vAlign w:val="bottom"/>
          </w:tcPr>
          <w:p>
            <w:pPr>
              <w:spacing w:after="0" w:line="178" w:lineRule="exact"/>
              <w:rPr>
                <w:sz w:val="20"/>
                <w:szCs w:val="20"/>
                <w:color w:val="auto"/>
              </w:rPr>
            </w:pPr>
            <w:r>
              <w:rPr>
                <w:rFonts w:ascii="Arial" w:cs="Arial" w:eastAsia="Arial" w:hAnsi="Arial"/>
                <w:sz w:val="16"/>
                <w:szCs w:val="16"/>
                <w:color w:val="auto"/>
              </w:rPr>
              <w:t>Cash</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6"/>
                <w:szCs w:val="16"/>
                <w:color w:val="auto"/>
              </w:rPr>
              <w:t>outflows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900" w:type="dxa"/>
            <w:vAlign w:val="bottom"/>
          </w:tcPr>
          <w:p>
            <w:pPr>
              <w:spacing w:after="0"/>
              <w:rPr>
                <w:sz w:val="20"/>
                <w:szCs w:val="20"/>
                <w:color w:val="auto"/>
              </w:rPr>
            </w:pPr>
            <w:r>
              <w:rPr>
                <w:rFonts w:ascii="Arial" w:cs="Arial" w:eastAsia="Arial" w:hAnsi="Arial"/>
                <w:sz w:val="16"/>
                <w:szCs w:val="16"/>
                <w:color w:val="auto"/>
              </w:rPr>
              <w:t>(liabilities)</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(4,913,876)</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(1,101,309)</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(37,660)</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(249,925)</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(6,302,770)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(1,016,748)</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(3,434,333)</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(110,355)</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(265,716)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2"/>
              </w:rPr>
              <w:t>(4,827,152)</w:t>
            </w:r>
          </w:p>
        </w:tc>
      </w:tr>
      <w:tr>
        <w:trPr>
          <w:trHeight w:val="178"/>
        </w:trPr>
        <w:tc>
          <w:tcPr>
            <w:tcW w:w="9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94"/>
              </w:rPr>
              <w:t>Consolidated</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0"/>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w w:val="99"/>
              </w:rPr>
              <w:t>statement of</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2"/>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(4,948)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(523)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(8,073)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(26,534)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1,749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(40,206)</w:t>
            </w:r>
          </w:p>
        </w:tc>
      </w:tr>
    </w:tbl>
    <w:p>
      <w:pPr>
        <w:spacing w:after="0" w:line="177" w:lineRule="exact"/>
        <w:rPr>
          <w:sz w:val="20"/>
          <w:szCs w:val="20"/>
          <w:color w:val="auto"/>
        </w:rPr>
      </w:pPr>
    </w:p>
    <w:p>
      <w:pPr>
        <w:ind w:left="360"/>
        <w:spacing w:after="0" w:line="273" w:lineRule="auto"/>
        <w:rPr>
          <w:sz w:val="20"/>
          <w:szCs w:val="20"/>
          <w:color w:val="auto"/>
        </w:rPr>
      </w:pPr>
      <w:r>
        <w:rPr>
          <w:rFonts w:ascii="Arial" w:cs="Arial" w:eastAsia="Arial" w:hAnsi="Arial"/>
          <w:sz w:val="15"/>
          <w:szCs w:val="15"/>
          <w:color w:val="auto"/>
        </w:rPr>
        <w:t>At December 31, 2018, the accumulated balance of net unrealized loss from cash flow hedges, which is included as other comprehensive income in “Cash flow hedge reserves” results from the current hedges, which have an unrealized profit of approximately S/7.8 million and from the revoked hedges, which have an unrealized profit of approximately S/4.6 million (unrealized loss of approximately S/40.2 million from current hedges and unrealized profit for S/7.4 million from revoked hedges, at December 31, 2017), which is being recognized in the consolidated statement of income over the remaining term of the underlying financial instrument. Also, the transfer of the unrealized loss on cash flow hedges to the consolidated statement of income is presented in Note 17(c).</w:t>
      </w: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11430</wp:posOffset>
            </wp:positionV>
            <wp:extent cx="726313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0"/>
          </w:cols>
          <w:pgMar w:left="440" w:top="815" w:right="319" w:bottom="1440" w:gutter="0" w:footer="0" w:header="0"/>
        </w:sectPr>
      </w:pPr>
    </w:p>
    <w:bookmarkStart w:id="93" w:name="page94"/>
    <w:bookmarkEnd w:id="93"/>
    <w:p>
      <w:pPr>
        <w:ind w:left="281" w:right="240" w:hanging="281"/>
        <w:spacing w:after="0" w:line="258" w:lineRule="auto"/>
        <w:tabs>
          <w:tab w:leader="none" w:pos="2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Transactions in process include deposits received, loans disbursed, loans collected, funds transferred and other similar types of transactions, which are made in the final days of the month and not reclassified to their final accounts in the consolidated statement of financial position until the first days of the following month. The regularization of these transactions does not affect the Group’s net income.</w:t>
      </w:r>
    </w:p>
    <w:p>
      <w:pPr>
        <w:spacing w:after="0" w:line="165" w:lineRule="exact"/>
        <w:rPr>
          <w:rFonts w:ascii="Arial" w:cs="Arial" w:eastAsia="Arial" w:hAnsi="Arial"/>
          <w:sz w:val="16"/>
          <w:szCs w:val="16"/>
          <w:color w:val="auto"/>
        </w:rPr>
      </w:pPr>
    </w:p>
    <w:p>
      <w:pPr>
        <w:ind w:left="281" w:hanging="281"/>
        <w:spacing w:after="0"/>
        <w:tabs>
          <w:tab w:leader="none" w:pos="28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Credicorp’s principal associate is Pacífico EPS, whose balance amounts to S/537.2 million and S/510.9 million at December 31, 2018 and 2017, respectively.</w:t>
      </w:r>
    </w:p>
    <w:p>
      <w:pPr>
        <w:spacing w:after="0" w:line="206" w:lineRule="exact"/>
        <w:rPr>
          <w:rFonts w:ascii="Arial" w:cs="Arial" w:eastAsia="Arial" w:hAnsi="Arial"/>
          <w:sz w:val="15"/>
          <w:szCs w:val="15"/>
          <w:color w:val="auto"/>
        </w:rPr>
      </w:pPr>
    </w:p>
    <w:p>
      <w:pPr>
        <w:ind w:left="281" w:hanging="281"/>
        <w:spacing w:after="0"/>
        <w:tabs>
          <w:tab w:leader="none" w:pos="2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The movement of investment properties is as follows:</w:t>
      </w:r>
    </w:p>
    <w:p>
      <w:pPr>
        <w:spacing w:after="0" w:line="203" w:lineRule="exact"/>
        <w:rPr>
          <w:sz w:val="20"/>
          <w:szCs w:val="20"/>
          <w:color w:val="auto"/>
        </w:rPr>
      </w:pPr>
    </w:p>
    <w:tbl>
      <w:tblPr>
        <w:tblLayout w:type="fixed"/>
        <w:tblInd w:w="281"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r>
      <w:tr>
        <w:trPr>
          <w:trHeight w:val="194"/>
        </w:trPr>
        <w:tc>
          <w:tcPr>
            <w:tcW w:w="5220" w:type="dxa"/>
            <w:vAlign w:val="bottom"/>
          </w:tcPr>
          <w:p>
            <w:pPr>
              <w:spacing w:after="0"/>
              <w:rPr>
                <w:sz w:val="16"/>
                <w:szCs w:val="16"/>
                <w:color w:val="auto"/>
              </w:rPr>
            </w:pPr>
          </w:p>
        </w:tc>
        <w:tc>
          <w:tcPr>
            <w:tcW w:w="2780" w:type="dxa"/>
            <w:vAlign w:val="bottom"/>
            <w:gridSpan w:val="4"/>
          </w:tcPr>
          <w:p>
            <w:pPr>
              <w:jc w:val="right"/>
              <w:ind w:right="1120"/>
              <w:spacing w:after="0"/>
              <w:rPr>
                <w:sz w:val="20"/>
                <w:szCs w:val="20"/>
                <w:color w:val="auto"/>
              </w:rPr>
            </w:pPr>
            <w:r>
              <w:rPr>
                <w:rFonts w:ascii="Arial" w:cs="Arial" w:eastAsia="Arial" w:hAnsi="Arial"/>
                <w:sz w:val="16"/>
                <w:szCs w:val="16"/>
                <w:b w:val="1"/>
                <w:bCs w:val="1"/>
                <w:color w:val="auto"/>
              </w:rPr>
              <w:t>Own assets</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522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Land</w:t>
            </w:r>
          </w:p>
        </w:tc>
        <w:tc>
          <w:tcPr>
            <w:tcW w:w="118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Buildings</w:t>
            </w:r>
          </w:p>
        </w:tc>
        <w:tc>
          <w:tcPr>
            <w:tcW w:w="22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82"/>
        </w:trPr>
        <w:tc>
          <w:tcPr>
            <w:tcW w:w="5220" w:type="dxa"/>
            <w:vAlign w:val="bottom"/>
          </w:tcPr>
          <w:p>
            <w:pPr>
              <w:spacing w:after="0"/>
              <w:rPr>
                <w:sz w:val="15"/>
                <w:szCs w:val="15"/>
                <w:color w:val="auto"/>
              </w:rPr>
            </w:pPr>
          </w:p>
        </w:tc>
        <w:tc>
          <w:tcPr>
            <w:tcW w:w="1180" w:type="dxa"/>
            <w:vAlign w:val="bottom"/>
            <w:tcBorders>
              <w:top w:val="single" w:sz="8" w:color="auto"/>
            </w:tcBorders>
          </w:tcPr>
          <w:p>
            <w:pPr>
              <w:jc w:val="right"/>
              <w:ind w:right="281"/>
              <w:spacing w:after="0" w:line="181"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5"/>
                <w:szCs w:val="15"/>
                <w:color w:val="auto"/>
              </w:rPr>
            </w:pPr>
          </w:p>
        </w:tc>
        <w:tc>
          <w:tcPr>
            <w:tcW w:w="1160" w:type="dxa"/>
            <w:vAlign w:val="bottom"/>
            <w:tcBorders>
              <w:top w:val="single" w:sz="8" w:color="auto"/>
            </w:tcBorders>
          </w:tcPr>
          <w:p>
            <w:pPr>
              <w:jc w:val="right"/>
              <w:ind w:right="261"/>
              <w:spacing w:after="0" w:line="181"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5"/>
                <w:szCs w:val="15"/>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Balance at January 1</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237,214</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261,411</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498,625</w:t>
            </w:r>
          </w:p>
        </w:tc>
        <w:tc>
          <w:tcPr>
            <w:tcW w:w="1180" w:type="dxa"/>
            <w:vAlign w:val="bottom"/>
          </w:tcPr>
          <w:p>
            <w:pPr>
              <w:jc w:val="right"/>
              <w:spacing w:after="0"/>
              <w:rPr>
                <w:sz w:val="20"/>
                <w:szCs w:val="20"/>
                <w:color w:val="auto"/>
              </w:rPr>
            </w:pPr>
            <w:r>
              <w:rPr>
                <w:rFonts w:ascii="Arial" w:cs="Arial" w:eastAsia="Arial" w:hAnsi="Arial"/>
                <w:sz w:val="16"/>
                <w:szCs w:val="16"/>
                <w:color w:val="auto"/>
              </w:rPr>
              <w:t>550,606</w:t>
            </w:r>
          </w:p>
        </w:tc>
        <w:tc>
          <w:tcPr>
            <w:tcW w:w="80" w:type="dxa"/>
            <w:vAlign w:val="bottom"/>
          </w:tcPr>
          <w:p>
            <w:pPr>
              <w:spacing w:after="0"/>
              <w:rPr>
                <w:sz w:val="16"/>
                <w:szCs w:val="16"/>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Additions (i)</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28,433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21,086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49,519</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9,217</w:t>
            </w:r>
          </w:p>
        </w:tc>
        <w:tc>
          <w:tcPr>
            <w:tcW w:w="80" w:type="dxa"/>
            <w:vAlign w:val="bottom"/>
            <w:shd w:val="clear" w:color="auto" w:fill="CCEEFF"/>
          </w:tcPr>
          <w:p>
            <w:pPr>
              <w:spacing w:after="0"/>
              <w:rPr>
                <w:sz w:val="16"/>
                <w:szCs w:val="16"/>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Transfers (ii)</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66,856</w:t>
            </w:r>
          </w:p>
        </w:tc>
        <w:tc>
          <w:tcPr>
            <w:tcW w:w="80" w:type="dxa"/>
            <w:vAlign w:val="bottom"/>
          </w:tcPr>
          <w:p>
            <w:pPr>
              <w:spacing w:after="0"/>
              <w:rPr>
                <w:sz w:val="16"/>
                <w:szCs w:val="16"/>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Sales (iii)</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(10,934)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(5,231)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(16,165)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(89,897)</w:t>
            </w:r>
          </w:p>
        </w:tc>
      </w:tr>
      <w:tr>
        <w:trPr>
          <w:trHeight w:val="201"/>
        </w:trPr>
        <w:tc>
          <w:tcPr>
            <w:tcW w:w="5220" w:type="dxa"/>
            <w:vAlign w:val="bottom"/>
          </w:tcPr>
          <w:p>
            <w:pPr>
              <w:spacing w:after="0"/>
              <w:rPr>
                <w:sz w:val="20"/>
                <w:szCs w:val="20"/>
                <w:color w:val="auto"/>
              </w:rPr>
            </w:pPr>
            <w:r>
              <w:rPr>
                <w:rFonts w:ascii="Arial" w:cs="Arial" w:eastAsia="Arial" w:hAnsi="Arial"/>
                <w:sz w:val="16"/>
                <w:szCs w:val="16"/>
                <w:color w:val="auto"/>
              </w:rPr>
              <w:t>Disposals and others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(32,224)</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(14,973)</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(47,197)</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(38,157)</w:t>
            </w:r>
          </w:p>
        </w:tc>
      </w:tr>
      <w:tr>
        <w:trPr>
          <w:trHeight w:val="182"/>
        </w:trPr>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Balance at December 31</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222,489</w:t>
            </w:r>
          </w:p>
        </w:tc>
        <w:tc>
          <w:tcPr>
            <w:tcW w:w="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262,293</w:t>
            </w: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484,782</w:t>
            </w: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498,625</w:t>
            </w: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Accumulated depreciation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Balance at January 1</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39,770</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39,770</w:t>
            </w:r>
          </w:p>
        </w:tc>
        <w:tc>
          <w:tcPr>
            <w:tcW w:w="1180" w:type="dxa"/>
            <w:vAlign w:val="bottom"/>
          </w:tcPr>
          <w:p>
            <w:pPr>
              <w:jc w:val="right"/>
              <w:spacing w:after="0"/>
              <w:rPr>
                <w:sz w:val="20"/>
                <w:szCs w:val="20"/>
                <w:color w:val="auto"/>
              </w:rPr>
            </w:pPr>
            <w:r>
              <w:rPr>
                <w:rFonts w:ascii="Arial" w:cs="Arial" w:eastAsia="Arial" w:hAnsi="Arial"/>
                <w:sz w:val="16"/>
                <w:szCs w:val="16"/>
                <w:color w:val="auto"/>
              </w:rPr>
              <w:t>45,679</w:t>
            </w:r>
          </w:p>
        </w:tc>
        <w:tc>
          <w:tcPr>
            <w:tcW w:w="80" w:type="dxa"/>
            <w:vAlign w:val="bottom"/>
          </w:tcPr>
          <w:p>
            <w:pPr>
              <w:spacing w:after="0"/>
              <w:rPr>
                <w:sz w:val="16"/>
                <w:szCs w:val="16"/>
                <w:color w:val="auto"/>
              </w:rPr>
            </w:pPr>
          </w:p>
        </w:tc>
      </w:tr>
      <w:tr>
        <w:trPr>
          <w:trHeight w:val="19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Depreciation for the year</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7,405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7,405</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6,440</w:t>
            </w:r>
          </w:p>
        </w:tc>
        <w:tc>
          <w:tcPr>
            <w:tcW w:w="80" w:type="dxa"/>
            <w:vAlign w:val="bottom"/>
            <w:shd w:val="clear" w:color="auto" w:fill="CCEEFF"/>
          </w:tcPr>
          <w:p>
            <w:pPr>
              <w:spacing w:after="0"/>
              <w:rPr>
                <w:sz w:val="16"/>
                <w:szCs w:val="16"/>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color w:val="auto"/>
              </w:rPr>
              <w:t>Sales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(3,154)</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(3,154)</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(6,277)</w:t>
            </w:r>
          </w:p>
        </w:tc>
      </w:tr>
      <w:tr>
        <w:trPr>
          <w:trHeight w:val="202"/>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Disposals and others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(6,072)</w:t>
            </w:r>
          </w:p>
        </w:tc>
      </w:tr>
      <w:tr>
        <w:trPr>
          <w:trHeight w:val="182"/>
        </w:trPr>
        <w:tc>
          <w:tcPr>
            <w:tcW w:w="522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b w:val="1"/>
                <w:bCs w:val="1"/>
                <w:color w:val="auto"/>
              </w:rPr>
              <w:t>Balance at December 31</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43,488</w:t>
            </w:r>
          </w:p>
        </w:tc>
        <w:tc>
          <w:tcPr>
            <w:tcW w:w="22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43,488</w:t>
            </w:r>
          </w:p>
        </w:tc>
        <w:tc>
          <w:tcPr>
            <w:tcW w:w="22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39,770</w:t>
            </w:r>
          </w:p>
        </w:tc>
        <w:tc>
          <w:tcPr>
            <w:tcW w:w="80" w:type="dxa"/>
            <w:vAlign w:val="bottom"/>
            <w:tcBorders>
              <w:bottom w:val="single" w:sz="8" w:color="CCEEFF"/>
            </w:tcBorders>
          </w:tcPr>
          <w:p>
            <w:pPr>
              <w:spacing w:after="0"/>
              <w:rPr>
                <w:sz w:val="15"/>
                <w:szCs w:val="15"/>
                <w:color w:val="auto"/>
              </w:rPr>
            </w:pPr>
          </w:p>
        </w:tc>
      </w:tr>
      <w:tr>
        <w:trPr>
          <w:trHeight w:val="182"/>
        </w:trPr>
        <w:tc>
          <w:tcPr>
            <w:tcW w:w="5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2"/>
        </w:trPr>
        <w:tc>
          <w:tcPr>
            <w:tcW w:w="5220" w:type="dxa"/>
            <w:vAlign w:val="bottom"/>
          </w:tcPr>
          <w:p>
            <w:pPr>
              <w:spacing w:after="0"/>
              <w:rPr>
                <w:sz w:val="20"/>
                <w:szCs w:val="20"/>
                <w:color w:val="auto"/>
              </w:rPr>
            </w:pPr>
            <w:r>
              <w:rPr>
                <w:rFonts w:ascii="Arial" w:cs="Arial" w:eastAsia="Arial" w:hAnsi="Arial"/>
                <w:sz w:val="16"/>
                <w:szCs w:val="16"/>
                <w:b w:val="1"/>
                <w:bCs w:val="1"/>
                <w:color w:val="auto"/>
              </w:rPr>
              <w:t>Impairment losses (iv)</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689</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371</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1,060</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82"/>
        </w:trPr>
        <w:tc>
          <w:tcPr>
            <w:tcW w:w="5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6"/>
                <w:szCs w:val="16"/>
                <w:b w:val="1"/>
                <w:bCs w:val="1"/>
                <w:color w:val="auto"/>
              </w:rPr>
              <w:t>Net carrying amount</w:t>
            </w:r>
          </w:p>
        </w:tc>
        <w:tc>
          <w:tcPr>
            <w:tcW w:w="1180" w:type="dxa"/>
            <w:vAlign w:val="bottom"/>
          </w:tcPr>
          <w:p>
            <w:pPr>
              <w:jc w:val="right"/>
              <w:spacing w:after="0"/>
              <w:rPr>
                <w:sz w:val="20"/>
                <w:szCs w:val="20"/>
                <w:color w:val="auto"/>
              </w:rPr>
            </w:pPr>
            <w:r>
              <w:rPr>
                <w:rFonts w:ascii="Arial" w:cs="Arial" w:eastAsia="Arial" w:hAnsi="Arial"/>
                <w:sz w:val="16"/>
                <w:szCs w:val="16"/>
                <w:color w:val="auto"/>
              </w:rPr>
              <w:t>221,800</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218,434</w:t>
            </w: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440,234</w:t>
            </w:r>
          </w:p>
        </w:tc>
        <w:tc>
          <w:tcPr>
            <w:tcW w:w="1180" w:type="dxa"/>
            <w:vAlign w:val="bottom"/>
          </w:tcPr>
          <w:p>
            <w:pPr>
              <w:jc w:val="right"/>
              <w:spacing w:after="0"/>
              <w:rPr>
                <w:sz w:val="20"/>
                <w:szCs w:val="20"/>
                <w:color w:val="auto"/>
              </w:rPr>
            </w:pPr>
            <w:r>
              <w:rPr>
                <w:rFonts w:ascii="Arial" w:cs="Arial" w:eastAsia="Arial" w:hAnsi="Arial"/>
                <w:sz w:val="16"/>
                <w:szCs w:val="16"/>
                <w:color w:val="auto"/>
              </w:rPr>
              <w:t>458,855</w:t>
            </w:r>
          </w:p>
        </w:tc>
        <w:tc>
          <w:tcPr>
            <w:tcW w:w="80" w:type="dxa"/>
            <w:vAlign w:val="bottom"/>
          </w:tcPr>
          <w:p>
            <w:pPr>
              <w:spacing w:after="0"/>
              <w:rPr>
                <w:sz w:val="16"/>
                <w:szCs w:val="16"/>
                <w:color w:val="auto"/>
              </w:rPr>
            </w:pPr>
          </w:p>
        </w:tc>
      </w:tr>
      <w:tr>
        <w:trPr>
          <w:trHeight w:val="24"/>
        </w:trPr>
        <w:tc>
          <w:tcPr>
            <w:tcW w:w="5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7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Land and buildings are mainly used for office rental, which are free of all encumbrances.</w:t>
      </w:r>
    </w:p>
    <w:p>
      <w:pPr>
        <w:spacing w:after="0" w:line="195" w:lineRule="exact"/>
        <w:rPr>
          <w:sz w:val="20"/>
          <w:szCs w:val="20"/>
          <w:color w:val="auto"/>
        </w:rPr>
      </w:pPr>
    </w:p>
    <w:p>
      <w:pPr>
        <w:ind w:left="561" w:hanging="276"/>
        <w:spacing w:after="0" w:line="254" w:lineRule="auto"/>
        <w:tabs>
          <w:tab w:leader="none" w:pos="56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2018, the most important additions corresponded to the acquisition of two properties, one in Lurín for approximately S/21.9 million (S/14.0 million and S/7.9 million correspond to the land and the building, respectively) and another in Galería Chinchón for S/3.9 million (S/1.4 million and S/2.5 million correspond to the land and the building, respectively). Also, the 15th floor of Edificio Panorama was acquired for S/10.0 million and two plots of land in Trujillo for S/6.9 million and S/2.6 million.</w:t>
      </w:r>
    </w:p>
    <w:p>
      <w:pPr>
        <w:spacing w:after="0" w:line="169" w:lineRule="exact"/>
        <w:rPr>
          <w:rFonts w:ascii="Arial" w:cs="Arial" w:eastAsia="Arial" w:hAnsi="Arial"/>
          <w:sz w:val="16"/>
          <w:szCs w:val="16"/>
          <w:color w:val="auto"/>
        </w:rPr>
      </w:pPr>
    </w:p>
    <w:p>
      <w:pPr>
        <w:ind w:left="561" w:right="80" w:hanging="276"/>
        <w:spacing w:after="0" w:line="269" w:lineRule="auto"/>
        <w:tabs>
          <w:tab w:leader="none" w:pos="56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order to consolidate the real estate projects, mainly of offices, during the year 2017, Pacífico Seguros liquidated the trust of the “Panorama” building located at Av. Juan de Arona N° 830 for a total amount of S/66.9 million.</w:t>
      </w:r>
    </w:p>
    <w:p>
      <w:pPr>
        <w:spacing w:after="0" w:line="156" w:lineRule="exact"/>
        <w:rPr>
          <w:rFonts w:ascii="Arial" w:cs="Arial" w:eastAsia="Arial" w:hAnsi="Arial"/>
          <w:sz w:val="16"/>
          <w:szCs w:val="16"/>
          <w:color w:val="auto"/>
        </w:rPr>
      </w:pPr>
    </w:p>
    <w:p>
      <w:pPr>
        <w:ind w:left="561" w:right="100" w:hanging="276"/>
        <w:spacing w:after="0" w:line="269" w:lineRule="auto"/>
        <w:tabs>
          <w:tab w:leader="none" w:pos="56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balance of sales for the year 2018, mainly comprises of the disposal of a property located at Av. Santa Cruz, whose sale value was S/12.6 million. The net cost of the property amounted to S/5.0 million comprises S/2.4 million in land and S/2.6 million in building.</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4" w:right="259" w:bottom="1440" w:gutter="0" w:footer="0" w:header="0"/>
        </w:sectPr>
      </w:pPr>
    </w:p>
    <w:bookmarkStart w:id="94" w:name="page95"/>
    <w:bookmarkEnd w:id="94"/>
    <w:p>
      <w:pPr>
        <w:ind w:left="561" w:right="260"/>
        <w:spacing w:after="0" w:line="269" w:lineRule="auto"/>
        <w:rPr>
          <w:sz w:val="20"/>
          <w:szCs w:val="20"/>
          <w:color w:val="auto"/>
        </w:rPr>
      </w:pPr>
      <w:r>
        <w:rPr>
          <w:rFonts w:ascii="Arial" w:cs="Arial" w:eastAsia="Arial" w:hAnsi="Arial"/>
          <w:sz w:val="16"/>
          <w:szCs w:val="16"/>
          <w:color w:val="auto"/>
        </w:rPr>
        <w:t>Likewise, land located at Av. Reducto and Av. Salaverry were sold for approximately S 10.1 million and S/2.9 million, whose disposal costs were S/6.5 million and S/2.0 million, respectively.</w:t>
      </w:r>
    </w:p>
    <w:p>
      <w:pPr>
        <w:spacing w:after="0" w:line="157" w:lineRule="exact"/>
        <w:rPr>
          <w:sz w:val="20"/>
          <w:szCs w:val="20"/>
          <w:color w:val="auto"/>
        </w:rPr>
      </w:pPr>
    </w:p>
    <w:p>
      <w:pPr>
        <w:ind w:left="561"/>
        <w:spacing w:after="0" w:line="269" w:lineRule="auto"/>
        <w:rPr>
          <w:sz w:val="20"/>
          <w:szCs w:val="20"/>
          <w:color w:val="auto"/>
        </w:rPr>
      </w:pPr>
      <w:r>
        <w:rPr>
          <w:rFonts w:ascii="Arial" w:cs="Arial" w:eastAsia="Arial" w:hAnsi="Arial"/>
          <w:sz w:val="16"/>
          <w:szCs w:val="16"/>
          <w:color w:val="auto"/>
        </w:rPr>
        <w:t>The balance of sales for the year 2017 mainly comprises the transfer by Pacífico Seguros of the building located at Av. Guardia Civil 337 – Urb. Corpac, San Borja, for a sale value of S/95.7 million and disposal cost of S/68.5 million (S/34.5 million in land and S/34.0 million in building).</w:t>
      </w:r>
    </w:p>
    <w:p>
      <w:pPr>
        <w:spacing w:after="0" w:line="157" w:lineRule="exact"/>
        <w:rPr>
          <w:sz w:val="20"/>
          <w:szCs w:val="20"/>
          <w:color w:val="auto"/>
        </w:rPr>
      </w:pPr>
    </w:p>
    <w:p>
      <w:pPr>
        <w:ind w:left="561" w:right="460" w:hanging="276"/>
        <w:spacing w:after="0" w:line="269" w:lineRule="auto"/>
        <w:tabs>
          <w:tab w:leader="none" w:pos="56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Group’s Management has determined that the recoverable value of it investment properties is greater than their net carrying amount, with the exception of a property located in the city of Ica, for which an impairment of S/1.1 million was recorded during 2018.</w:t>
      </w:r>
    </w:p>
    <w:p>
      <w:pPr>
        <w:spacing w:after="0" w:line="157" w:lineRule="exact"/>
        <w:rPr>
          <w:sz w:val="20"/>
          <w:szCs w:val="20"/>
          <w:color w:val="auto"/>
        </w:rPr>
      </w:pPr>
    </w:p>
    <w:p>
      <w:pPr>
        <w:ind w:left="281" w:right="660"/>
        <w:spacing w:after="0" w:line="269" w:lineRule="auto"/>
        <w:rPr>
          <w:sz w:val="20"/>
          <w:szCs w:val="20"/>
          <w:color w:val="auto"/>
        </w:rPr>
      </w:pPr>
      <w:r>
        <w:rPr>
          <w:rFonts w:ascii="Arial" w:cs="Arial" w:eastAsia="Arial" w:hAnsi="Arial"/>
          <w:sz w:val="16"/>
          <w:szCs w:val="16"/>
          <w:color w:val="auto"/>
        </w:rPr>
        <w:t>As of December 31, 2018, the market value of the property amounts to approximately US $ 241.3 million, which was determined through a valuation made by an independent appraiser.</w:t>
      </w:r>
    </w:p>
    <w:p>
      <w:pPr>
        <w:spacing w:after="0" w:line="157" w:lineRule="exact"/>
        <w:rPr>
          <w:sz w:val="20"/>
          <w:szCs w:val="20"/>
          <w:color w:val="auto"/>
        </w:rPr>
      </w:pPr>
    </w:p>
    <w:p>
      <w:pPr>
        <w:ind w:left="281" w:hanging="281"/>
        <w:spacing w:after="0"/>
        <w:tabs>
          <w:tab w:leader="none" w:pos="28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movement of the provision for sundry risks for the years ended December 31, 2018, 2017 and 2016 was as follows:</w:t>
      </w:r>
    </w:p>
    <w:p>
      <w:pPr>
        <w:sectPr>
          <w:pgSz w:w="11900" w:h="16838" w:orient="portrait"/>
          <w:cols w:equalWidth="0" w:num="1">
            <w:col w:w="11161"/>
          </w:cols>
          <w:pgMar w:left="519" w:top="81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81"/>
        <w:spacing w:after="0"/>
        <w:rPr>
          <w:sz w:val="20"/>
          <w:szCs w:val="20"/>
          <w:color w:val="auto"/>
        </w:rPr>
      </w:pPr>
      <w:r>
        <w:rPr>
          <w:rFonts w:ascii="Arial" w:cs="Arial" w:eastAsia="Arial" w:hAnsi="Arial"/>
          <w:sz w:val="14"/>
          <w:szCs w:val="14"/>
          <w:b w:val="1"/>
          <w:bCs w:val="1"/>
          <w:color w:val="auto"/>
        </w:rPr>
        <w:t>Balance at the beginning of the year</w:t>
      </w:r>
    </w:p>
    <w:p>
      <w:pPr>
        <w:spacing w:after="0" w:line="44" w:lineRule="exact"/>
        <w:rPr>
          <w:sz w:val="20"/>
          <w:szCs w:val="20"/>
          <w:color w:val="auto"/>
        </w:rPr>
      </w:pPr>
    </w:p>
    <w:p>
      <w:pPr>
        <w:ind w:left="281"/>
        <w:spacing w:after="0"/>
        <w:rPr>
          <w:sz w:val="20"/>
          <w:szCs w:val="20"/>
          <w:color w:val="auto"/>
        </w:rPr>
      </w:pPr>
      <w:r>
        <w:rPr>
          <w:rFonts w:ascii="Arial" w:cs="Arial" w:eastAsia="Arial" w:hAnsi="Arial"/>
          <w:sz w:val="16"/>
          <w:szCs w:val="16"/>
          <w:color w:val="auto"/>
        </w:rPr>
        <w:t>Provision, Note 28</w:t>
      </w:r>
    </w:p>
    <w:p>
      <w:pPr>
        <w:spacing w:after="0" w:line="6" w:lineRule="exact"/>
        <w:rPr>
          <w:sz w:val="20"/>
          <w:szCs w:val="20"/>
          <w:color w:val="auto"/>
        </w:rPr>
      </w:pPr>
    </w:p>
    <w:p>
      <w:pPr>
        <w:ind w:left="281"/>
        <w:spacing w:after="0"/>
        <w:rPr>
          <w:sz w:val="20"/>
          <w:szCs w:val="20"/>
          <w:color w:val="auto"/>
        </w:rPr>
      </w:pPr>
      <w:r>
        <w:rPr>
          <w:rFonts w:ascii="Arial" w:cs="Arial" w:eastAsia="Arial" w:hAnsi="Arial"/>
          <w:sz w:val="16"/>
          <w:szCs w:val="16"/>
          <w:color w:val="auto"/>
        </w:rPr>
        <w:t>Increase (decrease), net</w:t>
      </w:r>
    </w:p>
    <w:p>
      <w:pPr>
        <w:spacing w:after="0" w:line="6" w:lineRule="exact"/>
        <w:rPr>
          <w:sz w:val="20"/>
          <w:szCs w:val="20"/>
          <w:color w:val="auto"/>
        </w:rPr>
      </w:pPr>
    </w:p>
    <w:p>
      <w:pPr>
        <w:ind w:left="281"/>
        <w:spacing w:after="0"/>
        <w:rPr>
          <w:sz w:val="20"/>
          <w:szCs w:val="20"/>
          <w:color w:val="auto"/>
        </w:rPr>
      </w:pPr>
      <w:r>
        <w:rPr>
          <w:rFonts w:ascii="Arial" w:cs="Arial" w:eastAsia="Arial" w:hAnsi="Arial"/>
          <w:sz w:val="16"/>
          <w:szCs w:val="16"/>
          <w:b w:val="1"/>
          <w:bCs w:val="1"/>
          <w:color w:val="auto"/>
        </w:rPr>
        <w:t>Balances at the end of the year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7"/>
                <w:szCs w:val="17"/>
                <w:color w:val="auto"/>
              </w:rPr>
            </w:pPr>
          </w:p>
        </w:tc>
      </w:tr>
      <w:tr>
        <w:trPr>
          <w:trHeight w:val="198"/>
        </w:trPr>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 w:type="dxa"/>
            <w:vAlign w:val="bottom"/>
          </w:tcPr>
          <w:p>
            <w:pPr>
              <w:spacing w:after="0"/>
              <w:rPr>
                <w:sz w:val="17"/>
                <w:szCs w:val="17"/>
                <w:color w:val="auto"/>
              </w:rPr>
            </w:pPr>
          </w:p>
        </w:tc>
      </w:tr>
      <w:tr>
        <w:trPr>
          <w:trHeight w:val="352"/>
        </w:trPr>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275,841</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296,339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196,261</w:t>
            </w:r>
          </w:p>
        </w:tc>
      </w:tr>
      <w:tr>
        <w:trPr>
          <w:trHeight w:val="190"/>
        </w:trPr>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42,236</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29,023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28,093</w:t>
            </w:r>
          </w:p>
        </w:tc>
      </w:tr>
      <w:tr>
        <w:trPr>
          <w:trHeight w:val="213"/>
        </w:trPr>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24,273</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(49,521)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71,985</w:t>
            </w:r>
          </w:p>
        </w:tc>
      </w:tr>
      <w:tr>
        <w:trPr>
          <w:trHeight w:val="194"/>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342,350</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275,841</w:t>
            </w:r>
          </w:p>
        </w:tc>
        <w:tc>
          <w:tcPr>
            <w:tcW w:w="220" w:type="dxa"/>
            <w:vAlign w:val="bottom"/>
          </w:tcPr>
          <w:p>
            <w:pPr>
              <w:spacing w:after="0"/>
              <w:rPr>
                <w:sz w:val="16"/>
                <w:szCs w:val="16"/>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296,339</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-526415</wp:posOffset>
            </wp:positionV>
            <wp:extent cx="6751320" cy="1206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51320" cy="12065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-285115</wp:posOffset>
            </wp:positionV>
            <wp:extent cx="6751320"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51320" cy="12827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6161" w:space="720"/>
            <w:col w:w="4280"/>
          </w:cols>
          <w:pgMar w:left="519" w:top="814" w:right="219" w:bottom="1440" w:gutter="0" w:footer="0" w:header="0"/>
          <w:type w:val="continuous"/>
        </w:sectPr>
      </w:pPr>
    </w:p>
    <w:p>
      <w:pPr>
        <w:ind w:left="281" w:right="20"/>
        <w:spacing w:after="0" w:line="254" w:lineRule="auto"/>
        <w:rPr>
          <w:sz w:val="20"/>
          <w:szCs w:val="20"/>
          <w:color w:val="auto"/>
        </w:rPr>
      </w:pPr>
      <w:r>
        <w:rPr>
          <w:rFonts w:ascii="Arial" w:cs="Arial" w:eastAsia="Arial" w:hAnsi="Arial"/>
          <w:sz w:val="16"/>
          <w:szCs w:val="16"/>
          <w:color w:val="auto"/>
        </w:rPr>
        <w:t>Because of the nature of its business, the Group has various pending lawsuits, due to which a provision is recorded when, in Management's and its in-house legal advisors opinion, they will result in an additional liability and such amount can be reliably estimated. Regarding lawsuits against the Group which have not been recorded as a provision, in Management’s and its in-house legal advisors opinion, they will not result in an additional liability other than those recorded previously and they will not have a material effect on the Group’s consolidated financial statements.</w:t>
      </w:r>
    </w:p>
    <w:p>
      <w:pPr>
        <w:spacing w:after="0" w:line="35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4" w:right="219" w:bottom="1440" w:gutter="0" w:footer="0" w:header="0"/>
          <w:type w:val="continuous"/>
        </w:sectPr>
      </w:pPr>
    </w:p>
    <w:bookmarkStart w:id="95" w:name="page96"/>
    <w:bookmarkEnd w:id="95"/>
    <w:p>
      <w:pPr>
        <w:ind w:left="285" w:hanging="285"/>
        <w:spacing w:after="0"/>
        <w:tabs>
          <w:tab w:leader="none" w:pos="285"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DEPOSITS AND OBLIGATIONS</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6880" w:type="dxa"/>
            <w:vAlign w:val="bottom"/>
          </w:tcPr>
          <w:p>
            <w:pPr>
              <w:spacing w:after="0"/>
              <w:rPr>
                <w:sz w:val="17"/>
                <w:szCs w:val="17"/>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68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gridSpan w:val="2"/>
          </w:tcPr>
          <w:p>
            <w:pPr>
              <w:spacing w:after="0"/>
              <w:rPr>
                <w:sz w:val="17"/>
                <w:szCs w:val="17"/>
                <w:color w:val="auto"/>
              </w:rPr>
            </w:pPr>
          </w:p>
        </w:tc>
      </w:tr>
      <w:tr>
        <w:trPr>
          <w:trHeight w:val="175"/>
        </w:trPr>
        <w:tc>
          <w:tcPr>
            <w:tcW w:w="6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32,515,163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29,770,276</w:t>
            </w:r>
          </w:p>
        </w:tc>
        <w:tc>
          <w:tcPr>
            <w:tcW w:w="6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6"/>
                <w:szCs w:val="16"/>
                <w:color w:val="auto"/>
              </w:rPr>
              <w:t>Time deposits (c)</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30,426,744</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30,184,314</w:t>
            </w:r>
          </w:p>
        </w:tc>
        <w:tc>
          <w:tcPr>
            <w:tcW w:w="60" w:type="dxa"/>
            <w:vAlign w:val="bottom"/>
          </w:tcPr>
          <w:p>
            <w:pPr>
              <w:spacing w:after="0"/>
              <w:rPr>
                <w:sz w:val="16"/>
                <w:szCs w:val="16"/>
                <w:color w:val="auto"/>
              </w:rPr>
            </w:pPr>
          </w:p>
        </w:tc>
      </w:tr>
      <w:tr>
        <w:trPr>
          <w:trHeight w:val="19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Saving deposits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32,593,979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28,633,099</w:t>
            </w:r>
          </w:p>
        </w:tc>
        <w:tc>
          <w:tcPr>
            <w:tcW w:w="6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6"/>
                <w:szCs w:val="16"/>
                <w:color w:val="auto"/>
              </w:rPr>
              <w:t>Severance indemnity deposits</w:t>
            </w:r>
          </w:p>
        </w:tc>
        <w:tc>
          <w:tcPr>
            <w:tcW w:w="1020" w:type="dxa"/>
            <w:vAlign w:val="bottom"/>
          </w:tcPr>
          <w:p>
            <w:pPr>
              <w:jc w:val="right"/>
              <w:spacing w:after="0"/>
              <w:rPr>
                <w:sz w:val="20"/>
                <w:szCs w:val="20"/>
                <w:color w:val="auto"/>
              </w:rPr>
            </w:pPr>
            <w:r>
              <w:rPr>
                <w:rFonts w:ascii="Arial" w:cs="Arial" w:eastAsia="Arial" w:hAnsi="Arial"/>
                <w:sz w:val="16"/>
                <w:szCs w:val="16"/>
                <w:color w:val="auto"/>
              </w:rPr>
              <w:t>7,571,375</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7,170,934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2"/>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Bank’s negotiable certificates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876,863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959,051</w:t>
            </w:r>
          </w:p>
        </w:tc>
        <w:tc>
          <w:tcPr>
            <w:tcW w:w="60" w:type="dxa"/>
            <w:vAlign w:val="bottom"/>
            <w:shd w:val="clear" w:color="auto" w:fill="CCEEFF"/>
          </w:tcPr>
          <w:p>
            <w:pPr>
              <w:spacing w:after="0"/>
              <w:rPr>
                <w:sz w:val="17"/>
                <w:szCs w:val="17"/>
                <w:color w:val="auto"/>
              </w:rPr>
            </w:pPr>
          </w:p>
        </w:tc>
      </w:tr>
      <w:tr>
        <w:trPr>
          <w:trHeight w:val="182"/>
        </w:trPr>
        <w:tc>
          <w:tcPr>
            <w:tcW w:w="688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103,984,124</w:t>
            </w:r>
          </w:p>
        </w:tc>
        <w:tc>
          <w:tcPr>
            <w:tcW w:w="180" w:type="dxa"/>
            <w:vAlign w:val="bottom"/>
          </w:tcPr>
          <w:p>
            <w:pPr>
              <w:spacing w:after="0"/>
              <w:rPr>
                <w:sz w:val="15"/>
                <w:szCs w:val="15"/>
                <w:color w:val="auto"/>
              </w:rPr>
            </w:pPr>
          </w:p>
        </w:tc>
        <w:tc>
          <w:tcPr>
            <w:tcW w:w="10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96,717,674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567,186</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452,737</w:t>
            </w:r>
          </w:p>
        </w:tc>
        <w:tc>
          <w:tcPr>
            <w:tcW w:w="60" w:type="dxa"/>
            <w:vAlign w:val="bottom"/>
            <w:shd w:val="clear" w:color="auto" w:fill="CCEEFF"/>
          </w:tcPr>
          <w:p>
            <w:pPr>
              <w:spacing w:after="0"/>
              <w:rPr>
                <w:sz w:val="17"/>
                <w:szCs w:val="17"/>
                <w:color w:val="auto"/>
              </w:rPr>
            </w:pPr>
          </w:p>
        </w:tc>
      </w:tr>
      <w:tr>
        <w:trPr>
          <w:trHeight w:val="193"/>
        </w:trPr>
        <w:tc>
          <w:tcPr>
            <w:tcW w:w="68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104,551,310</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97,170,411</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6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right="80"/>
        <w:spacing w:after="0" w:line="258" w:lineRule="auto"/>
        <w:rPr>
          <w:sz w:val="20"/>
          <w:szCs w:val="20"/>
          <w:color w:val="auto"/>
        </w:rPr>
      </w:pPr>
      <w:r>
        <w:rPr>
          <w:rFonts w:ascii="Arial" w:cs="Arial" w:eastAsia="Arial" w:hAnsi="Arial"/>
          <w:sz w:val="16"/>
          <w:szCs w:val="16"/>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165" w:lineRule="exact"/>
        <w:rPr>
          <w:sz w:val="20"/>
          <w:szCs w:val="20"/>
          <w:color w:val="auto"/>
        </w:rPr>
      </w:pPr>
    </w:p>
    <w:p>
      <w:pPr>
        <w:ind w:left="565"/>
        <w:spacing w:after="0"/>
        <w:rPr>
          <w:sz w:val="20"/>
          <w:szCs w:val="20"/>
          <w:color w:val="auto"/>
        </w:rPr>
      </w:pPr>
      <w:r>
        <w:rPr>
          <w:rFonts w:ascii="Arial" w:cs="Arial" w:eastAsia="Arial" w:hAnsi="Arial"/>
          <w:sz w:val="16"/>
          <w:szCs w:val="16"/>
          <w:color w:val="auto"/>
        </w:rPr>
        <w:t>Interest rates are determined by the Group considering the interest rates prevailing in the market in which each of the Group’s subsidiaries operates.</w:t>
      </w:r>
    </w:p>
    <w:p>
      <w:pPr>
        <w:spacing w:after="0" w:line="195" w:lineRule="exact"/>
        <w:rPr>
          <w:sz w:val="20"/>
          <w:szCs w:val="20"/>
          <w:color w:val="auto"/>
        </w:rPr>
      </w:pPr>
    </w:p>
    <w:p>
      <w:pPr>
        <w:ind w:left="285"/>
        <w:spacing w:after="0"/>
        <w:tabs>
          <w:tab w:leader="none" w:pos="545"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The amounts of non-interest-bearing and interest-bearing deposits and obligations are presented below:</w:t>
      </w:r>
    </w:p>
    <w:p>
      <w:pPr>
        <w:spacing w:after="0" w:line="203"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66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1000" w:type="dxa"/>
            <w:vAlign w:val="bottom"/>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Non-interest-bearing -</w:t>
            </w:r>
          </w:p>
        </w:tc>
        <w:tc>
          <w:tcPr>
            <w:tcW w:w="3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40" w:type="dxa"/>
            <w:vAlign w:val="bottom"/>
          </w:tcPr>
          <w:p>
            <w:pPr>
              <w:ind w:left="160"/>
              <w:spacing w:after="0"/>
              <w:rPr>
                <w:sz w:val="20"/>
                <w:szCs w:val="20"/>
                <w:color w:val="auto"/>
              </w:rPr>
            </w:pPr>
            <w:r>
              <w:rPr>
                <w:rFonts w:ascii="Arial" w:cs="Arial" w:eastAsia="Arial" w:hAnsi="Arial"/>
                <w:sz w:val="16"/>
                <w:szCs w:val="16"/>
                <w:color w:val="auto"/>
              </w:rPr>
              <w:t>In Peru</w:t>
            </w:r>
          </w:p>
        </w:tc>
        <w:tc>
          <w:tcPr>
            <w:tcW w:w="4840" w:type="dxa"/>
            <w:vAlign w:val="bottom"/>
            <w:gridSpan w:val="3"/>
          </w:tcPr>
          <w:p>
            <w:pPr>
              <w:jc w:val="right"/>
              <w:ind w:right="180"/>
              <w:spacing w:after="0"/>
              <w:rPr>
                <w:sz w:val="20"/>
                <w:szCs w:val="20"/>
                <w:color w:val="auto"/>
              </w:rPr>
            </w:pPr>
            <w:r>
              <w:rPr>
                <w:rFonts w:ascii="Arial" w:cs="Arial" w:eastAsia="Arial" w:hAnsi="Arial"/>
                <w:sz w:val="16"/>
                <w:szCs w:val="16"/>
                <w:color w:val="auto"/>
              </w:rPr>
              <w:t>29,552,904</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26,786,474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 other countries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2,696,702</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2,596,435</w:t>
            </w:r>
          </w:p>
        </w:tc>
        <w:tc>
          <w:tcPr>
            <w:tcW w:w="8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32,249,606</w:t>
            </w:r>
          </w:p>
        </w:tc>
        <w:tc>
          <w:tcPr>
            <w:tcW w:w="18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29,382,909</w:t>
            </w:r>
          </w:p>
        </w:tc>
        <w:tc>
          <w:tcPr>
            <w:tcW w:w="80" w:type="dxa"/>
            <w:vAlign w:val="bottom"/>
            <w:tcBorders>
              <w:bottom w:val="single" w:sz="8" w:color="CCEEFF"/>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b w:val="1"/>
                <w:bCs w:val="1"/>
                <w:color w:val="auto"/>
              </w:rPr>
              <w:t>Interest-bearing -</w:t>
            </w:r>
          </w:p>
        </w:tc>
        <w:tc>
          <w:tcPr>
            <w:tcW w:w="3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 Peru</w:t>
            </w:r>
          </w:p>
        </w:tc>
        <w:tc>
          <w:tcPr>
            <w:tcW w:w="48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63,938,399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60,372,602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240" w:type="dxa"/>
            <w:vAlign w:val="bottom"/>
          </w:tcPr>
          <w:p>
            <w:pPr>
              <w:ind w:left="160"/>
              <w:spacing w:after="0"/>
              <w:rPr>
                <w:sz w:val="20"/>
                <w:szCs w:val="20"/>
                <w:color w:val="auto"/>
              </w:rPr>
            </w:pPr>
            <w:r>
              <w:rPr>
                <w:rFonts w:ascii="Arial" w:cs="Arial" w:eastAsia="Arial" w:hAnsi="Arial"/>
                <w:sz w:val="16"/>
                <w:szCs w:val="16"/>
                <w:color w:val="auto"/>
              </w:rPr>
              <w:t>In other countries</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7,796,119</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6,962,163</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24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71,734,518</w:t>
            </w: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67,334,765</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103,984,124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96,717,674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1461"/>
              <w:spacing w:after="0"/>
              <w:rPr>
                <w:sz w:val="20"/>
                <w:szCs w:val="20"/>
                <w:color w:val="auto"/>
              </w:rPr>
            </w:pPr>
            <w:r>
              <w:rPr>
                <w:rFonts w:ascii="Arial" w:cs="Arial" w:eastAsia="Arial" w:hAnsi="Arial"/>
                <w:sz w:val="16"/>
                <w:szCs w:val="16"/>
                <w:color w:val="auto"/>
              </w:rPr>
              <w:t>- 89 -</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5"/>
          </w:cols>
          <w:pgMar w:left="235" w:top="810" w:right="219" w:bottom="1440" w:gutter="0" w:footer="0" w:header="0"/>
        </w:sectPr>
      </w:pPr>
    </w:p>
    <w:bookmarkStart w:id="96" w:name="page97"/>
    <w:bookmarkEnd w:id="96"/>
    <w:p>
      <w:pPr>
        <w:ind w:left="565" w:hanging="281"/>
        <w:spacing w:after="0"/>
        <w:tabs>
          <w:tab w:leader="none" w:pos="56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balance of time deposits classified by maturity is as follows:</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6880" w:type="dxa"/>
            <w:vAlign w:val="bottom"/>
          </w:tcPr>
          <w:p>
            <w:pPr>
              <w:spacing w:after="0"/>
              <w:rPr>
                <w:sz w:val="17"/>
                <w:szCs w:val="17"/>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68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gridSpan w:val="2"/>
          </w:tcPr>
          <w:p>
            <w:pPr>
              <w:spacing w:after="0"/>
              <w:rPr>
                <w:sz w:val="17"/>
                <w:szCs w:val="17"/>
                <w:color w:val="auto"/>
              </w:rPr>
            </w:pPr>
          </w:p>
        </w:tc>
      </w:tr>
      <w:tr>
        <w:trPr>
          <w:trHeight w:val="175"/>
        </w:trPr>
        <w:tc>
          <w:tcPr>
            <w:tcW w:w="6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14,771,836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15,152,619</w:t>
            </w:r>
          </w:p>
        </w:tc>
        <w:tc>
          <w:tcPr>
            <w:tcW w:w="6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1020" w:type="dxa"/>
            <w:vAlign w:val="bottom"/>
          </w:tcPr>
          <w:p>
            <w:pPr>
              <w:jc w:val="right"/>
              <w:spacing w:after="0"/>
              <w:rPr>
                <w:sz w:val="20"/>
                <w:szCs w:val="20"/>
                <w:color w:val="auto"/>
              </w:rPr>
            </w:pPr>
            <w:r>
              <w:rPr>
                <w:rFonts w:ascii="Arial" w:cs="Arial" w:eastAsia="Arial" w:hAnsi="Arial"/>
                <w:sz w:val="16"/>
                <w:szCs w:val="16"/>
                <w:color w:val="auto"/>
              </w:rPr>
              <w:t>8,177,435</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8,735,918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4,506,612</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3,478,314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6"/>
                <w:szCs w:val="16"/>
                <w:color w:val="auto"/>
              </w:rPr>
              <w:t>From 3 to 5 years</w:t>
            </w:r>
          </w:p>
        </w:tc>
        <w:tc>
          <w:tcPr>
            <w:tcW w:w="1020" w:type="dxa"/>
            <w:vAlign w:val="bottom"/>
          </w:tcPr>
          <w:p>
            <w:pPr>
              <w:jc w:val="right"/>
              <w:spacing w:after="0"/>
              <w:rPr>
                <w:sz w:val="20"/>
                <w:szCs w:val="20"/>
                <w:color w:val="auto"/>
              </w:rPr>
            </w:pPr>
            <w:r>
              <w:rPr>
                <w:rFonts w:ascii="Arial" w:cs="Arial" w:eastAsia="Arial" w:hAnsi="Arial"/>
                <w:sz w:val="16"/>
                <w:szCs w:val="16"/>
                <w:color w:val="auto"/>
              </w:rPr>
              <w:t>846,696</w:t>
            </w: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702,962</w:t>
            </w:r>
          </w:p>
        </w:tc>
        <w:tc>
          <w:tcPr>
            <w:tcW w:w="60" w:type="dxa"/>
            <w:vAlign w:val="bottom"/>
          </w:tcPr>
          <w:p>
            <w:pPr>
              <w:spacing w:after="0"/>
              <w:rPr>
                <w:sz w:val="16"/>
                <w:szCs w:val="16"/>
                <w:color w:val="auto"/>
              </w:rPr>
            </w:pPr>
          </w:p>
        </w:tc>
      </w:tr>
      <w:tr>
        <w:trPr>
          <w:trHeight w:val="202"/>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2,124,165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2,114,501</w:t>
            </w:r>
          </w:p>
        </w:tc>
        <w:tc>
          <w:tcPr>
            <w:tcW w:w="60" w:type="dxa"/>
            <w:vAlign w:val="bottom"/>
            <w:shd w:val="clear" w:color="auto" w:fill="CCEEFF"/>
          </w:tcPr>
          <w:p>
            <w:pPr>
              <w:spacing w:after="0"/>
              <w:rPr>
                <w:sz w:val="17"/>
                <w:szCs w:val="17"/>
                <w:color w:val="auto"/>
              </w:rPr>
            </w:pPr>
          </w:p>
        </w:tc>
      </w:tr>
      <w:tr>
        <w:trPr>
          <w:trHeight w:val="193"/>
        </w:trPr>
        <w:tc>
          <w:tcPr>
            <w:tcW w:w="68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30,426,744</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30,184,314</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6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spacing w:after="0"/>
        <w:rPr>
          <w:sz w:val="20"/>
          <w:szCs w:val="20"/>
          <w:color w:val="auto"/>
        </w:rPr>
      </w:pPr>
      <w:r>
        <w:rPr>
          <w:rFonts w:ascii="Arial" w:cs="Arial" w:eastAsia="Arial" w:hAnsi="Arial"/>
          <w:sz w:val="16"/>
          <w:szCs w:val="16"/>
          <w:color w:val="auto"/>
        </w:rPr>
        <w:t>In Management’s opinion the Group’s deposits and obligations are diversified with no significant concentrations as of December 31, 2018 and 2017.</w:t>
      </w:r>
    </w:p>
    <w:p>
      <w:pPr>
        <w:spacing w:after="0" w:line="195" w:lineRule="exact"/>
        <w:rPr>
          <w:sz w:val="20"/>
          <w:szCs w:val="20"/>
          <w:color w:val="auto"/>
        </w:rPr>
      </w:pPr>
    </w:p>
    <w:p>
      <w:pPr>
        <w:ind w:left="565" w:right="40"/>
        <w:spacing w:after="0" w:line="258" w:lineRule="auto"/>
        <w:rPr>
          <w:sz w:val="20"/>
          <w:szCs w:val="20"/>
          <w:color w:val="auto"/>
        </w:rPr>
      </w:pPr>
      <w:r>
        <w:rPr>
          <w:rFonts w:ascii="Arial" w:cs="Arial" w:eastAsia="Arial" w:hAnsi="Arial"/>
          <w:sz w:val="16"/>
          <w:szCs w:val="16"/>
          <w:color w:val="auto"/>
        </w:rPr>
        <w:t>At December 31, 2018 and 2017, of the total balance of deposits and obligations, approximately S/33,571.8 million and S/30,064.8 million, respectively, are secured by the Peruvian “Fondo de Seguro de Depósitos” (Deposit Insurance Fund). At said dates, maximum amount of coverage per depositor recognized by “Fondo de Seguro de Depósitos” totaled S/100,864 and S/97,529, respectively.</w:t>
      </w:r>
    </w:p>
    <w:p>
      <w:pPr>
        <w:spacing w:after="0" w:line="161" w:lineRule="exact"/>
        <w:rPr>
          <w:sz w:val="20"/>
          <w:szCs w:val="20"/>
          <w:color w:val="auto"/>
        </w:rPr>
      </w:pPr>
    </w:p>
    <w:p>
      <w:pPr>
        <w:ind w:left="285" w:hanging="285"/>
        <w:spacing w:after="0"/>
        <w:tabs>
          <w:tab w:leader="none" w:pos="285"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DUE TO BANKS AND CORRESPONDENTS</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03"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34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1000" w:type="dxa"/>
            <w:vAlign w:val="bottom"/>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International funds and others (b)</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5,460,725</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5,264,545</w:t>
            </w:r>
          </w:p>
        </w:tc>
        <w:tc>
          <w:tcPr>
            <w:tcW w:w="8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Promotional credit lines (c)</w:t>
            </w:r>
          </w:p>
        </w:tc>
        <w:tc>
          <w:tcPr>
            <w:tcW w:w="4340" w:type="dxa"/>
            <w:vAlign w:val="bottom"/>
            <w:gridSpan w:val="2"/>
          </w:tcPr>
          <w:p>
            <w:pPr>
              <w:jc w:val="right"/>
              <w:spacing w:after="0"/>
              <w:rPr>
                <w:sz w:val="20"/>
                <w:szCs w:val="20"/>
                <w:color w:val="auto"/>
              </w:rPr>
            </w:pPr>
            <w:r>
              <w:rPr>
                <w:rFonts w:ascii="Arial" w:cs="Arial" w:eastAsia="Arial" w:hAnsi="Arial"/>
                <w:sz w:val="16"/>
                <w:szCs w:val="16"/>
                <w:color w:val="auto"/>
              </w:rPr>
              <w:t>2,389,086</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2,029,989</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Inter-bank funds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547,300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659,737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8,397,111</w:t>
            </w:r>
          </w:p>
        </w:tc>
        <w:tc>
          <w:tcPr>
            <w:tcW w:w="180" w:type="dxa"/>
            <w:vAlign w:val="bottom"/>
          </w:tcPr>
          <w:p>
            <w:pPr>
              <w:spacing w:after="0"/>
              <w:rPr>
                <w:sz w:val="15"/>
                <w:szCs w:val="15"/>
                <w:color w:val="auto"/>
              </w:rPr>
            </w:pPr>
          </w:p>
        </w:tc>
        <w:tc>
          <w:tcPr>
            <w:tcW w:w="10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7,954,271</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45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51,029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42,618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3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8,448,140</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7,996,889</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320" w:type="dxa"/>
            <w:vAlign w:val="bottom"/>
            <w:vMerge w:val="restart"/>
          </w:tcPr>
          <w:p>
            <w:pPr>
              <w:jc w:val="right"/>
              <w:ind w:right="1461"/>
              <w:spacing w:after="0"/>
              <w:rPr>
                <w:sz w:val="20"/>
                <w:szCs w:val="20"/>
                <w:color w:val="auto"/>
              </w:rPr>
            </w:pPr>
            <w:r>
              <w:rPr>
                <w:rFonts w:ascii="Arial" w:cs="Arial" w:eastAsia="Arial" w:hAnsi="Arial"/>
                <w:sz w:val="16"/>
                <w:szCs w:val="16"/>
                <w:color w:val="auto"/>
              </w:rPr>
              <w:t>- 90 -</w:t>
            </w: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5"/>
          </w:cols>
          <w:pgMar w:left="235" w:top="814" w:right="21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60" w:type="dxa"/>
            <w:vAlign w:val="bottom"/>
            <w:gridSpan w:val="2"/>
          </w:tcPr>
          <w:p>
            <w:pPr>
              <w:spacing w:after="0"/>
              <w:rPr>
                <w:sz w:val="20"/>
                <w:szCs w:val="20"/>
                <w:color w:val="auto"/>
              </w:rPr>
            </w:pPr>
            <w:r>
              <w:rPr>
                <w:rFonts w:ascii="Arial" w:cs="Arial" w:eastAsia="Arial" w:hAnsi="Arial"/>
                <w:sz w:val="16"/>
                <w:szCs w:val="16"/>
                <w:color w:val="auto"/>
              </w:rPr>
              <w:t>b)  This item consists of the following:</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24"/>
                <w:szCs w:val="24"/>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4"/>
                <w:szCs w:val="24"/>
                <w:color w:val="auto"/>
              </w:rPr>
            </w:pPr>
          </w:p>
        </w:tc>
      </w:tr>
      <w:tr>
        <w:trPr>
          <w:trHeight w:val="198"/>
        </w:trPr>
        <w:tc>
          <w:tcPr>
            <w:tcW w:w="2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Citibank N.A. (i)</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1,180,550</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1,166,760</w:t>
            </w:r>
          </w:p>
        </w:tc>
        <w:tc>
          <w:tcPr>
            <w:tcW w:w="8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Wells Fargo Bank (ii)</w:t>
            </w:r>
          </w:p>
        </w:tc>
        <w:tc>
          <w:tcPr>
            <w:tcW w:w="1020" w:type="dxa"/>
            <w:vAlign w:val="bottom"/>
          </w:tcPr>
          <w:p>
            <w:pPr>
              <w:jc w:val="right"/>
              <w:spacing w:after="0"/>
              <w:rPr>
                <w:sz w:val="20"/>
                <w:szCs w:val="20"/>
                <w:color w:val="auto"/>
              </w:rPr>
            </w:pPr>
            <w:r>
              <w:rPr>
                <w:rFonts w:ascii="Arial" w:cs="Arial" w:eastAsia="Arial" w:hAnsi="Arial"/>
                <w:sz w:val="16"/>
                <w:szCs w:val="16"/>
                <w:color w:val="auto"/>
              </w:rPr>
              <w:t>843,250</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810,250</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Corporación Andina de Fomento (CAF) (iii)</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674,600</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324,100</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Bank of America (iv)</w:t>
            </w:r>
          </w:p>
        </w:tc>
        <w:tc>
          <w:tcPr>
            <w:tcW w:w="1020" w:type="dxa"/>
            <w:vAlign w:val="bottom"/>
          </w:tcPr>
          <w:p>
            <w:pPr>
              <w:jc w:val="right"/>
              <w:spacing w:after="0"/>
              <w:rPr>
                <w:sz w:val="20"/>
                <w:szCs w:val="20"/>
                <w:color w:val="auto"/>
              </w:rPr>
            </w:pPr>
            <w:r>
              <w:rPr>
                <w:rFonts w:ascii="Arial" w:cs="Arial" w:eastAsia="Arial" w:hAnsi="Arial"/>
                <w:sz w:val="16"/>
                <w:szCs w:val="16"/>
                <w:color w:val="auto"/>
              </w:rPr>
              <w:t>505,950</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324,088</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Standard Chartered Bank (v)</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404,760</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194,460</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Corporación Financiera de Desarrollo (COFIDE)</w:t>
            </w:r>
          </w:p>
        </w:tc>
        <w:tc>
          <w:tcPr>
            <w:tcW w:w="1020" w:type="dxa"/>
            <w:vAlign w:val="bottom"/>
          </w:tcPr>
          <w:p>
            <w:pPr>
              <w:jc w:val="right"/>
              <w:spacing w:after="0"/>
              <w:rPr>
                <w:sz w:val="20"/>
                <w:szCs w:val="20"/>
                <w:color w:val="auto"/>
              </w:rPr>
            </w:pPr>
            <w:r>
              <w:rPr>
                <w:rFonts w:ascii="Arial" w:cs="Arial" w:eastAsia="Arial" w:hAnsi="Arial"/>
                <w:sz w:val="16"/>
                <w:szCs w:val="16"/>
                <w:color w:val="auto"/>
              </w:rPr>
              <w:t>340,572</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600,871</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Sumitomo Mitsui Banking Corporation (vi)</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337,300</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Deutsche Bank</w:t>
            </w:r>
          </w:p>
        </w:tc>
        <w:tc>
          <w:tcPr>
            <w:tcW w:w="1020" w:type="dxa"/>
            <w:vAlign w:val="bottom"/>
          </w:tcPr>
          <w:p>
            <w:pPr>
              <w:jc w:val="right"/>
              <w:spacing w:after="0"/>
              <w:rPr>
                <w:sz w:val="20"/>
                <w:szCs w:val="20"/>
                <w:color w:val="auto"/>
              </w:rPr>
            </w:pPr>
            <w:r>
              <w:rPr>
                <w:rFonts w:ascii="Arial" w:cs="Arial" w:eastAsia="Arial" w:hAnsi="Arial"/>
                <w:sz w:val="16"/>
                <w:szCs w:val="16"/>
                <w:color w:val="auto"/>
              </w:rPr>
              <w:t>337,300</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581</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Finance Corporation (IFC)</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183,391</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190,337</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Scotiabank Perú S.A.A.</w:t>
            </w:r>
          </w:p>
        </w:tc>
        <w:tc>
          <w:tcPr>
            <w:tcW w:w="1020" w:type="dxa"/>
            <w:vAlign w:val="bottom"/>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100,000</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Wachovia Bank N.A.</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84,325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BBVA Banco Continental</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82,850</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Banco Consorcio</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79,526</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94,157</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Banco de la Nación</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75,000</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125,000</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Toronto Dominion Bank</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259,280</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Bank of Montreal</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162,050</w:t>
            </w:r>
          </w:p>
        </w:tc>
      </w:tr>
      <w:tr>
        <w:trPr>
          <w:trHeight w:val="190"/>
        </w:trPr>
        <w:tc>
          <w:tcPr>
            <w:tcW w:w="28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JP Morgan Chase Bank, National Association (vii)</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324,030</w:t>
            </w:r>
          </w:p>
        </w:tc>
      </w:tr>
      <w:tr>
        <w:trPr>
          <w:trHeight w:val="190"/>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Banco del Estado de Chile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162,195</w:t>
            </w:r>
          </w:p>
        </w:tc>
      </w:tr>
      <w:tr>
        <w:trPr>
          <w:trHeight w:val="202"/>
        </w:trPr>
        <w:tc>
          <w:tcPr>
            <w:tcW w:w="28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Others less than S/75.0 million</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231,351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426,386</w:t>
            </w:r>
          </w:p>
        </w:tc>
      </w:tr>
      <w:tr>
        <w:trPr>
          <w:trHeight w:val="193"/>
        </w:trPr>
        <w:tc>
          <w:tcPr>
            <w:tcW w:w="28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5,460,725</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5,264,545</w:t>
            </w:r>
          </w:p>
        </w:tc>
        <w:tc>
          <w:tcPr>
            <w:tcW w:w="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right="280"/>
        <w:spacing w:after="0" w:line="269" w:lineRule="auto"/>
        <w:rPr>
          <w:sz w:val="20"/>
          <w:szCs w:val="20"/>
          <w:color w:val="auto"/>
        </w:rPr>
      </w:pPr>
      <w:r>
        <w:rPr>
          <w:rFonts w:ascii="Arial" w:cs="Arial" w:eastAsia="Arial" w:hAnsi="Arial"/>
          <w:sz w:val="16"/>
          <w:szCs w:val="16"/>
          <w:color w:val="auto"/>
        </w:rPr>
        <w:t>At December 31, 2018, the loans have maturities between January 2019 and March 2032 (January 2018 and March 2032, at December 31, 2017) and accrue interest at rates that fluctuate between 1.00 percent and 8.67 percent (between 0.50 percent and 9.04 percent, at December 31, 2017).</w:t>
      </w:r>
    </w:p>
    <w:p>
      <w:pPr>
        <w:spacing w:after="0" w:line="157" w:lineRule="exact"/>
        <w:rPr>
          <w:sz w:val="20"/>
          <w:szCs w:val="20"/>
          <w:color w:val="auto"/>
        </w:rPr>
      </w:pPr>
    </w:p>
    <w:p>
      <w:pPr>
        <w:ind w:left="560" w:hanging="276"/>
        <w:spacing w:after="0" w:line="254" w:lineRule="auto"/>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December 31, 2018, the balance corresponds to four variable rate loans obtained in July 2017, May 2018 and October 2018 for a total of US$350.0 million, equivalent to S/1,180.6 million (two loans obtained in July 2017 for a total of US$150.0 million, equivalent to S/486.2 million, at December 31, 2017), the amounts of which are hedged by four IRS (two IRS at December 31, 2017) for a notional amount equal to the principal and with the same maturity, see Note 12(b). By means of the IRS, said loans were economically converted to a fixed rate.</w:t>
      </w:r>
    </w:p>
    <w:p>
      <w:pPr>
        <w:spacing w:after="0" w:line="169" w:lineRule="exact"/>
        <w:rPr>
          <w:rFonts w:ascii="Arial" w:cs="Arial" w:eastAsia="Arial" w:hAnsi="Arial"/>
          <w:sz w:val="16"/>
          <w:szCs w:val="16"/>
          <w:color w:val="auto"/>
        </w:rPr>
      </w:pPr>
    </w:p>
    <w:p>
      <w:pPr>
        <w:ind w:left="560" w:hanging="276"/>
        <w:spacing w:after="0" w:line="254" w:lineRule="auto"/>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December 31, 2018, the balance corresponds to three variable rate loans obtained in October 2017, February 2018 and October 2018 for a total of US$250.0 million, equivalent to S/843.3 million (two loans obtained in June 2016 and October 2017 for a total of US$150.0 million, equivalent to S/486.2 million, at December 31, 2017); the amounts of which are hedged by three IRS (two IRS at December 31, 2017) for a notional amount equal to the principal and with the same maturity, see Note 12(b). By means of the IRS, said loans were economically converted to a fixed rate.</w:t>
      </w:r>
    </w:p>
    <w:p>
      <w:pPr>
        <w:spacing w:after="0" w:line="169" w:lineRule="exact"/>
        <w:rPr>
          <w:rFonts w:ascii="Arial" w:cs="Arial" w:eastAsia="Arial" w:hAnsi="Arial"/>
          <w:sz w:val="16"/>
          <w:szCs w:val="16"/>
          <w:color w:val="auto"/>
        </w:rPr>
      </w:pPr>
    </w:p>
    <w:p>
      <w:pPr>
        <w:jc w:val="both"/>
        <w:ind w:left="560" w:right="120" w:hanging="276"/>
        <w:spacing w:after="0" w:line="283" w:lineRule="auto"/>
        <w:tabs>
          <w:tab w:leader="none" w:pos="5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At December 31, 2018, the balance includes a variable rate loan in US Dollars, obtained in December 2017 for US$100.0 million, equivalent to S/337.3 million, the amount of which is hedged by two CCS for a notional amount equal to the principal and with the same maturity (US$100.0 million, equivalent to S/324.1 million, at December 31, 2017), see Note 12(b). By means of the CCS, said loan was economically converted to soles at a fixed rate.</w:t>
      </w:r>
    </w:p>
    <w:p>
      <w:pPr>
        <w:spacing w:after="0" w:line="338" w:lineRule="exact"/>
        <w:rPr>
          <w:rFonts w:ascii="Arial" w:cs="Arial" w:eastAsia="Arial" w:hAnsi="Arial"/>
          <w:sz w:val="15"/>
          <w:szCs w:val="15"/>
          <w:color w:val="auto"/>
        </w:rPr>
      </w:pPr>
    </w:p>
    <w:p>
      <w:pPr>
        <w:ind w:left="5360" w:hanging="91"/>
        <w:spacing w:after="0"/>
        <w:tabs>
          <w:tab w:leader="none" w:pos="53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0"/>
          </w:cols>
          <w:pgMar w:left="520" w:top="814" w:right="279" w:bottom="1440" w:gutter="0" w:footer="0" w:header="0"/>
        </w:sectPr>
      </w:pPr>
    </w:p>
    <w:bookmarkStart w:id="98" w:name="page99"/>
    <w:bookmarkEnd w:id="98"/>
    <w:p>
      <w:pPr>
        <w:ind w:left="840" w:right="160" w:hanging="276"/>
        <w:spacing w:after="0" w:line="254" w:lineRule="auto"/>
        <w:tabs>
          <w:tab w:leader="none" w:pos="8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At December 31, 2018, the balance corresponds to three variable rate loans obtained in May, July and October 2018 for a total of US$150.0 million, equivalent to S/506.0 million (a loan obtained in December 2015 for US$100.0 million, equivalent to S/324.1 million, at December 31, 2017), whose amounts are hedged by three IRS (one IRS at December 31, 2017) for a notional amount equal to the principal and with the same maturity, see Note 12(b). By means of the IRS, said loans were economically converted to a fixed rate.</w:t>
      </w:r>
    </w:p>
    <w:p>
      <w:pPr>
        <w:spacing w:after="0" w:line="169"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The loan obtained in December 2015 for US$100.0 million matured in January 2018.</w:t>
      </w:r>
    </w:p>
    <w:p>
      <w:pPr>
        <w:spacing w:after="0" w:line="195" w:lineRule="exact"/>
        <w:rPr>
          <w:rFonts w:ascii="Arial" w:cs="Arial" w:eastAsia="Arial" w:hAnsi="Arial"/>
          <w:sz w:val="16"/>
          <w:szCs w:val="16"/>
          <w:color w:val="auto"/>
        </w:rPr>
      </w:pPr>
    </w:p>
    <w:p>
      <w:pPr>
        <w:jc w:val="both"/>
        <w:ind w:left="840" w:right="40" w:hanging="276"/>
        <w:spacing w:after="0" w:line="258" w:lineRule="auto"/>
        <w:tabs>
          <w:tab w:leader="none" w:pos="8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At December 31, 2018, the balance includes a variable rate loan obtained in October 2018 for US$100.0 million, equivalent to S/337.3 million, the amount of which is hedged by an IRS for a notional amount equal to the principal and with the same maturity, see Note 12(b). By means of the IRS, said loan was economically converted to a fixed rate.</w:t>
      </w:r>
    </w:p>
    <w:p>
      <w:pPr>
        <w:spacing w:after="0" w:line="165" w:lineRule="exact"/>
        <w:rPr>
          <w:rFonts w:ascii="Arial" w:cs="Arial" w:eastAsia="Arial" w:hAnsi="Arial"/>
          <w:sz w:val="16"/>
          <w:szCs w:val="16"/>
          <w:color w:val="auto"/>
        </w:rPr>
      </w:pPr>
    </w:p>
    <w:p>
      <w:pPr>
        <w:ind w:left="840" w:right="20" w:hanging="276"/>
        <w:spacing w:after="0" w:line="258" w:lineRule="auto"/>
        <w:tabs>
          <w:tab w:leader="none" w:pos="8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At December 31, 2018, the balance corresponds to a variable rate loan obtained in May 2018 for US$100.0 million, equivalent to S/337.3 million, the amount of which is hedged by an IRS for a notional amount equal to the principal and with the same maturity, see Note 12(b). By means of the IRS, said loan was economically converted to a fixed rate.</w:t>
      </w:r>
    </w:p>
    <w:p>
      <w:pPr>
        <w:spacing w:after="0" w:line="165" w:lineRule="exact"/>
        <w:rPr>
          <w:sz w:val="20"/>
          <w:szCs w:val="20"/>
          <w:color w:val="auto"/>
        </w:rPr>
      </w:pPr>
    </w:p>
    <w:p>
      <w:pPr>
        <w:ind w:left="840" w:right="80" w:hanging="283"/>
        <w:spacing w:after="0" w:line="258" w:lineRule="auto"/>
        <w:rPr>
          <w:sz w:val="20"/>
          <w:szCs w:val="20"/>
          <w:color w:val="auto"/>
        </w:rPr>
      </w:pPr>
      <w:r>
        <w:rPr>
          <w:rFonts w:ascii="Arial" w:cs="Arial" w:eastAsia="Arial" w:hAnsi="Arial"/>
          <w:sz w:val="16"/>
          <w:szCs w:val="16"/>
          <w:color w:val="auto"/>
        </w:rPr>
        <w:t>(vii)At December 31, 2017, the balance corresponded to a variable rate loan obtained in February 2016 for US$100.0 million, equivalent to S/324.1 million, the amount of which was hedged by an IRS for a notional amount equal to the principal and with the same maturity, see Note 12(b). By means of the IRS, said loan was economically converted to a fixed rate.</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Said loan for US$100.0 million matured in March 2018.</w:t>
      </w:r>
    </w:p>
    <w:p>
      <w:pPr>
        <w:spacing w:after="0" w:line="195" w:lineRule="exact"/>
        <w:rPr>
          <w:sz w:val="20"/>
          <w:szCs w:val="20"/>
          <w:color w:val="auto"/>
        </w:rPr>
      </w:pPr>
    </w:p>
    <w:p>
      <w:pPr>
        <w:ind w:left="560" w:right="40" w:hanging="281"/>
        <w:spacing w:after="0" w:line="252" w:lineRule="auto"/>
        <w:tabs>
          <w:tab w:leader="none" w:pos="5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Promotional credit lines represent loans granted by Corporación Financiera de Desarrollo and Fondo de Cooperación para el Desarrollo Social (COFIDE and FONCODES for their Spanish acronyms, respectively) to promote the development of Peru, they mature between January 2019 and July 2024 and bear annual interest rates varying 4.20 percent and 7.75 percent at December 31, 2018 (between January 2018 and January 2023 and with annual interest rates ranging between 6.00 percent and 7.75 percent at December 31, 2017). These credit lines are secured by a loan portfolio totaling S/2,389.1 million and S/2,030.0 million, at December 31, 2018 and December 31, 2017, respectively.</w:t>
      </w:r>
    </w:p>
    <w:p>
      <w:pPr>
        <w:spacing w:after="0" w:line="171" w:lineRule="exact"/>
        <w:rPr>
          <w:rFonts w:ascii="Arial" w:cs="Arial" w:eastAsia="Arial" w:hAnsi="Arial"/>
          <w:sz w:val="16"/>
          <w:szCs w:val="16"/>
          <w:color w:val="auto"/>
        </w:rPr>
      </w:pPr>
    </w:p>
    <w:p>
      <w:pPr>
        <w:ind w:left="560" w:hanging="281"/>
        <w:spacing w:after="0"/>
        <w:tabs>
          <w:tab w:leader="none" w:pos="5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following table presents the maturities of due to banks and correspondents at December 31, 2018 and 2017 based on the period remaining to maturity: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62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1000" w:type="dxa"/>
            <w:vAlign w:val="bottom"/>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1,917,829</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2,169,022</w:t>
            </w:r>
          </w:p>
        </w:tc>
        <w:tc>
          <w:tcPr>
            <w:tcW w:w="8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4620" w:type="dxa"/>
            <w:vAlign w:val="bottom"/>
            <w:gridSpan w:val="2"/>
          </w:tcPr>
          <w:p>
            <w:pPr>
              <w:jc w:val="right"/>
              <w:spacing w:after="0"/>
              <w:rPr>
                <w:sz w:val="20"/>
                <w:szCs w:val="20"/>
                <w:color w:val="auto"/>
              </w:rPr>
            </w:pPr>
            <w:r>
              <w:rPr>
                <w:rFonts w:ascii="Arial" w:cs="Arial" w:eastAsia="Arial" w:hAnsi="Arial"/>
                <w:sz w:val="16"/>
                <w:szCs w:val="16"/>
                <w:color w:val="auto"/>
              </w:rPr>
              <w:t>3,347,134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2,055,859</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1,030,310</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1,715,035</w:t>
            </w:r>
          </w:p>
        </w:tc>
        <w:tc>
          <w:tcPr>
            <w:tcW w:w="8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From 3 to 5 years</w:t>
            </w:r>
          </w:p>
        </w:tc>
        <w:tc>
          <w:tcPr>
            <w:tcW w:w="4620" w:type="dxa"/>
            <w:vAlign w:val="bottom"/>
            <w:gridSpan w:val="2"/>
          </w:tcPr>
          <w:p>
            <w:pPr>
              <w:jc w:val="right"/>
              <w:spacing w:after="0"/>
              <w:rPr>
                <w:sz w:val="20"/>
                <w:szCs w:val="20"/>
                <w:color w:val="auto"/>
              </w:rPr>
            </w:pPr>
            <w:r>
              <w:rPr>
                <w:rFonts w:ascii="Arial" w:cs="Arial" w:eastAsia="Arial" w:hAnsi="Arial"/>
                <w:sz w:val="16"/>
                <w:szCs w:val="16"/>
                <w:color w:val="auto"/>
              </w:rPr>
              <w:t>406,895</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452,577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1,694,943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1,561,778</w:t>
            </w:r>
          </w:p>
        </w:tc>
        <w:tc>
          <w:tcPr>
            <w:tcW w:w="8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6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8,397,111</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7,954,271</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0" w:type="dxa"/>
            <w:vAlign w:val="bottom"/>
            <w:vMerge w:val="restart"/>
          </w:tcPr>
          <w:p>
            <w:pPr>
              <w:jc w:val="right"/>
              <w:ind w:right="1461"/>
              <w:spacing w:after="0"/>
              <w:rPr>
                <w:sz w:val="20"/>
                <w:szCs w:val="20"/>
                <w:color w:val="auto"/>
              </w:rPr>
            </w:pPr>
            <w:r>
              <w:rPr>
                <w:rFonts w:ascii="Arial" w:cs="Arial" w:eastAsia="Arial" w:hAnsi="Arial"/>
                <w:sz w:val="16"/>
                <w:szCs w:val="16"/>
                <w:color w:val="auto"/>
              </w:rPr>
              <w:t>- 92 -</w:t>
            </w: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5" w:right="219" w:bottom="1440" w:gutter="0" w:footer="0" w:header="0"/>
        </w:sectPr>
      </w:pPr>
    </w:p>
    <w:bookmarkStart w:id="99" w:name="page100"/>
    <w:bookmarkEnd w:id="99"/>
    <w:p>
      <w:pPr>
        <w:ind w:left="565" w:hanging="281"/>
        <w:spacing w:after="0" w:line="269" w:lineRule="auto"/>
        <w:tabs>
          <w:tab w:leader="none" w:pos="56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At December 31, 2018 and 2017, lines of credit granted by various local and foreign financial institutions, to be used for future operating activities total S/7,849.8 million and S/7,294.5 million, respectively.</w:t>
      </w:r>
    </w:p>
    <w:p>
      <w:pPr>
        <w:spacing w:after="0" w:line="156" w:lineRule="exact"/>
        <w:rPr>
          <w:rFonts w:ascii="Arial" w:cs="Arial" w:eastAsia="Arial" w:hAnsi="Arial"/>
          <w:sz w:val="16"/>
          <w:szCs w:val="16"/>
          <w:color w:val="auto"/>
        </w:rPr>
      </w:pPr>
    </w:p>
    <w:p>
      <w:pPr>
        <w:ind w:left="565" w:right="400" w:hanging="281"/>
        <w:spacing w:after="0" w:line="342" w:lineRule="auto"/>
        <w:tabs>
          <w:tab w:leader="none" w:pos="565"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Certain debts to banks and correspondents include standard covenants addressing observance of financial ratios, the use of the funds and other administrative matters; which, in Management’s opinion, do not limit the Group’s operations and with which it is compliant at the date of the consolidated financial statements.</w:t>
      </w:r>
    </w:p>
    <w:p>
      <w:pPr>
        <w:sectPr>
          <w:pgSz w:w="11900" w:h="16838" w:orient="portrait"/>
          <w:cols w:equalWidth="0" w:num="1">
            <w:col w:w="11445"/>
          </w:cols>
          <w:pgMar w:left="235" w:top="814" w:right="219" w:bottom="1440" w:gutter="0" w:footer="0" w:header="0"/>
        </w:sectPr>
      </w:pPr>
    </w:p>
    <w:p>
      <w:pPr>
        <w:spacing w:after="0" w:line="106" w:lineRule="exact"/>
        <w:rPr>
          <w:sz w:val="20"/>
          <w:szCs w:val="20"/>
          <w:color w:val="auto"/>
        </w:rPr>
      </w:pPr>
    </w:p>
    <w:p>
      <w:pPr>
        <w:ind w:left="285" w:hanging="285"/>
        <w:spacing w:after="0"/>
        <w:tabs>
          <w:tab w:leader="none" w:pos="285"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TECHNICAL RESERVES FOR INSURANCE CLAIMS AND PREMIUMS</w:t>
      </w:r>
    </w:p>
    <w:p>
      <w:pPr>
        <w:spacing w:after="0" w:line="210" w:lineRule="exact"/>
        <w:rPr>
          <w:rFonts w:ascii="Arial" w:cs="Arial" w:eastAsia="Arial" w:hAnsi="Arial"/>
          <w:sz w:val="15"/>
          <w:szCs w:val="15"/>
          <w:b w:val="1"/>
          <w:bCs w:val="1"/>
          <w:color w:val="auto"/>
        </w:rPr>
      </w:pPr>
    </w:p>
    <w:p>
      <w:pPr>
        <w:ind w:left="565" w:hanging="281"/>
        <w:spacing w:after="0"/>
        <w:tabs>
          <w:tab w:leader="none" w:pos="56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5"/>
        <w:spacing w:after="0"/>
        <w:rPr>
          <w:sz w:val="20"/>
          <w:szCs w:val="20"/>
          <w:color w:val="auto"/>
        </w:rPr>
      </w:pPr>
      <w:r>
        <w:rPr>
          <w:rFonts w:ascii="Arial" w:cs="Arial" w:eastAsia="Arial" w:hAnsi="Arial"/>
          <w:sz w:val="16"/>
          <w:szCs w:val="16"/>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-107950</wp:posOffset>
            </wp:positionV>
            <wp:extent cx="5810885" cy="1206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10885" cy="120650"/>
                    </a:xfrm>
                    <a:prstGeom prst="rect">
                      <a:avLst/>
                    </a:prstGeom>
                    <a:noFill/>
                  </pic:spPr>
                </pic:pic>
              </a:graphicData>
            </a:graphic>
          </wp:anchor>
        </w:drawing>
      </w:r>
    </w:p>
    <w:p>
      <w:pPr>
        <w:ind w:left="565"/>
        <w:spacing w:after="0"/>
        <w:rPr>
          <w:sz w:val="20"/>
          <w:szCs w:val="20"/>
          <w:color w:val="auto"/>
        </w:rPr>
      </w:pPr>
      <w:r>
        <w:rPr>
          <w:rFonts w:ascii="Arial" w:cs="Arial" w:eastAsia="Arial" w:hAnsi="Arial"/>
          <w:sz w:val="16"/>
          <w:szCs w:val="16"/>
          <w:color w:val="auto"/>
        </w:rPr>
        <w:t>General insurance</w:t>
      </w:r>
    </w:p>
    <w:p>
      <w:pPr>
        <w:spacing w:after="0" w:line="6" w:lineRule="exact"/>
        <w:rPr>
          <w:sz w:val="20"/>
          <w:szCs w:val="20"/>
          <w:color w:val="auto"/>
        </w:rPr>
      </w:pPr>
    </w:p>
    <w:p>
      <w:pPr>
        <w:ind w:left="565"/>
        <w:spacing w:after="0"/>
        <w:rPr>
          <w:sz w:val="20"/>
          <w:szCs w:val="20"/>
          <w:color w:val="auto"/>
        </w:rPr>
      </w:pPr>
      <w:r>
        <w:rPr>
          <w:rFonts w:ascii="Arial" w:cs="Arial" w:eastAsia="Arial" w:hAnsi="Arial"/>
          <w:sz w:val="16"/>
          <w:szCs w:val="16"/>
          <w:color w:val="auto"/>
        </w:rPr>
        <w:t>Health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-115570</wp:posOffset>
            </wp:positionV>
            <wp:extent cx="5810885"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10885" cy="128270"/>
                    </a:xfrm>
                    <a:prstGeom prst="rect">
                      <a:avLst/>
                    </a:prstGeom>
                    <a:noFill/>
                  </pic:spPr>
                </pic:pic>
              </a:graphicData>
            </a:graphic>
          </wp:anchor>
        </w:drawing>
      </w:r>
    </w:p>
    <w:p>
      <w:pPr>
        <w:ind w:left="565"/>
        <w:spacing w:after="0"/>
        <w:rPr>
          <w:sz w:val="20"/>
          <w:szCs w:val="20"/>
          <w:color w:val="auto"/>
        </w:rPr>
      </w:pPr>
      <w:r>
        <w:rPr>
          <w:rFonts w:ascii="Arial" w:cs="Arial" w:eastAsia="Arial" w:hAnsi="Arial"/>
          <w:sz w:val="16"/>
          <w:szCs w:val="16"/>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5"/>
        <w:spacing w:after="0"/>
        <w:rPr>
          <w:sz w:val="20"/>
          <w:szCs w:val="20"/>
          <w:color w:val="auto"/>
        </w:rPr>
      </w:pPr>
      <w:r>
        <w:rPr>
          <w:rFonts w:ascii="Arial" w:cs="Arial" w:eastAsia="Arial" w:hAnsi="Arial"/>
          <w:sz w:val="16"/>
          <w:szCs w:val="16"/>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-107950</wp:posOffset>
            </wp:positionV>
            <wp:extent cx="5810885" cy="1206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10885" cy="120650"/>
                    </a:xfrm>
                    <a:prstGeom prst="rect">
                      <a:avLst/>
                    </a:prstGeom>
                    <a:noFill/>
                  </pic:spPr>
                </pic:pic>
              </a:graphicData>
            </a:graphic>
          </wp:anchor>
        </w:drawing>
      </w:r>
    </w:p>
    <w:p>
      <w:pPr>
        <w:ind w:left="565"/>
        <w:spacing w:after="0"/>
        <w:rPr>
          <w:sz w:val="20"/>
          <w:szCs w:val="20"/>
          <w:color w:val="auto"/>
        </w:rPr>
      </w:pPr>
      <w:r>
        <w:rPr>
          <w:rFonts w:ascii="Arial" w:cs="Arial" w:eastAsia="Arial" w:hAnsi="Arial"/>
          <w:sz w:val="16"/>
          <w:szCs w:val="16"/>
          <w:color w:val="auto"/>
        </w:rPr>
        <w:t>General insurance</w:t>
      </w:r>
    </w:p>
    <w:p>
      <w:pPr>
        <w:spacing w:after="0" w:line="6" w:lineRule="exact"/>
        <w:rPr>
          <w:sz w:val="20"/>
          <w:szCs w:val="20"/>
          <w:color w:val="auto"/>
        </w:rPr>
      </w:pPr>
    </w:p>
    <w:p>
      <w:pPr>
        <w:ind w:left="565"/>
        <w:spacing w:after="0"/>
        <w:rPr>
          <w:sz w:val="20"/>
          <w:szCs w:val="20"/>
          <w:color w:val="auto"/>
        </w:rPr>
      </w:pPr>
      <w:r>
        <w:rPr>
          <w:rFonts w:ascii="Arial" w:cs="Arial" w:eastAsia="Arial" w:hAnsi="Arial"/>
          <w:sz w:val="16"/>
          <w:szCs w:val="16"/>
          <w:color w:val="auto"/>
        </w:rPr>
        <w:t>Health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-115570</wp:posOffset>
            </wp:positionV>
            <wp:extent cx="581088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10885" cy="128270"/>
                    </a:xfrm>
                    <a:prstGeom prst="rect">
                      <a:avLst/>
                    </a:prstGeom>
                    <a:noFill/>
                  </pic:spPr>
                </pic:pic>
              </a:graphicData>
            </a:graphic>
          </wp:anchor>
        </w:drawing>
      </w:r>
    </w:p>
    <w:p>
      <w:pPr>
        <w:ind w:left="565"/>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2018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20" w:type="dxa"/>
            <w:vAlign w:val="bottom"/>
            <w:tcBorders>
              <w:top w:val="single" w:sz="8" w:color="auto"/>
            </w:tcBorders>
            <w:gridSpan w:val="2"/>
          </w:tcPr>
          <w:p>
            <w:pPr>
              <w:jc w:val="center"/>
              <w:ind w:right="200"/>
              <w:spacing w:after="0" w:line="167" w:lineRule="exact"/>
              <w:rPr>
                <w:sz w:val="20"/>
                <w:szCs w:val="20"/>
                <w:color w:val="auto"/>
              </w:rPr>
            </w:pPr>
            <w:r>
              <w:rPr>
                <w:rFonts w:ascii="Arial" w:cs="Arial" w:eastAsia="Arial" w:hAnsi="Arial"/>
                <w:sz w:val="16"/>
                <w:szCs w:val="16"/>
                <w:b w:val="1"/>
                <w:bCs w:val="1"/>
                <w:color w:val="auto"/>
                <w:w w:val="89"/>
              </w:rPr>
              <w:t>Technical</w:t>
            </w:r>
          </w:p>
        </w:tc>
        <w:tc>
          <w:tcPr>
            <w:tcW w:w="1180" w:type="dxa"/>
            <w:vAlign w:val="bottom"/>
            <w:tcBorders>
              <w:top w:val="single" w:sz="8" w:color="auto"/>
            </w:tcBorders>
            <w:gridSpan w:val="2"/>
          </w:tcPr>
          <w:p>
            <w:pPr>
              <w:jc w:val="center"/>
              <w:ind w:right="180"/>
              <w:spacing w:after="0" w:line="167" w:lineRule="exact"/>
              <w:rPr>
                <w:sz w:val="20"/>
                <w:szCs w:val="20"/>
                <w:color w:val="auto"/>
              </w:rPr>
            </w:pPr>
            <w:r>
              <w:rPr>
                <w:rFonts w:ascii="Arial" w:cs="Arial" w:eastAsia="Arial" w:hAnsi="Arial"/>
                <w:sz w:val="16"/>
                <w:szCs w:val="16"/>
                <w:b w:val="1"/>
                <w:bCs w:val="1"/>
                <w:color w:val="auto"/>
                <w:w w:val="86"/>
              </w:rPr>
              <w:t>Technical</w:t>
            </w: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reserves for</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reserves for</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claims</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premiums (*)</w:t>
            </w:r>
          </w:p>
        </w:tc>
        <w:tc>
          <w:tcPr>
            <w:tcW w:w="1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Total</w:t>
            </w:r>
          </w:p>
        </w:tc>
      </w:tr>
      <w:tr>
        <w:trPr>
          <w:trHeight w:val="198"/>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 w:type="dxa"/>
            <w:vAlign w:val="bottom"/>
          </w:tcPr>
          <w:p>
            <w:pPr>
              <w:spacing w:after="0"/>
              <w:rPr>
                <w:sz w:val="17"/>
                <w:szCs w:val="17"/>
                <w:color w:val="auto"/>
              </w:rPr>
            </w:pPr>
          </w:p>
        </w:tc>
      </w:tr>
      <w:tr>
        <w:trPr>
          <w:trHeight w:val="352"/>
        </w:trPr>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732,868</w:t>
            </w:r>
          </w:p>
        </w:tc>
        <w:tc>
          <w:tcPr>
            <w:tcW w:w="1000" w:type="dxa"/>
            <w:vAlign w:val="bottom"/>
          </w:tcPr>
          <w:p>
            <w:pPr>
              <w:jc w:val="right"/>
              <w:spacing w:after="0"/>
              <w:rPr>
                <w:sz w:val="20"/>
                <w:szCs w:val="20"/>
                <w:color w:val="auto"/>
              </w:rPr>
            </w:pPr>
            <w:r>
              <w:rPr>
                <w:rFonts w:ascii="Arial" w:cs="Arial" w:eastAsia="Arial" w:hAnsi="Arial"/>
                <w:sz w:val="16"/>
                <w:szCs w:val="16"/>
                <w:color w:val="auto"/>
              </w:rPr>
              <w:t>6,329,512</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7,062,380</w:t>
            </w:r>
          </w:p>
        </w:tc>
        <w:tc>
          <w:tcPr>
            <w:tcW w:w="20" w:type="dxa"/>
            <w:vAlign w:val="bottom"/>
          </w:tcPr>
          <w:p>
            <w:pPr>
              <w:spacing w:after="0"/>
              <w:rPr>
                <w:sz w:val="24"/>
                <w:szCs w:val="24"/>
                <w:color w:val="auto"/>
              </w:rPr>
            </w:pPr>
          </w:p>
        </w:tc>
      </w:tr>
      <w:tr>
        <w:trPr>
          <w:trHeight w:val="201"/>
        </w:trPr>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562,430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593,938</w:t>
            </w:r>
          </w:p>
        </w:tc>
        <w:tc>
          <w:tcPr>
            <w:tcW w:w="1000" w:type="dxa"/>
            <w:vAlign w:val="bottom"/>
          </w:tcPr>
          <w:p>
            <w:pPr>
              <w:jc w:val="right"/>
              <w:spacing w:after="0"/>
              <w:rPr>
                <w:sz w:val="20"/>
                <w:szCs w:val="20"/>
                <w:color w:val="auto"/>
              </w:rPr>
            </w:pPr>
            <w:r>
              <w:rPr>
                <w:rFonts w:ascii="Arial" w:cs="Arial" w:eastAsia="Arial" w:hAnsi="Arial"/>
                <w:sz w:val="16"/>
                <w:szCs w:val="16"/>
                <w:color w:val="auto"/>
              </w:rPr>
              <w:t>1,156,368</w:t>
            </w:r>
          </w:p>
        </w:tc>
        <w:tc>
          <w:tcPr>
            <w:tcW w:w="20" w:type="dxa"/>
            <w:vAlign w:val="bottom"/>
          </w:tcPr>
          <w:p>
            <w:pPr>
              <w:spacing w:after="0"/>
              <w:rPr>
                <w:sz w:val="17"/>
                <w:szCs w:val="17"/>
                <w:color w:val="auto"/>
              </w:rPr>
            </w:pPr>
          </w:p>
        </w:tc>
      </w:tr>
      <w:tr>
        <w:trPr>
          <w:trHeight w:val="202"/>
        </w:trPr>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71,372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162,551</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233,923</w:t>
            </w:r>
          </w:p>
        </w:tc>
      </w:tr>
      <w:tr>
        <w:trPr>
          <w:trHeight w:val="194"/>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1,366,670</w:t>
            </w:r>
          </w:p>
        </w:tc>
        <w:tc>
          <w:tcPr>
            <w:tcW w:w="2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7,086,001</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8,452,671</w:t>
            </w:r>
          </w:p>
        </w:tc>
        <w:tc>
          <w:tcPr>
            <w:tcW w:w="20" w:type="dxa"/>
            <w:vAlign w:val="bottom"/>
          </w:tcPr>
          <w:p>
            <w:pPr>
              <w:spacing w:after="0"/>
              <w:rPr>
                <w:sz w:val="16"/>
                <w:szCs w:val="16"/>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6"/>
        </w:trPr>
        <w:tc>
          <w:tcPr>
            <w:tcW w:w="1220" w:type="dxa"/>
            <w:vAlign w:val="bottom"/>
            <w:gridSpan w:val="2"/>
          </w:tcPr>
          <w:p>
            <w:pPr>
              <w:jc w:val="center"/>
              <w:ind w:right="200"/>
              <w:spacing w:after="0" w:line="166" w:lineRule="exact"/>
              <w:rPr>
                <w:sz w:val="20"/>
                <w:szCs w:val="20"/>
                <w:color w:val="auto"/>
              </w:rPr>
            </w:pPr>
            <w:r>
              <w:rPr>
                <w:rFonts w:ascii="Arial" w:cs="Arial" w:eastAsia="Arial" w:hAnsi="Arial"/>
                <w:sz w:val="16"/>
                <w:szCs w:val="16"/>
                <w:b w:val="1"/>
                <w:bCs w:val="1"/>
                <w:color w:val="auto"/>
                <w:w w:val="89"/>
              </w:rPr>
              <w:t>Technical</w:t>
            </w:r>
          </w:p>
        </w:tc>
        <w:tc>
          <w:tcPr>
            <w:tcW w:w="1180" w:type="dxa"/>
            <w:vAlign w:val="bottom"/>
            <w:gridSpan w:val="2"/>
          </w:tcPr>
          <w:p>
            <w:pPr>
              <w:jc w:val="center"/>
              <w:ind w:right="180"/>
              <w:spacing w:after="0" w:line="166" w:lineRule="exact"/>
              <w:rPr>
                <w:sz w:val="20"/>
                <w:szCs w:val="20"/>
                <w:color w:val="auto"/>
              </w:rPr>
            </w:pPr>
            <w:r>
              <w:rPr>
                <w:rFonts w:ascii="Arial" w:cs="Arial" w:eastAsia="Arial" w:hAnsi="Arial"/>
                <w:sz w:val="16"/>
                <w:szCs w:val="16"/>
                <w:b w:val="1"/>
                <w:bCs w:val="1"/>
                <w:color w:val="auto"/>
                <w:w w:val="86"/>
              </w:rPr>
              <w:t>Technical</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reserves for</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reserves for</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claims</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premiums (*)</w:t>
            </w:r>
          </w:p>
        </w:tc>
        <w:tc>
          <w:tcPr>
            <w:tcW w:w="1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Total</w:t>
            </w:r>
          </w:p>
        </w:tc>
      </w:tr>
      <w:tr>
        <w:trPr>
          <w:trHeight w:val="198"/>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 w:type="dxa"/>
            <w:vAlign w:val="bottom"/>
          </w:tcPr>
          <w:p>
            <w:pPr>
              <w:spacing w:after="0"/>
              <w:rPr>
                <w:sz w:val="17"/>
                <w:szCs w:val="17"/>
                <w:color w:val="auto"/>
              </w:rPr>
            </w:pPr>
          </w:p>
        </w:tc>
      </w:tr>
      <w:tr>
        <w:trPr>
          <w:trHeight w:val="352"/>
        </w:trPr>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626,871</w:t>
            </w:r>
          </w:p>
        </w:tc>
        <w:tc>
          <w:tcPr>
            <w:tcW w:w="1000" w:type="dxa"/>
            <w:vAlign w:val="bottom"/>
          </w:tcPr>
          <w:p>
            <w:pPr>
              <w:jc w:val="right"/>
              <w:spacing w:after="0"/>
              <w:rPr>
                <w:sz w:val="20"/>
                <w:szCs w:val="20"/>
                <w:color w:val="auto"/>
              </w:rPr>
            </w:pPr>
            <w:r>
              <w:rPr>
                <w:rFonts w:ascii="Arial" w:cs="Arial" w:eastAsia="Arial" w:hAnsi="Arial"/>
                <w:sz w:val="16"/>
                <w:szCs w:val="16"/>
                <w:color w:val="auto"/>
              </w:rPr>
              <w:t>5,599,777</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6,226,648</w:t>
            </w:r>
          </w:p>
        </w:tc>
        <w:tc>
          <w:tcPr>
            <w:tcW w:w="20" w:type="dxa"/>
            <w:vAlign w:val="bottom"/>
          </w:tcPr>
          <w:p>
            <w:pPr>
              <w:spacing w:after="0"/>
              <w:rPr>
                <w:sz w:val="24"/>
                <w:szCs w:val="24"/>
                <w:color w:val="auto"/>
              </w:rPr>
            </w:pPr>
          </w:p>
        </w:tc>
      </w:tr>
      <w:tr>
        <w:trPr>
          <w:trHeight w:val="201"/>
        </w:trPr>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484,608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513,826</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998,434</w:t>
            </w:r>
          </w:p>
        </w:tc>
      </w:tr>
      <w:tr>
        <w:trPr>
          <w:trHeight w:val="202"/>
        </w:trPr>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69,373</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149,305</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218,678</w:t>
            </w:r>
          </w:p>
        </w:tc>
      </w:tr>
      <w:tr>
        <w:trPr>
          <w:trHeight w:val="194"/>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1,180,852</w:t>
            </w:r>
          </w:p>
        </w:tc>
        <w:tc>
          <w:tcPr>
            <w:tcW w:w="2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6,262,908</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7,443,760</w:t>
            </w:r>
          </w:p>
        </w:tc>
        <w:tc>
          <w:tcPr>
            <w:tcW w:w="20" w:type="dxa"/>
            <w:vAlign w:val="bottom"/>
          </w:tcPr>
          <w:p>
            <w:pPr>
              <w:spacing w:after="0"/>
              <w:rPr>
                <w:sz w:val="16"/>
                <w:szCs w:val="16"/>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5525" w:space="720"/>
            <w:col w:w="5200"/>
          </w:cols>
          <w:pgMar w:left="235" w:top="814" w:right="219" w:bottom="1440" w:gutter="0" w:footer="0" w:header="0"/>
          <w:type w:val="continuous"/>
        </w:sectPr>
      </w:pPr>
    </w:p>
    <w:p>
      <w:pPr>
        <w:ind w:left="565" w:right="300" w:firstLine="4"/>
        <w:spacing w:after="0" w:line="269" w:lineRule="auto"/>
        <w:tabs>
          <w:tab w:leader="none" w:pos="78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At December 31, 2018, the life insurance technical reserves include the mathematical reserves of life annuities amounting to S/4,073.3 million (S/3,514.4 million at December 31, 2017).</w:t>
      </w:r>
    </w:p>
    <w:p>
      <w:pPr>
        <w:spacing w:after="0" w:line="157" w:lineRule="exact"/>
        <w:rPr>
          <w:sz w:val="20"/>
          <w:szCs w:val="20"/>
          <w:color w:val="auto"/>
        </w:rPr>
      </w:pPr>
    </w:p>
    <w:p>
      <w:pPr>
        <w:ind w:left="565" w:right="280"/>
        <w:spacing w:after="0" w:line="269" w:lineRule="auto"/>
        <w:rPr>
          <w:sz w:val="20"/>
          <w:szCs w:val="20"/>
          <w:color w:val="auto"/>
        </w:rPr>
      </w:pPr>
      <w:r>
        <w:rPr>
          <w:rFonts w:ascii="Arial" w:cs="Arial" w:eastAsia="Arial" w:hAnsi="Arial"/>
          <w:sz w:val="16"/>
          <w:szCs w:val="16"/>
          <w:color w:val="auto"/>
        </w:rPr>
        <w:t>Insurance claims reserves represent reported claims and an estimate for incurred but non reported claims (IBNR). Reported claims are adjusted on the basis of technical reports received from independent adjusters.</w:t>
      </w:r>
    </w:p>
    <w:p>
      <w:pPr>
        <w:spacing w:after="0" w:line="157" w:lineRule="exact"/>
        <w:rPr>
          <w:sz w:val="20"/>
          <w:szCs w:val="20"/>
          <w:color w:val="auto"/>
        </w:rPr>
      </w:pPr>
    </w:p>
    <w:p>
      <w:pPr>
        <w:ind w:left="565" w:right="460"/>
        <w:spacing w:after="0" w:line="269" w:lineRule="auto"/>
        <w:rPr>
          <w:sz w:val="20"/>
          <w:szCs w:val="20"/>
          <w:color w:val="auto"/>
        </w:rPr>
      </w:pPr>
      <w:r>
        <w:rPr>
          <w:rFonts w:ascii="Arial" w:cs="Arial" w:eastAsia="Arial" w:hAnsi="Arial"/>
          <w:sz w:val="16"/>
          <w:szCs w:val="16"/>
          <w:color w:val="auto"/>
        </w:rPr>
        <w:t>Insurance claims and technical reserves corresponding to the reinsurers and coinsurers are shown as ceded claims, which are presented in “Accounts receivable from reinsurers and coinsurers” of the consolidated statement of financial position, See Note 9(b).</w:t>
      </w:r>
    </w:p>
    <w:p>
      <w:pPr>
        <w:spacing w:after="0" w:line="157" w:lineRule="exact"/>
        <w:rPr>
          <w:sz w:val="20"/>
          <w:szCs w:val="20"/>
          <w:color w:val="auto"/>
        </w:rPr>
      </w:pPr>
    </w:p>
    <w:p>
      <w:pPr>
        <w:ind w:left="565" w:right="260"/>
        <w:spacing w:after="0" w:line="269" w:lineRule="auto"/>
        <w:rPr>
          <w:sz w:val="20"/>
          <w:szCs w:val="20"/>
          <w:color w:val="auto"/>
        </w:rPr>
      </w:pPr>
      <w:r>
        <w:rPr>
          <w:rFonts w:ascii="Arial" w:cs="Arial" w:eastAsia="Arial" w:hAnsi="Arial"/>
          <w:sz w:val="16"/>
          <w:szCs w:val="16"/>
          <w:color w:val="auto"/>
        </w:rPr>
        <w:t>At December 31, 2018, the reserves for direct claims include reserves for IBNR for life, general and health insurance for an amount of S/314.5 million, S/16.7 million y S/50.2 million, respectively (S/282.4 million, S/11.3 million and S/47.6 million, respectively, at December 31, 2017).</w:t>
      </w:r>
    </w:p>
    <w:p>
      <w:pPr>
        <w:spacing w:after="0" w:line="34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4" w:right="219" w:bottom="1440" w:gutter="0" w:footer="0" w:header="0"/>
          <w:type w:val="continuous"/>
        </w:sectPr>
      </w:pPr>
    </w:p>
    <w:bookmarkStart w:id="100" w:name="page101"/>
    <w:bookmarkEnd w:id="100"/>
    <w:p>
      <w:pPr>
        <w:jc w:val="both"/>
        <w:ind w:left="280"/>
        <w:spacing w:after="0" w:line="258" w:lineRule="auto"/>
        <w:rPr>
          <w:sz w:val="20"/>
          <w:szCs w:val="20"/>
          <w:color w:val="auto"/>
        </w:rPr>
      </w:pPr>
      <w:r>
        <w:rPr>
          <w:rFonts w:ascii="Arial" w:cs="Arial" w:eastAsia="Arial" w:hAnsi="Arial"/>
          <w:sz w:val="16"/>
          <w:szCs w:val="16"/>
          <w:color w:val="auto"/>
        </w:rPr>
        <w:t>At December 31, 2018 and in previous years, the differences between the estimates for the incurred and non-reported claims and the settled and pending liquidation claims have not been significant. In the case of general risks and health, retrospective analysis indicates that the amounts accrued are adequate and Management believes that the estimated IBNR reserve is sufficient to cover any liability as of December 31, 2018 and 2017.</w:t>
      </w:r>
    </w:p>
    <w:p>
      <w:pPr>
        <w:spacing w:after="0" w:line="165" w:lineRule="exact"/>
        <w:rPr>
          <w:sz w:val="20"/>
          <w:szCs w:val="20"/>
          <w:color w:val="auto"/>
        </w:rPr>
      </w:pPr>
    </w:p>
    <w:p>
      <w:pPr>
        <w:ind w:left="280" w:right="160"/>
        <w:spacing w:after="0" w:line="342" w:lineRule="auto"/>
        <w:rPr>
          <w:sz w:val="20"/>
          <w:szCs w:val="20"/>
          <w:color w:val="auto"/>
        </w:rPr>
      </w:pPr>
      <w:r>
        <w:rPr>
          <w:rFonts w:ascii="Arial" w:cs="Arial" w:eastAsia="Arial" w:hAnsi="Arial"/>
          <w:sz w:val="14"/>
          <w:szCs w:val="14"/>
          <w:color w:val="auto"/>
        </w:rPr>
        <w:t>Technical reserves comprise reserves for future benefit obligation under its in-force life, annuities and accident insurance policies and the unearned premium reserves in respect of the portion of premiums written that is allocable to the unexpired portion of the related policy periods for general and health insurance products.</w:t>
      </w:r>
    </w:p>
    <w:p>
      <w:pPr>
        <w:spacing w:after="0" w:line="11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Movement of insurance claims reserves (direct and assumed), occurred during the years 2018 and 2017:</w:t>
      </w:r>
    </w:p>
    <w:p>
      <w:pPr>
        <w:spacing w:after="0" w:line="203"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2018</w:t>
      </w:r>
    </w:p>
    <w:p>
      <w:pPr>
        <w:sectPr>
          <w:pgSz w:w="11900" w:h="16838" w:orient="portrait"/>
          <w:cols w:equalWidth="0" w:num="1">
            <w:col w:w="11080"/>
          </w:cols>
          <w:pgMar w:left="520" w:top="81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Beginning balance</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Claims, Note 25</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Exchange difference</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Beginning balance</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Claims, Note 25</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Exchange difference</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Ending balance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380" w:type="dxa"/>
            <w:vAlign w:val="bottom"/>
            <w:tcBorders>
              <w:top w:val="single" w:sz="8" w:color="auto"/>
            </w:tcBorders>
            <w:gridSpan w:val="2"/>
          </w:tcPr>
          <w:p>
            <w:pPr>
              <w:jc w:val="center"/>
              <w:ind w:right="200"/>
              <w:spacing w:after="0" w:line="167" w:lineRule="exact"/>
              <w:rPr>
                <w:sz w:val="20"/>
                <w:szCs w:val="20"/>
                <w:color w:val="auto"/>
              </w:rPr>
            </w:pPr>
            <w:r>
              <w:rPr>
                <w:rFonts w:ascii="Arial" w:cs="Arial" w:eastAsia="Arial" w:hAnsi="Arial"/>
                <w:sz w:val="16"/>
                <w:szCs w:val="16"/>
                <w:b w:val="1"/>
                <w:bCs w:val="1"/>
                <w:color w:val="auto"/>
                <w:w w:val="91"/>
              </w:rPr>
              <w:t>Life</w:t>
            </w:r>
          </w:p>
        </w:tc>
        <w:tc>
          <w:tcPr>
            <w:tcW w:w="1540" w:type="dxa"/>
            <w:vAlign w:val="bottom"/>
            <w:tcBorders>
              <w:top w:val="single" w:sz="8" w:color="auto"/>
            </w:tcBorders>
            <w:gridSpan w:val="3"/>
          </w:tcPr>
          <w:p>
            <w:pPr>
              <w:jc w:val="center"/>
              <w:ind w:right="360"/>
              <w:spacing w:after="0" w:line="167" w:lineRule="exact"/>
              <w:rPr>
                <w:sz w:val="20"/>
                <w:szCs w:val="20"/>
                <w:color w:val="auto"/>
              </w:rPr>
            </w:pPr>
            <w:r>
              <w:rPr>
                <w:rFonts w:ascii="Arial" w:cs="Arial" w:eastAsia="Arial" w:hAnsi="Arial"/>
                <w:sz w:val="16"/>
                <w:szCs w:val="16"/>
                <w:b w:val="1"/>
                <w:bCs w:val="1"/>
                <w:color w:val="auto"/>
                <w:w w:val="90"/>
              </w:rPr>
              <w:t>General</w:t>
            </w:r>
          </w:p>
        </w:tc>
        <w:tc>
          <w:tcPr>
            <w:tcW w:w="1240" w:type="dxa"/>
            <w:vAlign w:val="bottom"/>
            <w:tcBorders>
              <w:top w:val="single" w:sz="8" w:color="auto"/>
            </w:tcBorders>
            <w:gridSpan w:val="2"/>
          </w:tcPr>
          <w:p>
            <w:pPr>
              <w:jc w:val="center"/>
              <w:ind w:right="360"/>
              <w:spacing w:after="0" w:line="167" w:lineRule="exact"/>
              <w:rPr>
                <w:sz w:val="20"/>
                <w:szCs w:val="20"/>
                <w:color w:val="auto"/>
              </w:rPr>
            </w:pPr>
            <w:r>
              <w:rPr>
                <w:rFonts w:ascii="Arial" w:cs="Arial" w:eastAsia="Arial" w:hAnsi="Arial"/>
                <w:sz w:val="16"/>
                <w:szCs w:val="16"/>
                <w:b w:val="1"/>
                <w:bCs w:val="1"/>
                <w:color w:val="auto"/>
                <w:w w:val="89"/>
              </w:rPr>
              <w:t>Health</w:t>
            </w:r>
          </w:p>
        </w:tc>
        <w:tc>
          <w:tcPr>
            <w:tcW w:w="1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5"/>
        </w:trPr>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insurance</w:t>
            </w:r>
          </w:p>
        </w:tc>
        <w:tc>
          <w:tcPr>
            <w:tcW w:w="15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insurance</w:t>
            </w: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insurance</w:t>
            </w:r>
          </w:p>
        </w:tc>
        <w:tc>
          <w:tcPr>
            <w:tcW w:w="12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Total</w:t>
            </w:r>
          </w:p>
        </w:tc>
      </w:tr>
      <w:tr>
        <w:trPr>
          <w:trHeight w:val="198"/>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60" w:type="dxa"/>
            <w:vAlign w:val="bottom"/>
          </w:tcPr>
          <w:p>
            <w:pPr>
              <w:spacing w:after="0"/>
              <w:rPr>
                <w:sz w:val="17"/>
                <w:szCs w:val="17"/>
                <w:color w:val="auto"/>
              </w:rPr>
            </w:pPr>
          </w:p>
        </w:tc>
      </w:tr>
      <w:tr>
        <w:trPr>
          <w:trHeight w:val="352"/>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626,871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484,608</w:t>
            </w: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69,373</w:t>
            </w:r>
          </w:p>
        </w:tc>
        <w:tc>
          <w:tcPr>
            <w:tcW w:w="1160" w:type="dxa"/>
            <w:vAlign w:val="bottom"/>
          </w:tcPr>
          <w:p>
            <w:pPr>
              <w:jc w:val="right"/>
              <w:spacing w:after="0"/>
              <w:rPr>
                <w:sz w:val="20"/>
                <w:szCs w:val="20"/>
                <w:color w:val="auto"/>
              </w:rPr>
            </w:pPr>
            <w:r>
              <w:rPr>
                <w:rFonts w:ascii="Arial" w:cs="Arial" w:eastAsia="Arial" w:hAnsi="Arial"/>
                <w:sz w:val="16"/>
                <w:szCs w:val="16"/>
                <w:color w:val="auto"/>
              </w:rPr>
              <w:t>1,180,852</w:t>
            </w:r>
          </w:p>
        </w:tc>
        <w:tc>
          <w:tcPr>
            <w:tcW w:w="60" w:type="dxa"/>
            <w:vAlign w:val="bottom"/>
          </w:tcPr>
          <w:p>
            <w:pPr>
              <w:spacing w:after="0"/>
              <w:rPr>
                <w:sz w:val="24"/>
                <w:szCs w:val="24"/>
                <w:color w:val="auto"/>
              </w:rPr>
            </w:pPr>
          </w:p>
        </w:tc>
      </w:tr>
      <w:tr>
        <w:trPr>
          <w:trHeight w:val="190"/>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737,982</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562,440</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307,182</w:t>
            </w:r>
          </w:p>
        </w:tc>
        <w:tc>
          <w:tcPr>
            <w:tcW w:w="1160" w:type="dxa"/>
            <w:vAlign w:val="bottom"/>
          </w:tcPr>
          <w:p>
            <w:pPr>
              <w:jc w:val="right"/>
              <w:spacing w:after="0"/>
              <w:rPr>
                <w:sz w:val="20"/>
                <w:szCs w:val="20"/>
                <w:color w:val="auto"/>
              </w:rPr>
            </w:pPr>
            <w:r>
              <w:rPr>
                <w:rFonts w:ascii="Arial" w:cs="Arial" w:eastAsia="Arial" w:hAnsi="Arial"/>
                <w:sz w:val="16"/>
                <w:szCs w:val="16"/>
                <w:color w:val="auto"/>
              </w:rPr>
              <w:t>1,607,604</w:t>
            </w:r>
          </w:p>
        </w:tc>
        <w:tc>
          <w:tcPr>
            <w:tcW w:w="60" w:type="dxa"/>
            <w:vAlign w:val="bottom"/>
          </w:tcPr>
          <w:p>
            <w:pPr>
              <w:spacing w:after="0"/>
              <w:rPr>
                <w:sz w:val="16"/>
                <w:szCs w:val="16"/>
                <w:color w:val="auto"/>
              </w:rPr>
            </w:pPr>
          </w:p>
        </w:tc>
      </w:tr>
      <w:tr>
        <w:trPr>
          <w:trHeight w:val="201"/>
        </w:trPr>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(635,345)</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(505,069)</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(305,257)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(1,445,671)</w:t>
            </w:r>
          </w:p>
        </w:tc>
      </w:tr>
      <w:tr>
        <w:trPr>
          <w:trHeight w:val="202"/>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3,360</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20,451</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74</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23,885</w:t>
            </w:r>
          </w:p>
        </w:tc>
      </w:tr>
      <w:tr>
        <w:trPr>
          <w:trHeight w:val="194"/>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732,868</w:t>
            </w:r>
          </w:p>
        </w:tc>
        <w:tc>
          <w:tcPr>
            <w:tcW w:w="2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562,430</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71,372</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1,366,670</w:t>
            </w:r>
          </w:p>
        </w:tc>
        <w:tc>
          <w:tcPr>
            <w:tcW w:w="60" w:type="dxa"/>
            <w:vAlign w:val="bottom"/>
          </w:tcPr>
          <w:p>
            <w:pPr>
              <w:spacing w:after="0"/>
              <w:rPr>
                <w:sz w:val="16"/>
                <w:szCs w:val="16"/>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6"/>
        </w:trPr>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6"/>
        </w:trPr>
        <w:tc>
          <w:tcPr>
            <w:tcW w:w="1380" w:type="dxa"/>
            <w:vAlign w:val="bottom"/>
            <w:gridSpan w:val="2"/>
          </w:tcPr>
          <w:p>
            <w:pPr>
              <w:jc w:val="center"/>
              <w:ind w:right="200"/>
              <w:spacing w:after="0" w:line="166" w:lineRule="exact"/>
              <w:rPr>
                <w:sz w:val="20"/>
                <w:szCs w:val="20"/>
                <w:color w:val="auto"/>
              </w:rPr>
            </w:pPr>
            <w:r>
              <w:rPr>
                <w:rFonts w:ascii="Arial" w:cs="Arial" w:eastAsia="Arial" w:hAnsi="Arial"/>
                <w:sz w:val="16"/>
                <w:szCs w:val="16"/>
                <w:b w:val="1"/>
                <w:bCs w:val="1"/>
                <w:color w:val="auto"/>
                <w:w w:val="91"/>
              </w:rPr>
              <w:t>Life</w:t>
            </w:r>
          </w:p>
        </w:tc>
        <w:tc>
          <w:tcPr>
            <w:tcW w:w="1540" w:type="dxa"/>
            <w:vAlign w:val="bottom"/>
            <w:gridSpan w:val="3"/>
          </w:tcPr>
          <w:p>
            <w:pPr>
              <w:jc w:val="center"/>
              <w:ind w:right="360"/>
              <w:spacing w:after="0" w:line="166" w:lineRule="exact"/>
              <w:rPr>
                <w:sz w:val="20"/>
                <w:szCs w:val="20"/>
                <w:color w:val="auto"/>
              </w:rPr>
            </w:pPr>
            <w:r>
              <w:rPr>
                <w:rFonts w:ascii="Arial" w:cs="Arial" w:eastAsia="Arial" w:hAnsi="Arial"/>
                <w:sz w:val="16"/>
                <w:szCs w:val="16"/>
                <w:b w:val="1"/>
                <w:bCs w:val="1"/>
                <w:color w:val="auto"/>
                <w:w w:val="90"/>
              </w:rPr>
              <w:t>General</w:t>
            </w:r>
          </w:p>
        </w:tc>
        <w:tc>
          <w:tcPr>
            <w:tcW w:w="1240" w:type="dxa"/>
            <w:vAlign w:val="bottom"/>
            <w:gridSpan w:val="2"/>
          </w:tcPr>
          <w:p>
            <w:pPr>
              <w:jc w:val="center"/>
              <w:ind w:right="360"/>
              <w:spacing w:after="0" w:line="166" w:lineRule="exact"/>
              <w:rPr>
                <w:sz w:val="20"/>
                <w:szCs w:val="20"/>
                <w:color w:val="auto"/>
              </w:rPr>
            </w:pPr>
            <w:r>
              <w:rPr>
                <w:rFonts w:ascii="Arial" w:cs="Arial" w:eastAsia="Arial" w:hAnsi="Arial"/>
                <w:sz w:val="16"/>
                <w:szCs w:val="16"/>
                <w:b w:val="1"/>
                <w:bCs w:val="1"/>
                <w:color w:val="auto"/>
                <w:w w:val="89"/>
              </w:rPr>
              <w:t>Health</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5"/>
        </w:trPr>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insurance</w:t>
            </w:r>
          </w:p>
        </w:tc>
        <w:tc>
          <w:tcPr>
            <w:tcW w:w="15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insurance</w:t>
            </w: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insurance</w:t>
            </w:r>
          </w:p>
        </w:tc>
        <w:tc>
          <w:tcPr>
            <w:tcW w:w="12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Total</w:t>
            </w:r>
          </w:p>
        </w:tc>
      </w:tr>
      <w:tr>
        <w:trPr>
          <w:trHeight w:val="198"/>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60" w:type="dxa"/>
            <w:vAlign w:val="bottom"/>
          </w:tcPr>
          <w:p>
            <w:pPr>
              <w:spacing w:after="0"/>
              <w:rPr>
                <w:sz w:val="17"/>
                <w:szCs w:val="17"/>
                <w:color w:val="auto"/>
              </w:rPr>
            </w:pPr>
          </w:p>
        </w:tc>
      </w:tr>
      <w:tr>
        <w:trPr>
          <w:trHeight w:val="352"/>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551,516</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325,748</w:t>
            </w: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60,733</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937,997</w:t>
            </w:r>
          </w:p>
        </w:tc>
      </w:tr>
      <w:tr>
        <w:trPr>
          <w:trHeight w:val="190"/>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646,026</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661,108</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294,557</w:t>
            </w:r>
          </w:p>
        </w:tc>
        <w:tc>
          <w:tcPr>
            <w:tcW w:w="1160" w:type="dxa"/>
            <w:vAlign w:val="bottom"/>
          </w:tcPr>
          <w:p>
            <w:pPr>
              <w:jc w:val="right"/>
              <w:spacing w:after="0"/>
              <w:rPr>
                <w:sz w:val="20"/>
                <w:szCs w:val="20"/>
                <w:color w:val="auto"/>
              </w:rPr>
            </w:pPr>
            <w:r>
              <w:rPr>
                <w:rFonts w:ascii="Arial" w:cs="Arial" w:eastAsia="Arial" w:hAnsi="Arial"/>
                <w:sz w:val="16"/>
                <w:szCs w:val="16"/>
                <w:color w:val="auto"/>
              </w:rPr>
              <w:t>1,601,691</w:t>
            </w:r>
          </w:p>
        </w:tc>
        <w:tc>
          <w:tcPr>
            <w:tcW w:w="60" w:type="dxa"/>
            <w:vAlign w:val="bottom"/>
          </w:tcPr>
          <w:p>
            <w:pPr>
              <w:spacing w:after="0"/>
              <w:rPr>
                <w:sz w:val="16"/>
                <w:szCs w:val="16"/>
                <w:color w:val="auto"/>
              </w:rPr>
            </w:pPr>
          </w:p>
        </w:tc>
      </w:tr>
      <w:tr>
        <w:trPr>
          <w:trHeight w:val="190"/>
        </w:trPr>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(569,108)</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(491,108)</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(285,899)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(1,346,115)</w:t>
            </w:r>
          </w:p>
        </w:tc>
      </w:tr>
      <w:tr>
        <w:trPr>
          <w:trHeight w:val="213"/>
        </w:trPr>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(1,563)</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(11,140)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(12,721)</w:t>
            </w:r>
          </w:p>
        </w:tc>
      </w:tr>
      <w:tr>
        <w:trPr>
          <w:trHeight w:val="194"/>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626,871</w:t>
            </w:r>
          </w:p>
        </w:tc>
        <w:tc>
          <w:tcPr>
            <w:tcW w:w="2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484,608</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69,373</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1,180,852</w:t>
            </w:r>
          </w:p>
        </w:tc>
        <w:tc>
          <w:tcPr>
            <w:tcW w:w="60" w:type="dxa"/>
            <w:vAlign w:val="bottom"/>
          </w:tcPr>
          <w:p>
            <w:pPr>
              <w:spacing w:after="0"/>
              <w:rPr>
                <w:sz w:val="16"/>
                <w:szCs w:val="16"/>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-2159635</wp:posOffset>
            </wp:positionV>
            <wp:extent cx="6751320" cy="1206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51320" cy="12065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-1918970</wp:posOffset>
            </wp:positionV>
            <wp:extent cx="6751320" cy="1206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51320" cy="12065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-1677670</wp:posOffset>
            </wp:positionV>
            <wp:extent cx="6751320" cy="128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51320" cy="12827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-646430</wp:posOffset>
            </wp:positionV>
            <wp:extent cx="6751320" cy="1206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51320" cy="12065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-405765</wp:posOffset>
            </wp:positionV>
            <wp:extent cx="6751320" cy="120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51320" cy="12065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-157480</wp:posOffset>
            </wp:positionV>
            <wp:extent cx="6751320" cy="142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5132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580"/>
          </w:cols>
          <w:pgMar w:left="520" w:top="814" w:right="299" w:bottom="1440" w:gutter="0" w:footer="0" w:header="0"/>
          <w:type w:val="continuous"/>
        </w:sectPr>
      </w:pPr>
    </w:p>
    <w:p>
      <w:pPr>
        <w:spacing w:after="0" w:line="167"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19050</wp:posOffset>
            </wp:positionV>
            <wp:extent cx="726313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080"/>
          </w:cols>
          <w:pgMar w:left="520" w:top="814" w:right="2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1"/>
        </w:trPr>
        <w:tc>
          <w:tcPr>
            <w:tcW w:w="5000" w:type="dxa"/>
            <w:vAlign w:val="bottom"/>
            <w:gridSpan w:val="2"/>
          </w:tcPr>
          <w:p>
            <w:pPr>
              <w:ind w:left="280"/>
              <w:spacing w:after="0"/>
              <w:rPr>
                <w:sz w:val="20"/>
                <w:szCs w:val="20"/>
                <w:color w:val="auto"/>
              </w:rPr>
            </w:pPr>
            <w:r>
              <w:rPr>
                <w:rFonts w:ascii="Arial" w:cs="Arial" w:eastAsia="Arial" w:hAnsi="Arial"/>
                <w:sz w:val="16"/>
                <w:szCs w:val="16"/>
                <w:color w:val="auto"/>
              </w:rPr>
              <w:t>c)  Technical reserves occurred during the years 2018 and 2017:</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92"/>
        </w:trPr>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2018</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2"/>
          </w:tcPr>
          <w:p>
            <w:pPr>
              <w:jc w:val="center"/>
              <w:ind w:right="200"/>
              <w:spacing w:after="0" w:line="166" w:lineRule="exact"/>
              <w:rPr>
                <w:sz w:val="20"/>
                <w:szCs w:val="20"/>
                <w:color w:val="auto"/>
              </w:rPr>
            </w:pPr>
            <w:r>
              <w:rPr>
                <w:rFonts w:ascii="Arial" w:cs="Arial" w:eastAsia="Arial" w:hAnsi="Arial"/>
                <w:sz w:val="16"/>
                <w:szCs w:val="16"/>
                <w:b w:val="1"/>
                <w:bCs w:val="1"/>
                <w:color w:val="auto"/>
                <w:w w:val="91"/>
              </w:rPr>
              <w:t>Life</w:t>
            </w:r>
          </w:p>
        </w:tc>
        <w:tc>
          <w:tcPr>
            <w:tcW w:w="1540" w:type="dxa"/>
            <w:vAlign w:val="bottom"/>
            <w:gridSpan w:val="3"/>
          </w:tcPr>
          <w:p>
            <w:pPr>
              <w:jc w:val="center"/>
              <w:ind w:right="360"/>
              <w:spacing w:after="0" w:line="166" w:lineRule="exact"/>
              <w:rPr>
                <w:sz w:val="20"/>
                <w:szCs w:val="20"/>
                <w:color w:val="auto"/>
              </w:rPr>
            </w:pPr>
            <w:r>
              <w:rPr>
                <w:rFonts w:ascii="Arial" w:cs="Arial" w:eastAsia="Arial" w:hAnsi="Arial"/>
                <w:sz w:val="16"/>
                <w:szCs w:val="16"/>
                <w:b w:val="1"/>
                <w:bCs w:val="1"/>
                <w:color w:val="auto"/>
                <w:w w:val="90"/>
              </w:rPr>
              <w:t>General</w:t>
            </w:r>
          </w:p>
        </w:tc>
        <w:tc>
          <w:tcPr>
            <w:tcW w:w="1240" w:type="dxa"/>
            <w:vAlign w:val="bottom"/>
            <w:gridSpan w:val="2"/>
          </w:tcPr>
          <w:p>
            <w:pPr>
              <w:jc w:val="center"/>
              <w:ind w:right="360"/>
              <w:spacing w:after="0" w:line="166" w:lineRule="exact"/>
              <w:rPr>
                <w:sz w:val="20"/>
                <w:szCs w:val="20"/>
                <w:color w:val="auto"/>
              </w:rPr>
            </w:pPr>
            <w:r>
              <w:rPr>
                <w:rFonts w:ascii="Arial" w:cs="Arial" w:eastAsia="Arial" w:hAnsi="Arial"/>
                <w:sz w:val="16"/>
                <w:szCs w:val="16"/>
                <w:b w:val="1"/>
                <w:bCs w:val="1"/>
                <w:color w:val="auto"/>
                <w:w w:val="89"/>
              </w:rPr>
              <w:t>Health</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5"/>
        </w:trPr>
        <w:tc>
          <w:tcPr>
            <w:tcW w:w="5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insurance</w:t>
            </w:r>
          </w:p>
        </w:tc>
        <w:tc>
          <w:tcPr>
            <w:tcW w:w="15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insurance</w:t>
            </w: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insurance</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7"/>
                <w:szCs w:val="17"/>
                <w:color w:val="auto"/>
              </w:rPr>
            </w:pPr>
          </w:p>
        </w:tc>
      </w:tr>
      <w:tr>
        <w:trPr>
          <w:trHeight w:val="198"/>
        </w:trPr>
        <w:tc>
          <w:tcPr>
            <w:tcW w:w="5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75"/>
        </w:trPr>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Beginning balance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5,599,777</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513,826</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149,305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6,262,908</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Time course expenses and others</w:t>
            </w:r>
          </w:p>
        </w:tc>
        <w:tc>
          <w:tcPr>
            <w:tcW w:w="2160" w:type="dxa"/>
            <w:vAlign w:val="bottom"/>
            <w:gridSpan w:val="3"/>
          </w:tcPr>
          <w:p>
            <w:pPr>
              <w:jc w:val="right"/>
              <w:ind w:right="160"/>
              <w:spacing w:after="0"/>
              <w:rPr>
                <w:sz w:val="20"/>
                <w:szCs w:val="20"/>
                <w:color w:val="auto"/>
              </w:rPr>
            </w:pPr>
            <w:r>
              <w:rPr>
                <w:rFonts w:ascii="Arial" w:cs="Arial" w:eastAsia="Arial" w:hAnsi="Arial"/>
                <w:sz w:val="16"/>
                <w:szCs w:val="16"/>
                <w:color w:val="auto"/>
              </w:rPr>
              <w:t>(117,965)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(117,965)</w:t>
            </w: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Unearned premium and other technical reserves variation, net</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1,901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64,302</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13,146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79,349</w:t>
            </w: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Insurance subscriptions</w:t>
            </w:r>
          </w:p>
        </w:tc>
        <w:tc>
          <w:tcPr>
            <w:tcW w:w="2160" w:type="dxa"/>
            <w:vAlign w:val="bottom"/>
            <w:gridSpan w:val="3"/>
          </w:tcPr>
          <w:p>
            <w:pPr>
              <w:jc w:val="right"/>
              <w:ind w:right="200"/>
              <w:spacing w:after="0"/>
              <w:rPr>
                <w:sz w:val="20"/>
                <w:szCs w:val="20"/>
                <w:color w:val="auto"/>
              </w:rPr>
            </w:pPr>
            <w:r>
              <w:rPr>
                <w:rFonts w:ascii="Arial" w:cs="Arial" w:eastAsia="Arial" w:hAnsi="Arial"/>
                <w:sz w:val="16"/>
                <w:szCs w:val="16"/>
                <w:color w:val="auto"/>
              </w:rPr>
              <w:t>724,458</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724,458</w:t>
            </w:r>
          </w:p>
        </w:tc>
        <w:tc>
          <w:tcPr>
            <w:tcW w:w="240" w:type="dxa"/>
            <w:vAlign w:val="bottom"/>
          </w:tcPr>
          <w:p>
            <w:pPr>
              <w:spacing w:after="0"/>
              <w:rPr>
                <w:sz w:val="16"/>
                <w:szCs w:val="16"/>
                <w:color w:val="auto"/>
              </w:rPr>
            </w:pPr>
          </w:p>
        </w:tc>
      </w:tr>
      <w:tr>
        <w:trPr>
          <w:trHeight w:val="202"/>
        </w:trPr>
        <w:tc>
          <w:tcPr>
            <w:tcW w:w="56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 and others</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121,341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15,810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137,251</w:t>
            </w:r>
          </w:p>
        </w:tc>
        <w:tc>
          <w:tcPr>
            <w:tcW w:w="240" w:type="dxa"/>
            <w:vAlign w:val="bottom"/>
          </w:tcPr>
          <w:p>
            <w:pPr>
              <w:spacing w:after="0"/>
              <w:rPr>
                <w:sz w:val="17"/>
                <w:szCs w:val="17"/>
                <w:color w:val="auto"/>
              </w:rPr>
            </w:pPr>
          </w:p>
        </w:tc>
      </w:tr>
      <w:tr>
        <w:trPr>
          <w:trHeight w:val="193"/>
        </w:trPr>
        <w:tc>
          <w:tcPr>
            <w:tcW w:w="5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b w:val="1"/>
                <w:bCs w:val="1"/>
                <w:color w:val="auto"/>
              </w:rPr>
              <w:t>Ending balance</w:t>
            </w:r>
          </w:p>
        </w:tc>
        <w:tc>
          <w:tcPr>
            <w:tcW w:w="7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6,329,512</w:t>
            </w:r>
          </w:p>
        </w:tc>
        <w:tc>
          <w:tcPr>
            <w:tcW w:w="2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593,938</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162,551</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7,086,001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66"/>
        </w:trPr>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2"/>
          </w:tcPr>
          <w:p>
            <w:pPr>
              <w:jc w:val="center"/>
              <w:ind w:right="200"/>
              <w:spacing w:after="0" w:line="166" w:lineRule="exact"/>
              <w:rPr>
                <w:sz w:val="20"/>
                <w:szCs w:val="20"/>
                <w:color w:val="auto"/>
              </w:rPr>
            </w:pPr>
            <w:r>
              <w:rPr>
                <w:rFonts w:ascii="Arial" w:cs="Arial" w:eastAsia="Arial" w:hAnsi="Arial"/>
                <w:sz w:val="16"/>
                <w:szCs w:val="16"/>
                <w:b w:val="1"/>
                <w:bCs w:val="1"/>
                <w:color w:val="auto"/>
                <w:w w:val="91"/>
              </w:rPr>
              <w:t>Life</w:t>
            </w:r>
          </w:p>
        </w:tc>
        <w:tc>
          <w:tcPr>
            <w:tcW w:w="1540" w:type="dxa"/>
            <w:vAlign w:val="bottom"/>
            <w:gridSpan w:val="3"/>
          </w:tcPr>
          <w:p>
            <w:pPr>
              <w:jc w:val="center"/>
              <w:ind w:right="360"/>
              <w:spacing w:after="0" w:line="166" w:lineRule="exact"/>
              <w:rPr>
                <w:sz w:val="20"/>
                <w:szCs w:val="20"/>
                <w:color w:val="auto"/>
              </w:rPr>
            </w:pPr>
            <w:r>
              <w:rPr>
                <w:rFonts w:ascii="Arial" w:cs="Arial" w:eastAsia="Arial" w:hAnsi="Arial"/>
                <w:sz w:val="16"/>
                <w:szCs w:val="16"/>
                <w:b w:val="1"/>
                <w:bCs w:val="1"/>
                <w:color w:val="auto"/>
                <w:w w:val="90"/>
              </w:rPr>
              <w:t>General</w:t>
            </w:r>
          </w:p>
        </w:tc>
        <w:tc>
          <w:tcPr>
            <w:tcW w:w="1240" w:type="dxa"/>
            <w:vAlign w:val="bottom"/>
            <w:gridSpan w:val="2"/>
          </w:tcPr>
          <w:p>
            <w:pPr>
              <w:jc w:val="center"/>
              <w:ind w:right="360"/>
              <w:spacing w:after="0" w:line="166" w:lineRule="exact"/>
              <w:rPr>
                <w:sz w:val="20"/>
                <w:szCs w:val="20"/>
                <w:color w:val="auto"/>
              </w:rPr>
            </w:pPr>
            <w:r>
              <w:rPr>
                <w:rFonts w:ascii="Arial" w:cs="Arial" w:eastAsia="Arial" w:hAnsi="Arial"/>
                <w:sz w:val="16"/>
                <w:szCs w:val="16"/>
                <w:b w:val="1"/>
                <w:bCs w:val="1"/>
                <w:color w:val="auto"/>
                <w:w w:val="89"/>
              </w:rPr>
              <w:t>Health</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5"/>
        </w:trPr>
        <w:tc>
          <w:tcPr>
            <w:tcW w:w="5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insurance</w:t>
            </w:r>
          </w:p>
        </w:tc>
        <w:tc>
          <w:tcPr>
            <w:tcW w:w="15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insurance</w:t>
            </w: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insurance</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7"/>
                <w:szCs w:val="17"/>
                <w:color w:val="auto"/>
              </w:rPr>
            </w:pPr>
          </w:p>
        </w:tc>
      </w:tr>
      <w:tr>
        <w:trPr>
          <w:trHeight w:val="198"/>
        </w:trPr>
        <w:tc>
          <w:tcPr>
            <w:tcW w:w="5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75"/>
        </w:trPr>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9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Beginning balance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5,128,974</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574,435</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144,783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5,848,192</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Time course expenses and others</w:t>
            </w:r>
          </w:p>
        </w:tc>
        <w:tc>
          <w:tcPr>
            <w:tcW w:w="2160" w:type="dxa"/>
            <w:vAlign w:val="bottom"/>
            <w:gridSpan w:val="3"/>
          </w:tcPr>
          <w:p>
            <w:pPr>
              <w:jc w:val="right"/>
              <w:ind w:right="200"/>
              <w:spacing w:after="0"/>
              <w:rPr>
                <w:sz w:val="20"/>
                <w:szCs w:val="20"/>
                <w:color w:val="auto"/>
              </w:rPr>
            </w:pPr>
            <w:r>
              <w:rPr>
                <w:rFonts w:ascii="Arial" w:cs="Arial" w:eastAsia="Arial" w:hAnsi="Arial"/>
                <w:sz w:val="16"/>
                <w:szCs w:val="16"/>
                <w:color w:val="auto"/>
              </w:rPr>
              <w:t>77,855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77,855</w:t>
            </w: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Unearned premium and other technical reserves variation, net</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127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(28,992)</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4,621</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(24,244)</w:t>
            </w:r>
          </w:p>
        </w:tc>
        <w:tc>
          <w:tcPr>
            <w:tcW w:w="2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Insurance subscriptions</w:t>
            </w:r>
          </w:p>
        </w:tc>
        <w:tc>
          <w:tcPr>
            <w:tcW w:w="2160" w:type="dxa"/>
            <w:vAlign w:val="bottom"/>
            <w:gridSpan w:val="3"/>
          </w:tcPr>
          <w:p>
            <w:pPr>
              <w:jc w:val="right"/>
              <w:ind w:right="200"/>
              <w:spacing w:after="0"/>
              <w:rPr>
                <w:sz w:val="20"/>
                <w:szCs w:val="20"/>
                <w:color w:val="auto"/>
              </w:rPr>
            </w:pPr>
            <w:r>
              <w:rPr>
                <w:rFonts w:ascii="Arial" w:cs="Arial" w:eastAsia="Arial" w:hAnsi="Arial"/>
                <w:sz w:val="16"/>
                <w:szCs w:val="16"/>
                <w:color w:val="auto"/>
              </w:rPr>
              <w:t>491,519</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491,519</w:t>
            </w:r>
          </w:p>
        </w:tc>
        <w:tc>
          <w:tcPr>
            <w:tcW w:w="240" w:type="dxa"/>
            <w:vAlign w:val="bottom"/>
          </w:tcPr>
          <w:p>
            <w:pPr>
              <w:spacing w:after="0"/>
              <w:rPr>
                <w:sz w:val="16"/>
                <w:szCs w:val="16"/>
                <w:color w:val="auto"/>
              </w:rPr>
            </w:pPr>
          </w:p>
        </w:tc>
      </w:tr>
      <w:tr>
        <w:trPr>
          <w:trHeight w:val="202"/>
        </w:trPr>
        <w:tc>
          <w:tcPr>
            <w:tcW w:w="56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 and others</w:t>
            </w:r>
          </w:p>
        </w:tc>
        <w:tc>
          <w:tcPr>
            <w:tcW w:w="21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(98,698)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(31,617)</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(99)</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(130,414)</w:t>
            </w:r>
          </w:p>
        </w:tc>
        <w:tc>
          <w:tcPr>
            <w:tcW w:w="240" w:type="dxa"/>
            <w:vAlign w:val="bottom"/>
          </w:tcPr>
          <w:p>
            <w:pPr>
              <w:spacing w:after="0"/>
              <w:rPr>
                <w:sz w:val="17"/>
                <w:szCs w:val="17"/>
                <w:color w:val="auto"/>
              </w:rPr>
            </w:pPr>
          </w:p>
        </w:tc>
      </w:tr>
      <w:tr>
        <w:trPr>
          <w:trHeight w:val="193"/>
        </w:trPr>
        <w:tc>
          <w:tcPr>
            <w:tcW w:w="5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b w:val="1"/>
                <w:bCs w:val="1"/>
                <w:color w:val="auto"/>
              </w:rPr>
              <w:t>Ending balance</w:t>
            </w:r>
          </w:p>
        </w:tc>
        <w:tc>
          <w:tcPr>
            <w:tcW w:w="7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5,599,777</w:t>
            </w:r>
          </w:p>
        </w:tc>
        <w:tc>
          <w:tcPr>
            <w:tcW w:w="2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513,826</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149,305</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6,262,908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44"/>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981"/>
              <w:spacing w:after="0"/>
              <w:rPr>
                <w:sz w:val="20"/>
                <w:szCs w:val="20"/>
                <w:color w:val="auto"/>
              </w:rPr>
            </w:pPr>
            <w:r>
              <w:rPr>
                <w:rFonts w:ascii="Arial" w:cs="Arial" w:eastAsia="Arial" w:hAnsi="Arial"/>
                <w:sz w:val="16"/>
                <w:szCs w:val="16"/>
                <w:color w:val="auto"/>
              </w:rPr>
              <w:t>- 95 -</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15" w:right="219" w:bottom="1440" w:gutter="0" w:footer="0" w:header="0"/>
        </w:sectPr>
      </w:pPr>
    </w:p>
    <w:bookmarkStart w:id="102" w:name="page103"/>
    <w:bookmarkEnd w:id="102"/>
    <w:p>
      <w:pPr>
        <w:ind w:right="280"/>
        <w:spacing w:after="0" w:line="269" w:lineRule="auto"/>
        <w:rPr>
          <w:sz w:val="20"/>
          <w:szCs w:val="20"/>
          <w:color w:val="auto"/>
        </w:rPr>
      </w:pPr>
      <w:r>
        <w:rPr>
          <w:rFonts w:ascii="Arial" w:cs="Arial" w:eastAsia="Arial" w:hAnsi="Arial"/>
          <w:sz w:val="16"/>
          <w:szCs w:val="16"/>
          <w:color w:val="auto"/>
        </w:rPr>
        <w:t>At December 31, 2018 and 2017 no additional reserves were needed as a result of the liability adequacy test. The main assumptions used to estimate of retirement, disability and survival annuities and individual life (including Investment link insurance contracts) reserves, as of those dates,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Mortality</w:t>
            </w:r>
          </w:p>
        </w:tc>
        <w:tc>
          <w:tcPr>
            <w:tcW w:w="1600" w:type="dxa"/>
            <w:vAlign w:val="bottom"/>
          </w:tcPr>
          <w:p>
            <w:pPr>
              <w:spacing w:after="0"/>
              <w:rPr>
                <w:sz w:val="14"/>
                <w:szCs w:val="14"/>
                <w:color w:val="auto"/>
              </w:rPr>
            </w:pPr>
          </w:p>
        </w:tc>
        <w:tc>
          <w:tcPr>
            <w:tcW w:w="2960" w:type="dxa"/>
            <w:vAlign w:val="bottom"/>
            <w:gridSpan w:val="4"/>
          </w:tcPr>
          <w:p>
            <w:pPr>
              <w:ind w:left="60"/>
              <w:spacing w:after="0"/>
              <w:rPr>
                <w:sz w:val="20"/>
                <w:szCs w:val="20"/>
                <w:color w:val="auto"/>
              </w:rPr>
            </w:pPr>
            <w:r>
              <w:rPr>
                <w:rFonts w:ascii="Arial" w:cs="Arial" w:eastAsia="Arial" w:hAnsi="Arial"/>
                <w:sz w:val="13"/>
                <w:szCs w:val="13"/>
                <w:b w:val="1"/>
                <w:bCs w:val="1"/>
                <w:color w:val="auto"/>
              </w:rPr>
              <w:t>At December 31, 2018</w:t>
            </w:r>
          </w:p>
        </w:tc>
        <w:tc>
          <w:tcPr>
            <w:tcW w:w="1600" w:type="dxa"/>
            <w:vAlign w:val="bottom"/>
          </w:tcPr>
          <w:p>
            <w:pPr>
              <w:spacing w:after="0"/>
              <w:rPr>
                <w:sz w:val="14"/>
                <w:szCs w:val="14"/>
                <w:color w:val="auto"/>
              </w:rPr>
            </w:pPr>
          </w:p>
        </w:tc>
        <w:tc>
          <w:tcPr>
            <w:tcW w:w="2860" w:type="dxa"/>
            <w:vAlign w:val="bottom"/>
            <w:gridSpan w:val="3"/>
          </w:tcPr>
          <w:p>
            <w:pPr>
              <w:ind w:left="60"/>
              <w:spacing w:after="0"/>
              <w:rPr>
                <w:sz w:val="20"/>
                <w:szCs w:val="20"/>
                <w:color w:val="auto"/>
              </w:rPr>
            </w:pPr>
            <w:r>
              <w:rPr>
                <w:rFonts w:ascii="Arial" w:cs="Arial" w:eastAsia="Arial" w:hAnsi="Arial"/>
                <w:sz w:val="13"/>
                <w:szCs w:val="13"/>
                <w:b w:val="1"/>
                <w:bCs w:val="1"/>
                <w:color w:val="auto"/>
              </w:rPr>
              <w:t>At December 31, 2017</w:t>
            </w:r>
          </w:p>
        </w:tc>
        <w:tc>
          <w:tcPr>
            <w:tcW w:w="0" w:type="dxa"/>
            <w:vAlign w:val="bottom"/>
          </w:tcPr>
          <w:p>
            <w:pPr>
              <w:spacing w:after="0"/>
              <w:rPr>
                <w:sz w:val="1"/>
                <w:szCs w:val="1"/>
                <w:color w:val="auto"/>
              </w:rPr>
            </w:pPr>
          </w:p>
        </w:tc>
      </w:tr>
      <w:tr>
        <w:trPr>
          <w:trHeight w:val="134"/>
        </w:trPr>
        <w:tc>
          <w:tcPr>
            <w:tcW w:w="2420" w:type="dxa"/>
            <w:vAlign w:val="bottom"/>
            <w:gridSpan w:val="2"/>
            <w:vMerge w:val="continue"/>
          </w:tcPr>
          <w:p>
            <w:pPr>
              <w:spacing w:after="0"/>
              <w:rPr>
                <w:sz w:val="11"/>
                <w:szCs w:val="11"/>
                <w:color w:val="auto"/>
              </w:rPr>
            </w:pPr>
          </w:p>
        </w:tc>
        <w:tc>
          <w:tcPr>
            <w:tcW w:w="1600" w:type="dxa"/>
            <w:vAlign w:val="bottom"/>
            <w:tcBorders>
              <w:top w:val="single" w:sz="8" w:color="auto"/>
            </w:tcBorders>
          </w:tcPr>
          <w:p>
            <w:pPr>
              <w:ind w:left="580"/>
              <w:spacing w:after="0" w:line="134" w:lineRule="exact"/>
              <w:rPr>
                <w:sz w:val="20"/>
                <w:szCs w:val="20"/>
                <w:color w:val="auto"/>
              </w:rPr>
            </w:pPr>
            <w:r>
              <w:rPr>
                <w:rFonts w:ascii="Arial" w:cs="Arial" w:eastAsia="Arial" w:hAnsi="Arial"/>
                <w:sz w:val="13"/>
                <w:szCs w:val="13"/>
                <w:b w:val="1"/>
                <w:bCs w:val="1"/>
                <w:color w:val="auto"/>
              </w:rPr>
              <w:t>Mortality table</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tcPr>
          <w:p>
            <w:pPr>
              <w:ind w:left="820"/>
              <w:spacing w:after="0" w:line="134" w:lineRule="exact"/>
              <w:rPr>
                <w:sz w:val="20"/>
                <w:szCs w:val="20"/>
                <w:color w:val="auto"/>
              </w:rPr>
            </w:pPr>
            <w:r>
              <w:rPr>
                <w:rFonts w:ascii="Arial" w:cs="Arial" w:eastAsia="Arial" w:hAnsi="Arial"/>
                <w:sz w:val="13"/>
                <w:szCs w:val="13"/>
                <w:b w:val="1"/>
                <w:bCs w:val="1"/>
                <w:color w:val="auto"/>
              </w:rPr>
              <w:t>Technical rates</w:t>
            </w:r>
          </w:p>
        </w:tc>
        <w:tc>
          <w:tcPr>
            <w:tcW w:w="100" w:type="dxa"/>
            <w:vAlign w:val="bottom"/>
          </w:tcPr>
          <w:p>
            <w:pPr>
              <w:spacing w:after="0"/>
              <w:rPr>
                <w:sz w:val="11"/>
                <w:szCs w:val="11"/>
                <w:color w:val="auto"/>
              </w:rPr>
            </w:pPr>
          </w:p>
        </w:tc>
        <w:tc>
          <w:tcPr>
            <w:tcW w:w="1600" w:type="dxa"/>
            <w:vAlign w:val="bottom"/>
            <w:tcBorders>
              <w:top w:val="single" w:sz="8" w:color="auto"/>
            </w:tcBorders>
          </w:tcPr>
          <w:p>
            <w:pPr>
              <w:ind w:left="600"/>
              <w:spacing w:after="0" w:line="134" w:lineRule="exact"/>
              <w:rPr>
                <w:sz w:val="20"/>
                <w:szCs w:val="20"/>
                <w:color w:val="auto"/>
              </w:rPr>
            </w:pPr>
            <w:r>
              <w:rPr>
                <w:rFonts w:ascii="Arial" w:cs="Arial" w:eastAsia="Arial" w:hAnsi="Arial"/>
                <w:sz w:val="13"/>
                <w:szCs w:val="13"/>
                <w:b w:val="1"/>
                <w:bCs w:val="1"/>
                <w:color w:val="auto"/>
              </w:rPr>
              <w:t>Mortality table</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tcPr>
          <w:p>
            <w:pPr>
              <w:ind w:left="820"/>
              <w:spacing w:after="0" w:line="134" w:lineRule="exact"/>
              <w:rPr>
                <w:sz w:val="20"/>
                <w:szCs w:val="20"/>
                <w:color w:val="auto"/>
              </w:rPr>
            </w:pPr>
            <w:r>
              <w:rPr>
                <w:rFonts w:ascii="Arial" w:cs="Arial" w:eastAsia="Arial" w:hAnsi="Arial"/>
                <w:sz w:val="13"/>
                <w:szCs w:val="13"/>
                <w:b w:val="1"/>
                <w:bCs w:val="1"/>
                <w:color w:val="auto"/>
              </w:rPr>
              <w:t>Technical rates</w:t>
            </w:r>
          </w:p>
        </w:tc>
        <w:tc>
          <w:tcPr>
            <w:tcW w:w="0" w:type="dxa"/>
            <w:vAlign w:val="bottom"/>
          </w:tcPr>
          <w:p>
            <w:pPr>
              <w:spacing w:after="0"/>
              <w:rPr>
                <w:sz w:val="1"/>
                <w:szCs w:val="1"/>
                <w:color w:val="auto"/>
              </w:rPr>
            </w:pPr>
          </w:p>
        </w:tc>
      </w:tr>
      <w:tr>
        <w:trPr>
          <w:trHeight w:val="106"/>
        </w:trPr>
        <w:tc>
          <w:tcPr>
            <w:tcW w:w="2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ind w:left="60"/>
              <w:spacing w:after="0" w:line="106" w:lineRule="exact"/>
              <w:rPr>
                <w:sz w:val="20"/>
                <w:szCs w:val="20"/>
                <w:color w:val="auto"/>
              </w:rPr>
            </w:pPr>
            <w:r>
              <w:rPr>
                <w:rFonts w:ascii="Arial" w:cs="Arial" w:eastAsia="Arial" w:hAnsi="Arial"/>
                <w:sz w:val="12"/>
                <w:szCs w:val="12"/>
                <w:color w:val="auto"/>
              </w:rPr>
              <w:t>Between 3.81% - 7.99% / Between 2.50% -</w:t>
            </w:r>
          </w:p>
        </w:tc>
        <w:tc>
          <w:tcPr>
            <w:tcW w:w="100" w:type="dxa"/>
            <w:vAlign w:val="bottom"/>
            <w:tcBorders>
              <w:top w:val="single" w:sz="8" w:color="CCEEFF"/>
            </w:tcBorders>
            <w:shd w:val="clear" w:color="auto" w:fill="CCEEFF"/>
          </w:tcPr>
          <w:p>
            <w:pPr>
              <w:spacing w:after="0"/>
              <w:rPr>
                <w:sz w:val="9"/>
                <w:szCs w:val="9"/>
                <w:color w:val="auto"/>
              </w:rPr>
            </w:pPr>
          </w:p>
        </w:tc>
        <w:tc>
          <w:tcPr>
            <w:tcW w:w="16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ind w:left="40"/>
              <w:spacing w:after="0" w:line="106" w:lineRule="exact"/>
              <w:rPr>
                <w:sz w:val="20"/>
                <w:szCs w:val="20"/>
                <w:color w:val="auto"/>
              </w:rPr>
            </w:pPr>
            <w:r>
              <w:rPr>
                <w:rFonts w:ascii="Arial" w:cs="Arial" w:eastAsia="Arial" w:hAnsi="Arial"/>
                <w:sz w:val="12"/>
                <w:szCs w:val="12"/>
                <w:color w:val="auto"/>
              </w:rPr>
              <w:t>Between 2.90% - 7.93% / Between 2.50% -</w:t>
            </w: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Annuities</w:t>
            </w: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SPP-S-2017 and SPP-I- 2017</w:t>
            </w:r>
          </w:p>
        </w:tc>
        <w:tc>
          <w:tcPr>
            <w:tcW w:w="286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w w:val="88"/>
              </w:rPr>
              <w:t>SPP-S-2017 and SPP-I- 2017</w:t>
            </w:r>
          </w:p>
        </w:tc>
        <w:tc>
          <w:tcPr>
            <w:tcW w:w="286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14"/>
        </w:trPr>
        <w:tc>
          <w:tcPr>
            <w:tcW w:w="2420" w:type="dxa"/>
            <w:vAlign w:val="bottom"/>
            <w:gridSpan w:val="2"/>
          </w:tcPr>
          <w:p>
            <w:pPr>
              <w:spacing w:after="0" w:line="114" w:lineRule="exact"/>
              <w:rPr>
                <w:sz w:val="20"/>
                <w:szCs w:val="20"/>
                <w:color w:val="auto"/>
              </w:rPr>
            </w:pPr>
            <w:r>
              <w:rPr>
                <w:rFonts w:ascii="Arial" w:cs="Arial" w:eastAsia="Arial" w:hAnsi="Arial"/>
                <w:sz w:val="13"/>
                <w:szCs w:val="13"/>
                <w:color w:val="auto"/>
              </w:rPr>
              <w:t>Pension insurance – Temporary Regime /</w:t>
            </w: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420" w:type="dxa"/>
            <w:vAlign w:val="bottom"/>
            <w:gridSpan w:val="2"/>
          </w:tcPr>
          <w:p>
            <w:pPr>
              <w:spacing w:after="0"/>
              <w:rPr>
                <w:sz w:val="20"/>
                <w:szCs w:val="20"/>
                <w:color w:val="auto"/>
              </w:rPr>
            </w:pPr>
            <w:r>
              <w:rPr>
                <w:rFonts w:ascii="Arial" w:cs="Arial" w:eastAsia="Arial" w:hAnsi="Arial"/>
                <w:sz w:val="13"/>
                <w:szCs w:val="13"/>
                <w:color w:val="auto"/>
              </w:rPr>
              <w:t>SCTR (*)</w:t>
            </w:r>
          </w:p>
        </w:tc>
        <w:tc>
          <w:tcPr>
            <w:tcW w:w="1600" w:type="dxa"/>
            <w:vAlign w:val="bottom"/>
          </w:tcPr>
          <w:p>
            <w:pPr>
              <w:ind w:left="40"/>
              <w:spacing w:after="0"/>
              <w:rPr>
                <w:sz w:val="20"/>
                <w:szCs w:val="20"/>
                <w:color w:val="auto"/>
              </w:rPr>
            </w:pPr>
            <w:r>
              <w:rPr>
                <w:rFonts w:ascii="Arial" w:cs="Arial" w:eastAsia="Arial" w:hAnsi="Arial"/>
                <w:sz w:val="13"/>
                <w:szCs w:val="13"/>
                <w:color w:val="auto"/>
              </w:rPr>
              <w:t>B-85 and MI-85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2"/>
          </w:tcPr>
          <w:p>
            <w:pPr>
              <w:ind w:left="60"/>
              <w:spacing w:after="0"/>
              <w:rPr>
                <w:sz w:val="20"/>
                <w:szCs w:val="20"/>
                <w:color w:val="auto"/>
              </w:rPr>
            </w:pPr>
            <w:r>
              <w:rPr>
                <w:rFonts w:ascii="Arial" w:cs="Arial" w:eastAsia="Arial" w:hAnsi="Arial"/>
                <w:sz w:val="13"/>
                <w:szCs w:val="13"/>
                <w:color w:val="auto"/>
              </w:rPr>
              <w:t>3.00% soles VAC</w:t>
            </w:r>
          </w:p>
        </w:tc>
        <w:tc>
          <w:tcPr>
            <w:tcW w:w="1600" w:type="dxa"/>
            <w:vAlign w:val="bottom"/>
          </w:tcPr>
          <w:p>
            <w:pPr>
              <w:ind w:left="60"/>
              <w:spacing w:after="0"/>
              <w:rPr>
                <w:sz w:val="20"/>
                <w:szCs w:val="20"/>
                <w:color w:val="auto"/>
              </w:rPr>
            </w:pPr>
            <w:r>
              <w:rPr>
                <w:rFonts w:ascii="Arial" w:cs="Arial" w:eastAsia="Arial" w:hAnsi="Arial"/>
                <w:sz w:val="13"/>
                <w:szCs w:val="13"/>
                <w:color w:val="auto"/>
              </w:rPr>
              <w:t>B-85 and MI-85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3.00% soles VAC</w:t>
            </w:r>
          </w:p>
        </w:tc>
        <w:tc>
          <w:tcPr>
            <w:tcW w:w="0" w:type="dxa"/>
            <w:vAlign w:val="bottom"/>
          </w:tcPr>
          <w:p>
            <w:pPr>
              <w:spacing w:after="0"/>
              <w:rPr>
                <w:sz w:val="1"/>
                <w:szCs w:val="1"/>
                <w:color w:val="auto"/>
              </w:rPr>
            </w:pPr>
          </w:p>
        </w:tc>
      </w:tr>
      <w:tr>
        <w:trPr>
          <w:trHeight w:val="142"/>
        </w:trPr>
        <w:tc>
          <w:tcPr>
            <w:tcW w:w="24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Pension insurance – Definitive Regime</w:t>
            </w:r>
          </w:p>
        </w:tc>
        <w:tc>
          <w:tcPr>
            <w:tcW w:w="160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rPr>
              <w:t>B-85 and MI-85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2.96% soles VAC / 4.40% nominal dollars</w:t>
            </w:r>
          </w:p>
        </w:tc>
        <w:tc>
          <w:tcPr>
            <w:tcW w:w="160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color w:val="auto"/>
              </w:rPr>
              <w:t>B-85 and MI-85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w w:val="97"/>
              </w:rPr>
              <w:t>3.31% soles VAC / 4.66% nominal dollars</w:t>
            </w:r>
          </w:p>
        </w:tc>
        <w:tc>
          <w:tcPr>
            <w:tcW w:w="0" w:type="dxa"/>
            <w:vAlign w:val="bottom"/>
          </w:tcPr>
          <w:p>
            <w:pPr>
              <w:spacing w:after="0"/>
              <w:rPr>
                <w:sz w:val="1"/>
                <w:szCs w:val="1"/>
                <w:color w:val="auto"/>
              </w:rPr>
            </w:pPr>
          </w:p>
        </w:tc>
      </w:tr>
      <w:tr>
        <w:trPr>
          <w:trHeight w:val="114"/>
        </w:trPr>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00" w:type="dxa"/>
            <w:vAlign w:val="bottom"/>
            <w:gridSpan w:val="2"/>
          </w:tcPr>
          <w:p>
            <w:pPr>
              <w:ind w:left="60"/>
              <w:spacing w:after="0" w:line="114" w:lineRule="exact"/>
              <w:rPr>
                <w:sz w:val="20"/>
                <w:szCs w:val="20"/>
                <w:color w:val="auto"/>
              </w:rPr>
            </w:pPr>
            <w:r>
              <w:rPr>
                <w:rFonts w:ascii="Arial" w:cs="Arial" w:eastAsia="Arial" w:hAnsi="Arial"/>
                <w:sz w:val="13"/>
                <w:szCs w:val="13"/>
                <w:color w:val="auto"/>
                <w:w w:val="97"/>
              </w:rPr>
              <w:t>Between 3.00%, 2.96% soles VAC / 4.40%</w:t>
            </w: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tcPr>
          <w:p>
            <w:pPr>
              <w:ind w:left="40"/>
              <w:spacing w:after="0" w:line="114" w:lineRule="exact"/>
              <w:rPr>
                <w:sz w:val="20"/>
                <w:szCs w:val="20"/>
                <w:color w:val="auto"/>
              </w:rPr>
            </w:pPr>
            <w:r>
              <w:rPr>
                <w:rFonts w:ascii="Arial" w:cs="Arial" w:eastAsia="Arial" w:hAnsi="Arial"/>
                <w:sz w:val="13"/>
                <w:szCs w:val="13"/>
                <w:color w:val="auto"/>
                <w:w w:val="94"/>
              </w:rPr>
              <w:t>Between 3.00%, 3.38% soles VAC / 4.66%</w:t>
            </w:r>
          </w:p>
        </w:tc>
        <w:tc>
          <w:tcPr>
            <w:tcW w:w="0" w:type="dxa"/>
            <w:vAlign w:val="bottom"/>
          </w:tcPr>
          <w:p>
            <w:pPr>
              <w:spacing w:after="0"/>
              <w:rPr>
                <w:sz w:val="1"/>
                <w:szCs w:val="1"/>
                <w:color w:val="auto"/>
              </w:rPr>
            </w:pPr>
          </w:p>
        </w:tc>
      </w:tr>
      <w:tr>
        <w:trPr>
          <w:trHeight w:val="130"/>
        </w:trPr>
        <w:tc>
          <w:tcPr>
            <w:tcW w:w="2420" w:type="dxa"/>
            <w:vAlign w:val="bottom"/>
            <w:gridSpan w:val="2"/>
          </w:tcPr>
          <w:p>
            <w:pPr>
              <w:spacing w:after="0" w:line="131" w:lineRule="exact"/>
              <w:rPr>
                <w:sz w:val="20"/>
                <w:szCs w:val="20"/>
                <w:color w:val="auto"/>
              </w:rPr>
            </w:pPr>
            <w:r>
              <w:rPr>
                <w:rFonts w:ascii="Arial" w:cs="Arial" w:eastAsia="Arial" w:hAnsi="Arial"/>
                <w:sz w:val="13"/>
                <w:szCs w:val="13"/>
                <w:color w:val="auto"/>
              </w:rPr>
              <w:t>Pension insurance – Definitive Regime /</w:t>
            </w: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gridSpan w:val="2"/>
          </w:tcPr>
          <w:p>
            <w:pPr>
              <w:ind w:left="60"/>
              <w:spacing w:after="0" w:line="131" w:lineRule="exact"/>
              <w:rPr>
                <w:sz w:val="20"/>
                <w:szCs w:val="20"/>
                <w:color w:val="auto"/>
              </w:rPr>
            </w:pPr>
            <w:r>
              <w:rPr>
                <w:rFonts w:ascii="Arial" w:cs="Arial" w:eastAsia="Arial" w:hAnsi="Arial"/>
                <w:sz w:val="13"/>
                <w:szCs w:val="13"/>
                <w:color w:val="auto"/>
              </w:rPr>
              <w:t>nominal dollars / 5.82% soles adjusted /</w:t>
            </w:r>
          </w:p>
        </w:tc>
        <w:tc>
          <w:tcPr>
            <w:tcW w:w="1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ind w:left="40"/>
              <w:spacing w:after="0" w:line="131" w:lineRule="exact"/>
              <w:rPr>
                <w:sz w:val="20"/>
                <w:szCs w:val="20"/>
                <w:color w:val="auto"/>
              </w:rPr>
            </w:pPr>
            <w:r>
              <w:rPr>
                <w:rFonts w:ascii="Arial" w:cs="Arial" w:eastAsia="Arial" w:hAnsi="Arial"/>
                <w:sz w:val="13"/>
                <w:szCs w:val="13"/>
                <w:color w:val="auto"/>
              </w:rPr>
              <w:t>nominal dollars / 6.35% soles adjusted /</w:t>
            </w:r>
          </w:p>
        </w:tc>
        <w:tc>
          <w:tcPr>
            <w:tcW w:w="0" w:type="dxa"/>
            <w:vAlign w:val="bottom"/>
          </w:tcPr>
          <w:p>
            <w:pPr>
              <w:spacing w:after="0"/>
              <w:rPr>
                <w:sz w:val="1"/>
                <w:szCs w:val="1"/>
                <w:color w:val="auto"/>
              </w:rPr>
            </w:pPr>
          </w:p>
        </w:tc>
      </w:tr>
      <w:tr>
        <w:trPr>
          <w:trHeight w:val="158"/>
        </w:trPr>
        <w:tc>
          <w:tcPr>
            <w:tcW w:w="2420" w:type="dxa"/>
            <w:vAlign w:val="bottom"/>
            <w:gridSpan w:val="2"/>
          </w:tcPr>
          <w:p>
            <w:pPr>
              <w:spacing w:after="0"/>
              <w:rPr>
                <w:sz w:val="20"/>
                <w:szCs w:val="20"/>
                <w:color w:val="auto"/>
              </w:rPr>
            </w:pPr>
            <w:r>
              <w:rPr>
                <w:rFonts w:ascii="Arial" w:cs="Arial" w:eastAsia="Arial" w:hAnsi="Arial"/>
                <w:sz w:val="13"/>
                <w:szCs w:val="13"/>
                <w:color w:val="auto"/>
              </w:rPr>
              <w:t>SCTR</w:t>
            </w:r>
          </w:p>
        </w:tc>
        <w:tc>
          <w:tcPr>
            <w:tcW w:w="1600" w:type="dxa"/>
            <w:vAlign w:val="bottom"/>
          </w:tcPr>
          <w:p>
            <w:pPr>
              <w:ind w:left="40"/>
              <w:spacing w:after="0"/>
              <w:rPr>
                <w:sz w:val="20"/>
                <w:szCs w:val="20"/>
                <w:color w:val="auto"/>
              </w:rPr>
            </w:pPr>
            <w:r>
              <w:rPr>
                <w:rFonts w:ascii="Arial" w:cs="Arial" w:eastAsia="Arial" w:hAnsi="Arial"/>
                <w:sz w:val="13"/>
                <w:szCs w:val="13"/>
                <w:color w:val="auto"/>
              </w:rPr>
              <w:t>B-85 adjusted and MI-85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2"/>
          </w:tcPr>
          <w:p>
            <w:pPr>
              <w:ind w:left="60"/>
              <w:spacing w:after="0"/>
              <w:rPr>
                <w:sz w:val="20"/>
                <w:szCs w:val="20"/>
                <w:color w:val="auto"/>
              </w:rPr>
            </w:pPr>
            <w:r>
              <w:rPr>
                <w:rFonts w:ascii="Arial" w:cs="Arial" w:eastAsia="Arial" w:hAnsi="Arial"/>
                <w:sz w:val="13"/>
                <w:szCs w:val="13"/>
                <w:color w:val="auto"/>
              </w:rPr>
              <w:t>4.40% dollars adjusted</w:t>
            </w:r>
          </w:p>
        </w:tc>
        <w:tc>
          <w:tcPr>
            <w:tcW w:w="1600" w:type="dxa"/>
            <w:vAlign w:val="bottom"/>
          </w:tcPr>
          <w:p>
            <w:pPr>
              <w:ind w:left="60"/>
              <w:spacing w:after="0"/>
              <w:rPr>
                <w:sz w:val="20"/>
                <w:szCs w:val="20"/>
                <w:color w:val="auto"/>
              </w:rPr>
            </w:pPr>
            <w:r>
              <w:rPr>
                <w:rFonts w:ascii="Arial" w:cs="Arial" w:eastAsia="Arial" w:hAnsi="Arial"/>
                <w:sz w:val="13"/>
                <w:szCs w:val="13"/>
                <w:color w:val="auto"/>
              </w:rPr>
              <w:t>B-85 adjusted and MI-85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4.66% dollars adjusted</w:t>
            </w:r>
          </w:p>
        </w:tc>
        <w:tc>
          <w:tcPr>
            <w:tcW w:w="0" w:type="dxa"/>
            <w:vAlign w:val="bottom"/>
          </w:tcPr>
          <w:p>
            <w:pPr>
              <w:spacing w:after="0"/>
              <w:rPr>
                <w:sz w:val="1"/>
                <w:szCs w:val="1"/>
                <w:color w:val="auto"/>
              </w:rPr>
            </w:pPr>
          </w:p>
        </w:tc>
      </w:tr>
      <w:tr>
        <w:trPr>
          <w:trHeight w:val="114"/>
        </w:trPr>
        <w:tc>
          <w:tcPr>
            <w:tcW w:w="242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Pension insurance – Temporary Regime</w:t>
            </w:r>
          </w:p>
        </w:tc>
        <w:tc>
          <w:tcPr>
            <w:tcW w:w="1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/SCTR (Longevity)</w:t>
            </w: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SPP-S-2017- and SPP-I-2017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5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Between 3.7910%, 3.915% soles VAC</w:t>
            </w: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w w:val="87"/>
              </w:rPr>
              <w:t>SPP-S-2017- and SPP-I-2017</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Between 3.81%, 3.88% soles VAC</w:t>
            </w:r>
          </w:p>
        </w:tc>
        <w:tc>
          <w:tcPr>
            <w:tcW w:w="0" w:type="dxa"/>
            <w:vAlign w:val="bottom"/>
          </w:tcPr>
          <w:p>
            <w:pPr>
              <w:spacing w:after="0"/>
              <w:rPr>
                <w:sz w:val="1"/>
                <w:szCs w:val="1"/>
                <w:color w:val="auto"/>
              </w:rPr>
            </w:pPr>
          </w:p>
        </w:tc>
      </w:tr>
      <w:tr>
        <w:trPr>
          <w:trHeight w:val="161"/>
        </w:trPr>
        <w:tc>
          <w:tcPr>
            <w:tcW w:w="2420" w:type="dxa"/>
            <w:vAlign w:val="bottom"/>
            <w:gridSpan w:val="2"/>
          </w:tcPr>
          <w:p>
            <w:pPr>
              <w:spacing w:after="0"/>
              <w:rPr>
                <w:sz w:val="20"/>
                <w:szCs w:val="20"/>
                <w:color w:val="auto"/>
              </w:rPr>
            </w:pPr>
            <w:r>
              <w:rPr>
                <w:rFonts w:ascii="Arial" w:cs="Arial" w:eastAsia="Arial" w:hAnsi="Arial"/>
                <w:sz w:val="13"/>
                <w:szCs w:val="13"/>
                <w:color w:val="auto"/>
              </w:rPr>
              <w:t>Individual life</w:t>
            </w:r>
          </w:p>
        </w:tc>
        <w:tc>
          <w:tcPr>
            <w:tcW w:w="1600" w:type="dxa"/>
            <w:vAlign w:val="bottom"/>
          </w:tcPr>
          <w:p>
            <w:pPr>
              <w:ind w:left="40"/>
              <w:spacing w:after="0"/>
              <w:rPr>
                <w:sz w:val="20"/>
                <w:szCs w:val="20"/>
                <w:color w:val="auto"/>
              </w:rPr>
            </w:pPr>
            <w:r>
              <w:rPr>
                <w:rFonts w:ascii="Arial" w:cs="Arial" w:eastAsia="Arial" w:hAnsi="Arial"/>
                <w:sz w:val="13"/>
                <w:szCs w:val="13"/>
                <w:color w:val="auto"/>
              </w:rPr>
              <w:t>CSO 80 adjusted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2"/>
          </w:tcPr>
          <w:p>
            <w:pPr>
              <w:ind w:left="60"/>
              <w:spacing w:after="0"/>
              <w:rPr>
                <w:sz w:val="20"/>
                <w:szCs w:val="20"/>
                <w:color w:val="auto"/>
              </w:rPr>
            </w:pPr>
            <w:r>
              <w:rPr>
                <w:rFonts w:ascii="Arial" w:cs="Arial" w:eastAsia="Arial" w:hAnsi="Arial"/>
                <w:sz w:val="13"/>
                <w:szCs w:val="13"/>
                <w:color w:val="auto"/>
              </w:rPr>
              <w:t>Between 4.00% - 5.00%</w:t>
            </w:r>
          </w:p>
        </w:tc>
        <w:tc>
          <w:tcPr>
            <w:tcW w:w="1600" w:type="dxa"/>
            <w:vAlign w:val="bottom"/>
          </w:tcPr>
          <w:p>
            <w:pPr>
              <w:ind w:left="60"/>
              <w:spacing w:after="0"/>
              <w:rPr>
                <w:sz w:val="20"/>
                <w:szCs w:val="20"/>
                <w:color w:val="auto"/>
              </w:rPr>
            </w:pPr>
            <w:r>
              <w:rPr>
                <w:rFonts w:ascii="Arial" w:cs="Arial" w:eastAsia="Arial" w:hAnsi="Arial"/>
                <w:sz w:val="13"/>
                <w:szCs w:val="13"/>
                <w:color w:val="auto"/>
              </w:rPr>
              <w:t>CSO 80 adjusted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Between 4.00% - 5.00%</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Complementary Work Risk Insurance (SCTR the Spanish acronym).</w:t>
      </w:r>
    </w:p>
    <w:p>
      <w:pPr>
        <w:spacing w:after="0" w:line="195"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The sensitivity of the estimates used by the Group to measure its insurance risks is represented primarily by the life insurance risks; the main variables as of December 31, 2018 and 2017, are the interest rates and the mortality tables used. The Group has evaluated the changes in its most significant reserves related to life insurance contracts included in retirement, disability and survival annuities reserves of +/- 100 bps of the interest rates and of +/- 5 bps of the mortality factors, with the following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87"/>
              </w:rPr>
              <w:t>At December 31, 2018</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0"/>
              </w:rPr>
              <w:t>At December 31, 2017</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Variables</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Reserve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Borders>
              <w:bottom w:val="single" w:sz="8" w:color="auto"/>
            </w:tcBorders>
            <w:gridSpan w:val="4"/>
          </w:tcPr>
          <w:p>
            <w:pPr>
              <w:jc w:val="right"/>
              <w:ind w:right="277"/>
              <w:spacing w:after="0" w:line="134" w:lineRule="exact"/>
              <w:rPr>
                <w:sz w:val="20"/>
                <w:szCs w:val="20"/>
                <w:color w:val="auto"/>
              </w:rPr>
            </w:pPr>
            <w:r>
              <w:rPr>
                <w:rFonts w:ascii="Arial" w:cs="Arial" w:eastAsia="Arial" w:hAnsi="Arial"/>
                <w:sz w:val="13"/>
                <w:szCs w:val="13"/>
                <w:b w:val="1"/>
                <w:bCs w:val="1"/>
                <w:color w:val="auto"/>
              </w:rPr>
              <w:t>Variation of the reserve</w:t>
            </w:r>
          </w:p>
        </w:tc>
        <w:tc>
          <w:tcPr>
            <w:tcW w:w="80" w:type="dxa"/>
            <w:vAlign w:val="bottom"/>
          </w:tcPr>
          <w:p>
            <w:pPr>
              <w:spacing w:after="0"/>
              <w:rPr>
                <w:sz w:val="11"/>
                <w:szCs w:val="11"/>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Reserve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bottom w:val="single" w:sz="8" w:color="auto"/>
            </w:tcBorders>
            <w:gridSpan w:val="4"/>
          </w:tcPr>
          <w:p>
            <w:pPr>
              <w:jc w:val="right"/>
              <w:ind w:right="237"/>
              <w:spacing w:after="0" w:line="134" w:lineRule="exact"/>
              <w:rPr>
                <w:sz w:val="20"/>
                <w:szCs w:val="20"/>
                <w:color w:val="auto"/>
              </w:rPr>
            </w:pPr>
            <w:r>
              <w:rPr>
                <w:rFonts w:ascii="Arial" w:cs="Arial" w:eastAsia="Arial" w:hAnsi="Arial"/>
                <w:sz w:val="13"/>
                <w:szCs w:val="13"/>
                <w:b w:val="1"/>
                <w:bCs w:val="1"/>
                <w:color w:val="auto"/>
              </w:rPr>
              <w:t>Variation of the reserve</w:t>
            </w:r>
          </w:p>
        </w:tc>
        <w:tc>
          <w:tcPr>
            <w:tcW w:w="0" w:type="dxa"/>
            <w:vAlign w:val="bottom"/>
          </w:tcPr>
          <w:p>
            <w:pPr>
              <w:spacing w:after="0"/>
              <w:rPr>
                <w:sz w:val="1"/>
                <w:szCs w:val="1"/>
                <w:color w:val="auto"/>
              </w:rPr>
            </w:pPr>
          </w:p>
        </w:tc>
      </w:tr>
      <w:tr>
        <w:trPr>
          <w:trHeight w:val="134"/>
        </w:trPr>
        <w:tc>
          <w:tcPr>
            <w:tcW w:w="320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200"/>
              <w:spacing w:after="0" w:line="134" w:lineRule="exact"/>
              <w:rPr>
                <w:sz w:val="20"/>
                <w:szCs w:val="20"/>
                <w:color w:val="auto"/>
              </w:rPr>
            </w:pPr>
            <w:r>
              <w:rPr>
                <w:rFonts w:ascii="Arial" w:cs="Arial" w:eastAsia="Arial" w:hAnsi="Arial"/>
                <w:sz w:val="13"/>
                <w:szCs w:val="13"/>
                <w:b w:val="1"/>
                <w:bCs w:val="1"/>
                <w:color w:val="auto"/>
                <w:w w:val="89"/>
              </w:rPr>
              <w:t>Amount</w:t>
            </w:r>
          </w:p>
        </w:tc>
        <w:tc>
          <w:tcPr>
            <w:tcW w:w="840" w:type="dxa"/>
            <w:vAlign w:val="bottom"/>
          </w:tcPr>
          <w:p>
            <w:pPr>
              <w:jc w:val="right"/>
              <w:ind w:right="117"/>
              <w:spacing w:after="0" w:line="134" w:lineRule="exact"/>
              <w:rPr>
                <w:sz w:val="20"/>
                <w:szCs w:val="20"/>
                <w:color w:val="auto"/>
              </w:rPr>
            </w:pPr>
            <w:r>
              <w:rPr>
                <w:rFonts w:ascii="Arial" w:cs="Arial" w:eastAsia="Arial" w:hAnsi="Arial"/>
                <w:sz w:val="13"/>
                <w:szCs w:val="13"/>
                <w:b w:val="1"/>
                <w:bCs w:val="1"/>
                <w:color w:val="auto"/>
                <w:w w:val="91"/>
              </w:rPr>
              <w:t>Percentage</w:t>
            </w:r>
          </w:p>
        </w:tc>
        <w:tc>
          <w:tcPr>
            <w:tcW w:w="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220"/>
              <w:spacing w:after="0" w:line="134" w:lineRule="exact"/>
              <w:rPr>
                <w:sz w:val="20"/>
                <w:szCs w:val="20"/>
                <w:color w:val="auto"/>
              </w:rPr>
            </w:pPr>
            <w:r>
              <w:rPr>
                <w:rFonts w:ascii="Arial" w:cs="Arial" w:eastAsia="Arial" w:hAnsi="Arial"/>
                <w:sz w:val="13"/>
                <w:szCs w:val="13"/>
                <w:b w:val="1"/>
                <w:bCs w:val="1"/>
                <w:color w:val="auto"/>
              </w:rPr>
              <w:t>Amount</w:t>
            </w:r>
          </w:p>
        </w:tc>
        <w:tc>
          <w:tcPr>
            <w:tcW w:w="780" w:type="dxa"/>
            <w:vAlign w:val="bottom"/>
          </w:tcPr>
          <w:p>
            <w:pPr>
              <w:jc w:val="right"/>
              <w:ind w:right="77"/>
              <w:spacing w:after="0" w:line="134"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S/(000)</w:t>
            </w: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8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S/(000)</w:t>
            </w: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Portfolio in S/ - Base amount</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3,163,166</w:t>
            </w:r>
          </w:p>
        </w:tc>
        <w:tc>
          <w:tcPr>
            <w:tcW w:w="1100" w:type="dxa"/>
            <w:vAlign w:val="bottom"/>
            <w:gridSpan w:val="3"/>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2,682,536</w:t>
            </w:r>
          </w:p>
        </w:tc>
        <w:tc>
          <w:tcPr>
            <w:tcW w:w="1080" w:type="dxa"/>
            <w:vAlign w:val="bottom"/>
            <w:gridSpan w:val="3"/>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1" w:lineRule="exact"/>
              <w:rPr>
                <w:sz w:val="20"/>
                <w:szCs w:val="20"/>
                <w:color w:val="auto"/>
              </w:rPr>
            </w:pPr>
            <w:r>
              <w:rPr>
                <w:rFonts w:ascii="Arial" w:cs="Arial" w:eastAsia="Arial" w:hAnsi="Arial"/>
                <w:sz w:val="13"/>
                <w:szCs w:val="13"/>
                <w:color w:val="auto"/>
              </w:rPr>
              <w:t>Changes in interest rates: + 100 bps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2,869,164</w:t>
            </w:r>
          </w:p>
        </w:tc>
        <w:tc>
          <w:tcPr>
            <w:tcW w:w="110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(294,001)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(9.29)</w:t>
            </w:r>
          </w:p>
        </w:tc>
        <w:tc>
          <w:tcPr>
            <w:tcW w:w="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2,428,338</w:t>
            </w:r>
          </w:p>
        </w:tc>
        <w:tc>
          <w:tcPr>
            <w:tcW w:w="108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(254,198)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Changes in interest rates: - 100 bps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3,520,992</w:t>
            </w:r>
          </w:p>
        </w:tc>
        <w:tc>
          <w:tcPr>
            <w:tcW w:w="1100" w:type="dxa"/>
            <w:vAlign w:val="bottom"/>
            <w:gridSpan w:val="3"/>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357,827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11.31</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2,993,483</w:t>
            </w:r>
          </w:p>
        </w:tc>
        <w:tc>
          <w:tcPr>
            <w:tcW w:w="1080" w:type="dxa"/>
            <w:vAlign w:val="bottom"/>
            <w:gridSpan w:val="3"/>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310,948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1" w:lineRule="exact"/>
              <w:rPr>
                <w:sz w:val="20"/>
                <w:szCs w:val="20"/>
                <w:color w:val="auto"/>
              </w:rPr>
            </w:pPr>
            <w:r>
              <w:rPr>
                <w:rFonts w:ascii="Arial" w:cs="Arial" w:eastAsia="Arial" w:hAnsi="Arial"/>
                <w:sz w:val="13"/>
                <w:szCs w:val="13"/>
                <w:color w:val="auto"/>
              </w:rPr>
              <w:t>Changes in Mortality tables to 105%</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3,141,047</w:t>
            </w:r>
          </w:p>
        </w:tc>
        <w:tc>
          <w:tcPr>
            <w:tcW w:w="110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(22,118)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(0.70)</w:t>
            </w:r>
          </w:p>
        </w:tc>
        <w:tc>
          <w:tcPr>
            <w:tcW w:w="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2,660,474</w:t>
            </w:r>
          </w:p>
        </w:tc>
        <w:tc>
          <w:tcPr>
            <w:tcW w:w="108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(22,062)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(0.82)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Changes in Mortality tables to 95%</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3,186,369</w:t>
            </w:r>
          </w:p>
        </w:tc>
        <w:tc>
          <w:tcPr>
            <w:tcW w:w="1100" w:type="dxa"/>
            <w:vAlign w:val="bottom"/>
            <w:gridSpan w:val="3"/>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23,203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0.73</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2,705,711</w:t>
            </w:r>
          </w:p>
        </w:tc>
        <w:tc>
          <w:tcPr>
            <w:tcW w:w="1080" w:type="dxa"/>
            <w:vAlign w:val="bottom"/>
            <w:gridSpan w:val="3"/>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23,176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0.86</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Portfolio in US$ - Base amount</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518,160</w:t>
            </w:r>
          </w:p>
        </w:tc>
        <w:tc>
          <w:tcPr>
            <w:tcW w:w="1100" w:type="dxa"/>
            <w:vAlign w:val="bottom"/>
            <w:gridSpan w:val="3"/>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519,317</w:t>
            </w:r>
          </w:p>
        </w:tc>
        <w:tc>
          <w:tcPr>
            <w:tcW w:w="1080" w:type="dxa"/>
            <w:vAlign w:val="bottom"/>
            <w:gridSpan w:val="3"/>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1" w:lineRule="exact"/>
              <w:rPr>
                <w:sz w:val="20"/>
                <w:szCs w:val="20"/>
                <w:color w:val="auto"/>
              </w:rPr>
            </w:pPr>
            <w:r>
              <w:rPr>
                <w:rFonts w:ascii="Arial" w:cs="Arial" w:eastAsia="Arial" w:hAnsi="Arial"/>
                <w:sz w:val="13"/>
                <w:szCs w:val="13"/>
                <w:color w:val="auto"/>
              </w:rPr>
              <w:t>Changes in interest rates: + 100 bps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473,054</w:t>
            </w:r>
          </w:p>
        </w:tc>
        <w:tc>
          <w:tcPr>
            <w:tcW w:w="110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(45,106)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(8.70)</w:t>
            </w:r>
          </w:p>
        </w:tc>
        <w:tc>
          <w:tcPr>
            <w:tcW w:w="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473,067</w:t>
            </w:r>
          </w:p>
        </w:tc>
        <w:tc>
          <w:tcPr>
            <w:tcW w:w="108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(46,250)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Changes in interest rates: - 100 bps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571,943</w:t>
            </w:r>
          </w:p>
        </w:tc>
        <w:tc>
          <w:tcPr>
            <w:tcW w:w="1100" w:type="dxa"/>
            <w:vAlign w:val="bottom"/>
            <w:gridSpan w:val="3"/>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53,783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10.38</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574,664</w:t>
            </w:r>
          </w:p>
        </w:tc>
        <w:tc>
          <w:tcPr>
            <w:tcW w:w="1080" w:type="dxa"/>
            <w:vAlign w:val="bottom"/>
            <w:gridSpan w:val="3"/>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55,347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1" w:lineRule="exact"/>
              <w:rPr>
                <w:sz w:val="20"/>
                <w:szCs w:val="20"/>
                <w:color w:val="auto"/>
              </w:rPr>
            </w:pPr>
            <w:r>
              <w:rPr>
                <w:rFonts w:ascii="Arial" w:cs="Arial" w:eastAsia="Arial" w:hAnsi="Arial"/>
                <w:sz w:val="13"/>
                <w:szCs w:val="13"/>
                <w:color w:val="auto"/>
              </w:rPr>
              <w:t>Changes in Mortality tables to 105%</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512,875</w:t>
            </w:r>
          </w:p>
        </w:tc>
        <w:tc>
          <w:tcPr>
            <w:tcW w:w="110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(5,285)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(1.02)</w:t>
            </w:r>
          </w:p>
        </w:tc>
        <w:tc>
          <w:tcPr>
            <w:tcW w:w="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514,091</w:t>
            </w:r>
          </w:p>
        </w:tc>
        <w:tc>
          <w:tcPr>
            <w:tcW w:w="1080" w:type="dxa"/>
            <w:vAlign w:val="bottom"/>
            <w:gridSpan w:val="3"/>
          </w:tcPr>
          <w:p>
            <w:pPr>
              <w:jc w:val="right"/>
              <w:spacing w:after="0" w:line="131" w:lineRule="exact"/>
              <w:rPr>
                <w:sz w:val="20"/>
                <w:szCs w:val="20"/>
                <w:color w:val="auto"/>
              </w:rPr>
            </w:pPr>
            <w:r>
              <w:rPr>
                <w:rFonts w:ascii="Arial" w:cs="Arial" w:eastAsia="Arial" w:hAnsi="Arial"/>
                <w:sz w:val="13"/>
                <w:szCs w:val="13"/>
                <w:color w:val="auto"/>
              </w:rPr>
              <w:t>(5,226)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Changes in Mortality tables to 95%</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523,707</w:t>
            </w:r>
          </w:p>
        </w:tc>
        <w:tc>
          <w:tcPr>
            <w:tcW w:w="1100" w:type="dxa"/>
            <w:vAlign w:val="bottom"/>
            <w:gridSpan w:val="3"/>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5,547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524,801</w:t>
            </w:r>
          </w:p>
        </w:tc>
        <w:tc>
          <w:tcPr>
            <w:tcW w:w="1080" w:type="dxa"/>
            <w:vAlign w:val="bottom"/>
            <w:gridSpan w:val="3"/>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5,484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815" w:right="219" w:bottom="1440" w:gutter="0" w:footer="0" w:header="0"/>
        </w:sectPr>
      </w:pPr>
    </w:p>
    <w:bookmarkStart w:id="103" w:name="page104"/>
    <w:bookmarkEnd w:id="103"/>
    <w:p>
      <w:pPr>
        <w:spacing w:after="0"/>
        <w:tabs>
          <w:tab w:leader="none" w:pos="26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5"/>
          <w:szCs w:val="15"/>
          <w:b w:val="1"/>
          <w:bCs w:val="1"/>
          <w:color w:val="auto"/>
        </w:rPr>
        <w:t>BONDS AND NOTES ISSUED</w:t>
      </w:r>
    </w:p>
    <w:p>
      <w:pPr>
        <w:spacing w:after="0" w:line="199"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6"/>
          <w:szCs w:val="16"/>
          <w:color w:val="auto"/>
        </w:rPr>
        <w:t>a)</w:t>
        <w:tab/>
        <w:t>This item consists of the following:</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Annual interest rate</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 payment</w:t>
            </w:r>
          </w:p>
        </w:tc>
        <w:tc>
          <w:tcPr>
            <w:tcW w:w="1580" w:type="dxa"/>
            <w:vAlign w:val="bottom"/>
            <w:gridSpan w:val="2"/>
          </w:tcPr>
          <w:p>
            <w:pPr>
              <w:ind w:left="440"/>
              <w:spacing w:after="0"/>
              <w:rPr>
                <w:sz w:val="20"/>
                <w:szCs w:val="20"/>
                <w:color w:val="auto"/>
              </w:rPr>
            </w:pPr>
            <w:r>
              <w:rPr>
                <w:rFonts w:ascii="Arial" w:cs="Arial" w:eastAsia="Arial" w:hAnsi="Arial"/>
                <w:sz w:val="13"/>
                <w:szCs w:val="13"/>
                <w:b w:val="1"/>
                <w:bCs w:val="1"/>
                <w:color w:val="auto"/>
              </w:rPr>
              <w:t>Maturity</w:t>
            </w: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Issued amount</w:t>
            </w:r>
          </w:p>
        </w:tc>
        <w:tc>
          <w:tcPr>
            <w:tcW w:w="960" w:type="dxa"/>
            <w:vAlign w:val="bottom"/>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080" w:type="dxa"/>
            <w:vAlign w:val="bottom"/>
            <w:tcBorders>
              <w:top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(000)</w:t>
            </w:r>
          </w:p>
        </w:tc>
        <w:tc>
          <w:tcPr>
            <w:tcW w:w="220" w:type="dxa"/>
            <w:vAlign w:val="bottom"/>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3"/>
                <w:szCs w:val="13"/>
                <w:b w:val="1"/>
                <w:bCs w:val="1"/>
                <w:color w:val="auto"/>
              </w:rPr>
              <w:t>Senior notes - (i)</w:t>
            </w:r>
          </w:p>
        </w:tc>
        <w:tc>
          <w:tcPr>
            <w:tcW w:w="1080" w:type="dxa"/>
            <w:vAlign w:val="bottom"/>
          </w:tcPr>
          <w:p>
            <w:pPr>
              <w:jc w:val="center"/>
              <w:ind w:left="77"/>
              <w:spacing w:after="0"/>
              <w:rPr>
                <w:sz w:val="20"/>
                <w:szCs w:val="20"/>
                <w:color w:val="auto"/>
              </w:rPr>
            </w:pPr>
            <w:r>
              <w:rPr>
                <w:rFonts w:ascii="Arial" w:cs="Arial" w:eastAsia="Arial" w:hAnsi="Arial"/>
                <w:sz w:val="13"/>
                <w:szCs w:val="13"/>
                <w:color w:val="auto"/>
                <w:w w:val="86"/>
              </w:rPr>
              <w:t>5.38</w:t>
            </w:r>
          </w:p>
        </w:tc>
        <w:tc>
          <w:tcPr>
            <w:tcW w:w="22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Semi-annual</w:t>
            </w:r>
          </w:p>
        </w:tc>
        <w:tc>
          <w:tcPr>
            <w:tcW w:w="158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September 2020</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US$800,000</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2,671,647</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2,612,379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32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Senior notes - (i)(ix)</w:t>
            </w:r>
          </w:p>
        </w:tc>
        <w:tc>
          <w:tcPr>
            <w:tcW w:w="1300" w:type="dxa"/>
            <w:vAlign w:val="bottom"/>
            <w:gridSpan w:val="2"/>
            <w:shd w:val="clear" w:color="auto" w:fill="CCEEFF"/>
          </w:tcPr>
          <w:p>
            <w:pPr>
              <w:ind w:left="160"/>
              <w:spacing w:after="0" w:line="114" w:lineRule="exact"/>
              <w:rPr>
                <w:sz w:val="20"/>
                <w:szCs w:val="20"/>
                <w:color w:val="auto"/>
              </w:rPr>
            </w:pPr>
            <w:r>
              <w:rPr>
                <w:rFonts w:ascii="Arial" w:cs="Arial" w:eastAsia="Arial" w:hAnsi="Arial"/>
                <w:sz w:val="13"/>
                <w:szCs w:val="13"/>
                <w:color w:val="auto"/>
              </w:rPr>
              <w:t>Between 2.75 and</w:t>
            </w:r>
          </w:p>
        </w:tc>
        <w:tc>
          <w:tcPr>
            <w:tcW w:w="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3"/>
                <w:szCs w:val="13"/>
                <w:color w:val="auto"/>
                <w:w w:val="85"/>
              </w:rPr>
              <w:t>Between January 2018</w:t>
            </w:r>
          </w:p>
        </w:tc>
        <w:tc>
          <w:tcPr>
            <w:tcW w:w="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280" w:type="dxa"/>
            <w:vAlign w:val="bottom"/>
            <w:vMerge w:val="continue"/>
            <w:shd w:val="clear" w:color="auto" w:fill="CCEEFF"/>
          </w:tcPr>
          <w:p>
            <w:pPr>
              <w:spacing w:after="0"/>
              <w:rPr>
                <w:sz w:val="12"/>
                <w:szCs w:val="12"/>
                <w:color w:val="auto"/>
              </w:rPr>
            </w:pPr>
          </w:p>
        </w:tc>
        <w:tc>
          <w:tcPr>
            <w:tcW w:w="1080" w:type="dxa"/>
            <w:vAlign w:val="bottom"/>
            <w:shd w:val="clear" w:color="auto" w:fill="CCEEFF"/>
          </w:tcPr>
          <w:p>
            <w:pPr>
              <w:jc w:val="center"/>
              <w:ind w:left="77"/>
              <w:spacing w:after="0" w:line="146" w:lineRule="exact"/>
              <w:rPr>
                <w:sz w:val="20"/>
                <w:szCs w:val="20"/>
                <w:color w:val="auto"/>
              </w:rPr>
            </w:pPr>
            <w:r>
              <w:rPr>
                <w:rFonts w:ascii="Arial" w:cs="Arial" w:eastAsia="Arial" w:hAnsi="Arial"/>
                <w:sz w:val="13"/>
                <w:szCs w:val="13"/>
                <w:color w:val="auto"/>
                <w:w w:val="86"/>
              </w:rPr>
              <w:t>4.25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line="146"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shd w:val="clear" w:color="auto" w:fill="CCEEFF"/>
          </w:tcPr>
          <w:p>
            <w:pPr>
              <w:jc w:val="center"/>
              <w:ind w:right="100"/>
              <w:spacing w:after="0" w:line="146" w:lineRule="exact"/>
              <w:rPr>
                <w:sz w:val="20"/>
                <w:szCs w:val="20"/>
                <w:color w:val="auto"/>
              </w:rPr>
            </w:pPr>
            <w:r>
              <w:rPr>
                <w:rFonts w:ascii="Arial" w:cs="Arial" w:eastAsia="Arial" w:hAnsi="Arial"/>
                <w:sz w:val="13"/>
                <w:szCs w:val="13"/>
                <w:color w:val="auto"/>
                <w:w w:val="90"/>
              </w:rPr>
              <w:t>and April 2023</w:t>
            </w:r>
          </w:p>
        </w:tc>
        <w:tc>
          <w:tcPr>
            <w:tcW w:w="11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US$596,455</w:t>
            </w:r>
          </w:p>
        </w:tc>
        <w:tc>
          <w:tcPr>
            <w:tcW w:w="11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1,225,109</w:t>
            </w:r>
          </w:p>
        </w:tc>
        <w:tc>
          <w:tcPr>
            <w:tcW w:w="9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1,948,082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1" w:lineRule="exact"/>
              <w:rPr>
                <w:sz w:val="20"/>
                <w:szCs w:val="20"/>
                <w:color w:val="auto"/>
              </w:rPr>
            </w:pPr>
            <w:r>
              <w:rPr>
                <w:rFonts w:ascii="Arial" w:cs="Arial" w:eastAsia="Arial" w:hAnsi="Arial"/>
                <w:sz w:val="13"/>
                <w:szCs w:val="13"/>
                <w:b w:val="1"/>
                <w:bCs w:val="1"/>
                <w:color w:val="auto"/>
              </w:rPr>
              <w:t>Senior notes - (ii)</w:t>
            </w:r>
          </w:p>
        </w:tc>
        <w:tc>
          <w:tcPr>
            <w:tcW w:w="1080" w:type="dxa"/>
            <w:vAlign w:val="bottom"/>
          </w:tcPr>
          <w:p>
            <w:pPr>
              <w:jc w:val="center"/>
              <w:ind w:left="77"/>
              <w:spacing w:after="0" w:line="131" w:lineRule="exact"/>
              <w:rPr>
                <w:sz w:val="20"/>
                <w:szCs w:val="20"/>
                <w:color w:val="auto"/>
              </w:rPr>
            </w:pPr>
            <w:r>
              <w:rPr>
                <w:rFonts w:ascii="Arial" w:cs="Arial" w:eastAsia="Arial" w:hAnsi="Arial"/>
                <w:sz w:val="13"/>
                <w:szCs w:val="13"/>
                <w:color w:val="auto"/>
                <w:w w:val="86"/>
              </w:rPr>
              <w:t>4.25</w:t>
            </w:r>
          </w:p>
        </w:tc>
        <w:tc>
          <w:tcPr>
            <w:tcW w:w="220" w:type="dxa"/>
            <w:vAlign w:val="bottom"/>
          </w:tcPr>
          <w:p>
            <w:pPr>
              <w:spacing w:after="0"/>
              <w:rPr>
                <w:sz w:val="11"/>
                <w:szCs w:val="11"/>
                <w:color w:val="auto"/>
              </w:rPr>
            </w:pPr>
          </w:p>
        </w:tc>
        <w:tc>
          <w:tcPr>
            <w:tcW w:w="11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tcPr>
          <w:p>
            <w:pPr>
              <w:jc w:val="center"/>
              <w:ind w:right="120"/>
              <w:spacing w:after="0" w:line="131" w:lineRule="exact"/>
              <w:rPr>
                <w:sz w:val="20"/>
                <w:szCs w:val="20"/>
                <w:color w:val="auto"/>
              </w:rPr>
            </w:pPr>
            <w:r>
              <w:rPr>
                <w:rFonts w:ascii="Arial" w:cs="Arial" w:eastAsia="Arial" w:hAnsi="Arial"/>
                <w:sz w:val="13"/>
                <w:szCs w:val="13"/>
                <w:color w:val="auto"/>
                <w:w w:val="92"/>
              </w:rPr>
              <w:t>April 2023</w:t>
            </w:r>
          </w:p>
        </w:tc>
        <w:tc>
          <w:tcPr>
            <w:tcW w:w="118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US$350,000</w:t>
            </w:r>
          </w:p>
        </w:tc>
        <w:tc>
          <w:tcPr>
            <w:tcW w:w="11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1,123,542</w:t>
            </w:r>
          </w:p>
        </w:tc>
        <w:tc>
          <w:tcPr>
            <w:tcW w:w="9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1,066,904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Senior notes - (x)</w:t>
            </w:r>
          </w:p>
        </w:tc>
        <w:tc>
          <w:tcPr>
            <w:tcW w:w="1080" w:type="dxa"/>
            <w:vAlign w:val="bottom"/>
            <w:shd w:val="clear" w:color="auto" w:fill="CCEEFF"/>
          </w:tcPr>
          <w:p>
            <w:pPr>
              <w:jc w:val="center"/>
              <w:ind w:left="77"/>
              <w:spacing w:after="0" w:line="131" w:lineRule="exact"/>
              <w:rPr>
                <w:sz w:val="20"/>
                <w:szCs w:val="20"/>
                <w:color w:val="auto"/>
              </w:rPr>
            </w:pPr>
            <w:r>
              <w:rPr>
                <w:rFonts w:ascii="Arial" w:cs="Arial" w:eastAsia="Arial" w:hAnsi="Arial"/>
                <w:sz w:val="13"/>
                <w:szCs w:val="13"/>
                <w:color w:val="auto"/>
                <w:w w:val="86"/>
              </w:rPr>
              <w:t>2.25</w:t>
            </w:r>
          </w:p>
        </w:tc>
        <w:tc>
          <w:tcPr>
            <w:tcW w:w="2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88"/>
              </w:rPr>
              <w:t>October 2019</w:t>
            </w:r>
          </w:p>
        </w:tc>
        <w:tc>
          <w:tcPr>
            <w:tcW w:w="118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US$300,000</w:t>
            </w:r>
          </w:p>
        </w:tc>
        <w:tc>
          <w:tcPr>
            <w:tcW w:w="11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996,355</w:t>
            </w:r>
          </w:p>
        </w:tc>
        <w:tc>
          <w:tcPr>
            <w:tcW w:w="9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954,131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1" w:lineRule="exact"/>
              <w:rPr>
                <w:sz w:val="20"/>
                <w:szCs w:val="20"/>
                <w:color w:val="auto"/>
              </w:rPr>
            </w:pPr>
            <w:r>
              <w:rPr>
                <w:rFonts w:ascii="Arial" w:cs="Arial" w:eastAsia="Arial" w:hAnsi="Arial"/>
                <w:sz w:val="13"/>
                <w:szCs w:val="13"/>
                <w:b w:val="1"/>
                <w:bCs w:val="1"/>
                <w:color w:val="auto"/>
              </w:rPr>
              <w:t>Senior notes</w:t>
            </w:r>
          </w:p>
        </w:tc>
        <w:tc>
          <w:tcPr>
            <w:tcW w:w="1080" w:type="dxa"/>
            <w:vAlign w:val="bottom"/>
          </w:tcPr>
          <w:p>
            <w:pPr>
              <w:jc w:val="center"/>
              <w:ind w:left="77"/>
              <w:spacing w:after="0" w:line="131" w:lineRule="exact"/>
              <w:rPr>
                <w:sz w:val="20"/>
                <w:szCs w:val="20"/>
                <w:color w:val="auto"/>
              </w:rPr>
            </w:pPr>
            <w:r>
              <w:rPr>
                <w:rFonts w:ascii="Arial" w:cs="Arial" w:eastAsia="Arial" w:hAnsi="Arial"/>
                <w:sz w:val="13"/>
                <w:szCs w:val="13"/>
                <w:color w:val="auto"/>
                <w:w w:val="86"/>
              </w:rPr>
              <w:t>4.85</w:t>
            </w:r>
          </w:p>
        </w:tc>
        <w:tc>
          <w:tcPr>
            <w:tcW w:w="220" w:type="dxa"/>
            <w:vAlign w:val="bottom"/>
          </w:tcPr>
          <w:p>
            <w:pPr>
              <w:spacing w:after="0"/>
              <w:rPr>
                <w:sz w:val="11"/>
                <w:szCs w:val="11"/>
                <w:color w:val="auto"/>
              </w:rPr>
            </w:pPr>
          </w:p>
        </w:tc>
        <w:tc>
          <w:tcPr>
            <w:tcW w:w="11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tcPr>
          <w:p>
            <w:pPr>
              <w:jc w:val="center"/>
              <w:ind w:right="120"/>
              <w:spacing w:after="0" w:line="131" w:lineRule="exact"/>
              <w:rPr>
                <w:sz w:val="20"/>
                <w:szCs w:val="20"/>
                <w:color w:val="auto"/>
              </w:rPr>
            </w:pPr>
            <w:r>
              <w:rPr>
                <w:rFonts w:ascii="Arial" w:cs="Arial" w:eastAsia="Arial" w:hAnsi="Arial"/>
                <w:sz w:val="13"/>
                <w:szCs w:val="13"/>
                <w:color w:val="auto"/>
                <w:w w:val="88"/>
              </w:rPr>
              <w:t>October 2020</w:t>
            </w:r>
          </w:p>
        </w:tc>
        <w:tc>
          <w:tcPr>
            <w:tcW w:w="118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S/2,000,000</w:t>
            </w:r>
          </w:p>
        </w:tc>
        <w:tc>
          <w:tcPr>
            <w:tcW w:w="11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1,977,410</w:t>
            </w:r>
          </w:p>
        </w:tc>
        <w:tc>
          <w:tcPr>
            <w:tcW w:w="9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1,958,571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1" w:lineRule="exact"/>
              <w:rPr>
                <w:sz w:val="20"/>
                <w:szCs w:val="20"/>
                <w:color w:val="auto"/>
              </w:rPr>
            </w:pPr>
            <w:r>
              <w:rPr>
                <w:rFonts w:ascii="Arial" w:cs="Arial" w:eastAsia="Arial" w:hAnsi="Arial"/>
                <w:sz w:val="13"/>
                <w:szCs w:val="13"/>
                <w:b w:val="1"/>
                <w:bCs w:val="1"/>
                <w:color w:val="auto"/>
              </w:rPr>
              <w:t>CCR Inc. MMT 100 - Secured notes- (iii)</w:t>
            </w: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ind w:left="340"/>
              <w:spacing w:after="0" w:line="131" w:lineRule="exact"/>
              <w:rPr>
                <w:sz w:val="20"/>
                <w:szCs w:val="20"/>
                <w:color w:val="auto"/>
              </w:rPr>
            </w:pPr>
            <w:r>
              <w:rPr>
                <w:rFonts w:ascii="Arial" w:cs="Arial" w:eastAsia="Arial" w:hAnsi="Arial"/>
                <w:sz w:val="13"/>
                <w:szCs w:val="13"/>
                <w:color w:val="auto"/>
              </w:rPr>
              <w:t>2012 Series C Floating rate certificates</w:t>
            </w:r>
          </w:p>
        </w:tc>
        <w:tc>
          <w:tcPr>
            <w:tcW w:w="1080" w:type="dxa"/>
            <w:vAlign w:val="bottom"/>
            <w:shd w:val="clear" w:color="auto" w:fill="CCEEFF"/>
          </w:tcPr>
          <w:p>
            <w:pPr>
              <w:jc w:val="center"/>
              <w:ind w:left="77"/>
              <w:spacing w:after="0" w:line="131" w:lineRule="exact"/>
              <w:rPr>
                <w:sz w:val="20"/>
                <w:szCs w:val="20"/>
                <w:color w:val="auto"/>
              </w:rPr>
            </w:pPr>
            <w:r>
              <w:rPr>
                <w:rFonts w:ascii="Arial" w:cs="Arial" w:eastAsia="Arial" w:hAnsi="Arial"/>
                <w:sz w:val="13"/>
                <w:szCs w:val="13"/>
                <w:color w:val="auto"/>
                <w:w w:val="86"/>
              </w:rPr>
              <w:t>4.75</w:t>
            </w:r>
          </w:p>
        </w:tc>
        <w:tc>
          <w:tcPr>
            <w:tcW w:w="2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96"/>
              </w:rPr>
              <w:t>Monthly</w:t>
            </w:r>
          </w:p>
        </w:tc>
        <w:tc>
          <w:tcPr>
            <w:tcW w:w="15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89"/>
              </w:rPr>
              <w:t>July 2022</w:t>
            </w:r>
          </w:p>
        </w:tc>
        <w:tc>
          <w:tcPr>
            <w:tcW w:w="118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US$315,000</w:t>
            </w:r>
          </w:p>
        </w:tc>
        <w:tc>
          <w:tcPr>
            <w:tcW w:w="11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543,896</w:t>
            </w:r>
          </w:p>
        </w:tc>
        <w:tc>
          <w:tcPr>
            <w:tcW w:w="9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670,132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Corporate bonds -</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340"/>
              <w:spacing w:after="0" w:line="131" w:lineRule="exact"/>
              <w:rPr>
                <w:sz w:val="20"/>
                <w:szCs w:val="20"/>
                <w:color w:val="auto"/>
              </w:rPr>
            </w:pPr>
            <w:r>
              <w:rPr>
                <w:rFonts w:ascii="Arial" w:cs="Arial" w:eastAsia="Arial" w:hAnsi="Arial"/>
                <w:sz w:val="13"/>
                <w:szCs w:val="13"/>
                <w:b w:val="1"/>
                <w:bCs w:val="1"/>
                <w:color w:val="auto"/>
              </w:rPr>
              <w:t>Second program</w:t>
            </w: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280" w:type="dxa"/>
            <w:vAlign w:val="bottom"/>
            <w:shd w:val="clear" w:color="auto" w:fill="CCEEFF"/>
          </w:tcPr>
          <w:p>
            <w:pPr>
              <w:spacing w:after="0"/>
              <w:rPr>
                <w:sz w:val="9"/>
                <w:szCs w:val="9"/>
                <w:color w:val="auto"/>
              </w:rPr>
            </w:pPr>
          </w:p>
        </w:tc>
        <w:tc>
          <w:tcPr>
            <w:tcW w:w="1300" w:type="dxa"/>
            <w:vAlign w:val="bottom"/>
            <w:gridSpan w:val="2"/>
            <w:shd w:val="clear" w:color="auto" w:fill="CCEEFF"/>
          </w:tcPr>
          <w:p>
            <w:pPr>
              <w:ind w:left="160"/>
              <w:spacing w:after="0" w:line="114" w:lineRule="exact"/>
              <w:rPr>
                <w:sz w:val="20"/>
                <w:szCs w:val="20"/>
                <w:color w:val="auto"/>
              </w:rPr>
            </w:pPr>
            <w:r>
              <w:rPr>
                <w:rFonts w:ascii="Arial" w:cs="Arial" w:eastAsia="Arial" w:hAnsi="Arial"/>
                <w:sz w:val="13"/>
                <w:szCs w:val="13"/>
                <w:color w:val="auto"/>
              </w:rPr>
              <w:t>Between 7.47 and</w:t>
            </w:r>
          </w:p>
        </w:tc>
        <w:tc>
          <w:tcPr>
            <w:tcW w:w="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3"/>
                <w:szCs w:val="13"/>
                <w:color w:val="auto"/>
                <w:w w:val="86"/>
              </w:rPr>
              <w:t>Between June and July</w:t>
            </w:r>
          </w:p>
        </w:tc>
        <w:tc>
          <w:tcPr>
            <w:tcW w:w="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280" w:type="dxa"/>
            <w:vAlign w:val="bottom"/>
            <w:shd w:val="clear" w:color="auto" w:fill="CCEEFF"/>
          </w:tcPr>
          <w:p>
            <w:pPr>
              <w:ind w:left="340"/>
              <w:spacing w:after="0" w:line="146" w:lineRule="exact"/>
              <w:rPr>
                <w:sz w:val="20"/>
                <w:szCs w:val="20"/>
                <w:color w:val="auto"/>
              </w:rPr>
            </w:pPr>
            <w:r>
              <w:rPr>
                <w:rFonts w:ascii="Arial" w:cs="Arial" w:eastAsia="Arial" w:hAnsi="Arial"/>
                <w:sz w:val="13"/>
                <w:szCs w:val="13"/>
                <w:color w:val="auto"/>
              </w:rPr>
              <w:t>Third issuance (Series A and B) – BCP</w:t>
            </w:r>
          </w:p>
        </w:tc>
        <w:tc>
          <w:tcPr>
            <w:tcW w:w="1080" w:type="dxa"/>
            <w:vAlign w:val="bottom"/>
            <w:shd w:val="clear" w:color="auto" w:fill="CCEEFF"/>
          </w:tcPr>
          <w:p>
            <w:pPr>
              <w:jc w:val="center"/>
              <w:ind w:left="77"/>
              <w:spacing w:after="0" w:line="146" w:lineRule="exact"/>
              <w:rPr>
                <w:sz w:val="20"/>
                <w:szCs w:val="20"/>
                <w:color w:val="auto"/>
              </w:rPr>
            </w:pPr>
            <w:r>
              <w:rPr>
                <w:rFonts w:ascii="Arial" w:cs="Arial" w:eastAsia="Arial" w:hAnsi="Arial"/>
                <w:sz w:val="13"/>
                <w:szCs w:val="13"/>
                <w:color w:val="auto"/>
                <w:w w:val="86"/>
              </w:rPr>
              <w:t>8.50</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line="146" w:lineRule="exact"/>
              <w:rPr>
                <w:sz w:val="20"/>
                <w:szCs w:val="20"/>
                <w:color w:val="auto"/>
              </w:rPr>
            </w:pPr>
            <w:r>
              <w:rPr>
                <w:rFonts w:ascii="Arial" w:cs="Arial" w:eastAsia="Arial" w:hAnsi="Arial"/>
                <w:sz w:val="13"/>
                <w:szCs w:val="13"/>
                <w:color w:val="auto"/>
                <w:w w:val="89"/>
              </w:rPr>
              <w:t>Quarterly</w:t>
            </w:r>
          </w:p>
        </w:tc>
        <w:tc>
          <w:tcPr>
            <w:tcW w:w="1360" w:type="dxa"/>
            <w:vAlign w:val="bottom"/>
            <w:shd w:val="clear" w:color="auto" w:fill="CCEEFF"/>
          </w:tcPr>
          <w:p>
            <w:pPr>
              <w:jc w:val="center"/>
              <w:ind w:left="37"/>
              <w:spacing w:after="0" w:line="146" w:lineRule="exact"/>
              <w:rPr>
                <w:sz w:val="20"/>
                <w:szCs w:val="20"/>
                <w:color w:val="auto"/>
              </w:rPr>
            </w:pPr>
            <w:r>
              <w:rPr>
                <w:rFonts w:ascii="Arial" w:cs="Arial" w:eastAsia="Arial" w:hAnsi="Arial"/>
                <w:sz w:val="13"/>
                <w:szCs w:val="13"/>
                <w:color w:val="auto"/>
                <w:w w:val="89"/>
              </w:rPr>
              <w:t>2018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S/200,000</w:t>
            </w:r>
          </w:p>
        </w:tc>
        <w:tc>
          <w:tcPr>
            <w:tcW w:w="11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194,883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ind w:left="340"/>
              <w:spacing w:after="0" w:line="131" w:lineRule="exact"/>
              <w:rPr>
                <w:sz w:val="20"/>
                <w:szCs w:val="20"/>
                <w:color w:val="auto"/>
              </w:rPr>
            </w:pPr>
            <w:r>
              <w:rPr>
                <w:rFonts w:ascii="Arial" w:cs="Arial" w:eastAsia="Arial" w:hAnsi="Arial"/>
                <w:sz w:val="13"/>
                <w:szCs w:val="13"/>
                <w:b w:val="1"/>
                <w:bCs w:val="1"/>
                <w:color w:val="auto"/>
              </w:rPr>
              <w:t>Fourth program</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2"/>
          </w:tcPr>
          <w:p>
            <w:pPr>
              <w:jc w:val="center"/>
              <w:ind w:right="120"/>
              <w:spacing w:after="0" w:line="114" w:lineRule="exact"/>
              <w:rPr>
                <w:sz w:val="20"/>
                <w:szCs w:val="20"/>
                <w:color w:val="auto"/>
              </w:rPr>
            </w:pPr>
            <w:r>
              <w:rPr>
                <w:rFonts w:ascii="Arial" w:cs="Arial" w:eastAsia="Arial" w:hAnsi="Arial"/>
                <w:sz w:val="13"/>
                <w:szCs w:val="13"/>
                <w:color w:val="auto"/>
                <w:w w:val="85"/>
              </w:rPr>
              <w:t>Between December</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1300" w:type="dxa"/>
            <w:vAlign w:val="bottom"/>
            <w:gridSpan w:val="2"/>
          </w:tcPr>
          <w:p>
            <w:pPr>
              <w:ind w:left="160"/>
              <w:spacing w:after="0" w:line="131" w:lineRule="exact"/>
              <w:rPr>
                <w:sz w:val="20"/>
                <w:szCs w:val="20"/>
                <w:color w:val="auto"/>
              </w:rPr>
            </w:pPr>
            <w:r>
              <w:rPr>
                <w:rFonts w:ascii="Arial" w:cs="Arial" w:eastAsia="Arial" w:hAnsi="Arial"/>
                <w:sz w:val="13"/>
                <w:szCs w:val="13"/>
                <w:color w:val="auto"/>
              </w:rPr>
              <w:t>Between 5.31 and</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2"/>
          </w:tcPr>
          <w:p>
            <w:pPr>
              <w:jc w:val="center"/>
              <w:ind w:right="120"/>
              <w:spacing w:after="0" w:line="131" w:lineRule="exact"/>
              <w:rPr>
                <w:sz w:val="20"/>
                <w:szCs w:val="20"/>
                <w:color w:val="auto"/>
              </w:rPr>
            </w:pPr>
            <w:r>
              <w:rPr>
                <w:rFonts w:ascii="Arial" w:cs="Arial" w:eastAsia="Arial" w:hAnsi="Arial"/>
                <w:sz w:val="13"/>
                <w:szCs w:val="13"/>
                <w:color w:val="auto"/>
                <w:w w:val="86"/>
              </w:rPr>
              <w:t>2021 and November</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ind w:left="340"/>
              <w:spacing w:after="0" w:line="146" w:lineRule="exact"/>
              <w:rPr>
                <w:sz w:val="20"/>
                <w:szCs w:val="20"/>
                <w:color w:val="auto"/>
              </w:rPr>
            </w:pPr>
            <w:r>
              <w:rPr>
                <w:rFonts w:ascii="Arial" w:cs="Arial" w:eastAsia="Arial" w:hAnsi="Arial"/>
                <w:sz w:val="13"/>
                <w:szCs w:val="13"/>
                <w:color w:val="auto"/>
              </w:rPr>
              <w:t>Tenth issuance (Series A, B and C) - BCP</w:t>
            </w:r>
          </w:p>
        </w:tc>
        <w:tc>
          <w:tcPr>
            <w:tcW w:w="1080" w:type="dxa"/>
            <w:vAlign w:val="bottom"/>
          </w:tcPr>
          <w:p>
            <w:pPr>
              <w:jc w:val="center"/>
              <w:ind w:left="77"/>
              <w:spacing w:after="0" w:line="146" w:lineRule="exact"/>
              <w:rPr>
                <w:sz w:val="20"/>
                <w:szCs w:val="20"/>
                <w:color w:val="auto"/>
              </w:rPr>
            </w:pPr>
            <w:r>
              <w:rPr>
                <w:rFonts w:ascii="Arial" w:cs="Arial" w:eastAsia="Arial" w:hAnsi="Arial"/>
                <w:sz w:val="13"/>
                <w:szCs w:val="13"/>
                <w:color w:val="auto"/>
                <w:w w:val="86"/>
              </w:rPr>
              <w:t>7.25</w:t>
            </w:r>
          </w:p>
        </w:tc>
        <w:tc>
          <w:tcPr>
            <w:tcW w:w="220" w:type="dxa"/>
            <w:vAlign w:val="bottom"/>
          </w:tcPr>
          <w:p>
            <w:pPr>
              <w:spacing w:after="0"/>
              <w:rPr>
                <w:sz w:val="12"/>
                <w:szCs w:val="12"/>
                <w:color w:val="auto"/>
              </w:rPr>
            </w:pPr>
          </w:p>
        </w:tc>
        <w:tc>
          <w:tcPr>
            <w:tcW w:w="1180" w:type="dxa"/>
            <w:vAlign w:val="bottom"/>
            <w:gridSpan w:val="2"/>
          </w:tcPr>
          <w:p>
            <w:pPr>
              <w:jc w:val="center"/>
              <w:ind w:right="100"/>
              <w:spacing w:after="0" w:line="146" w:lineRule="exact"/>
              <w:rPr>
                <w:sz w:val="20"/>
                <w:szCs w:val="20"/>
                <w:color w:val="auto"/>
              </w:rPr>
            </w:pPr>
            <w:r>
              <w:rPr>
                <w:rFonts w:ascii="Arial" w:cs="Arial" w:eastAsia="Arial" w:hAnsi="Arial"/>
                <w:sz w:val="13"/>
                <w:szCs w:val="13"/>
                <w:color w:val="auto"/>
                <w:w w:val="87"/>
              </w:rPr>
              <w:t>Semi-annual</w:t>
            </w:r>
          </w:p>
        </w:tc>
        <w:tc>
          <w:tcPr>
            <w:tcW w:w="1360" w:type="dxa"/>
            <w:vAlign w:val="bottom"/>
          </w:tcPr>
          <w:p>
            <w:pPr>
              <w:jc w:val="center"/>
              <w:ind w:left="37"/>
              <w:spacing w:after="0" w:line="146" w:lineRule="exact"/>
              <w:rPr>
                <w:sz w:val="20"/>
                <w:szCs w:val="20"/>
                <w:color w:val="auto"/>
              </w:rPr>
            </w:pPr>
            <w:r>
              <w:rPr>
                <w:rFonts w:ascii="Arial" w:cs="Arial" w:eastAsia="Arial" w:hAnsi="Arial"/>
                <w:sz w:val="13"/>
                <w:szCs w:val="13"/>
                <w:color w:val="auto"/>
                <w:w w:val="89"/>
              </w:rPr>
              <w:t>2022</w:t>
            </w: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S/550,000</w:t>
            </w:r>
          </w:p>
        </w:tc>
        <w:tc>
          <w:tcPr>
            <w:tcW w:w="116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529,515</w:t>
            </w:r>
          </w:p>
        </w:tc>
        <w:tc>
          <w:tcPr>
            <w:tcW w:w="9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530,034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ind w:left="340"/>
              <w:spacing w:after="0" w:line="131" w:lineRule="exact"/>
              <w:rPr>
                <w:sz w:val="20"/>
                <w:szCs w:val="20"/>
                <w:color w:val="auto"/>
              </w:rPr>
            </w:pPr>
            <w:r>
              <w:rPr>
                <w:rFonts w:ascii="Arial" w:cs="Arial" w:eastAsia="Arial" w:hAnsi="Arial"/>
                <w:sz w:val="13"/>
                <w:szCs w:val="13"/>
                <w:color w:val="auto"/>
              </w:rPr>
              <w:t>First issuance (Series A) - Mibanco</w:t>
            </w:r>
          </w:p>
        </w:tc>
        <w:tc>
          <w:tcPr>
            <w:tcW w:w="1080" w:type="dxa"/>
            <w:vAlign w:val="bottom"/>
            <w:shd w:val="clear" w:color="auto" w:fill="CCEEFF"/>
          </w:tcPr>
          <w:p>
            <w:pPr>
              <w:jc w:val="center"/>
              <w:ind w:left="77"/>
              <w:spacing w:after="0" w:line="131" w:lineRule="exact"/>
              <w:rPr>
                <w:sz w:val="20"/>
                <w:szCs w:val="20"/>
                <w:color w:val="auto"/>
              </w:rPr>
            </w:pPr>
            <w:r>
              <w:rPr>
                <w:rFonts w:ascii="Arial" w:cs="Arial" w:eastAsia="Arial" w:hAnsi="Arial"/>
                <w:sz w:val="13"/>
                <w:szCs w:val="13"/>
                <w:color w:val="auto"/>
                <w:w w:val="86"/>
              </w:rPr>
              <w:t>6.56</w:t>
            </w:r>
          </w:p>
        </w:tc>
        <w:tc>
          <w:tcPr>
            <w:tcW w:w="2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89"/>
              </w:rPr>
              <w:t>July 2018</w:t>
            </w:r>
          </w:p>
        </w:tc>
        <w:tc>
          <w:tcPr>
            <w:tcW w:w="118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S/100,000</w:t>
            </w:r>
          </w:p>
        </w:tc>
        <w:tc>
          <w:tcPr>
            <w:tcW w:w="11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86,513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340"/>
              <w:spacing w:after="0" w:line="131" w:lineRule="exact"/>
              <w:rPr>
                <w:sz w:val="20"/>
                <w:szCs w:val="20"/>
                <w:color w:val="auto"/>
              </w:rPr>
            </w:pPr>
            <w:r>
              <w:rPr>
                <w:rFonts w:ascii="Arial" w:cs="Arial" w:eastAsia="Arial" w:hAnsi="Arial"/>
                <w:sz w:val="13"/>
                <w:szCs w:val="13"/>
                <w:color w:val="auto"/>
              </w:rPr>
              <w:t>First issuance (Series B) - Mibanco</w:t>
            </w:r>
          </w:p>
        </w:tc>
        <w:tc>
          <w:tcPr>
            <w:tcW w:w="1080" w:type="dxa"/>
            <w:vAlign w:val="bottom"/>
          </w:tcPr>
          <w:p>
            <w:pPr>
              <w:jc w:val="center"/>
              <w:ind w:left="77"/>
              <w:spacing w:after="0" w:line="131" w:lineRule="exact"/>
              <w:rPr>
                <w:sz w:val="20"/>
                <w:szCs w:val="20"/>
                <w:color w:val="auto"/>
              </w:rPr>
            </w:pPr>
            <w:r>
              <w:rPr>
                <w:rFonts w:ascii="Arial" w:cs="Arial" w:eastAsia="Arial" w:hAnsi="Arial"/>
                <w:sz w:val="13"/>
                <w:szCs w:val="13"/>
                <w:color w:val="auto"/>
                <w:w w:val="86"/>
              </w:rPr>
              <w:t>7.16</w:t>
            </w:r>
          </w:p>
        </w:tc>
        <w:tc>
          <w:tcPr>
            <w:tcW w:w="220" w:type="dxa"/>
            <w:vAlign w:val="bottom"/>
          </w:tcPr>
          <w:p>
            <w:pPr>
              <w:spacing w:after="0"/>
              <w:rPr>
                <w:sz w:val="11"/>
                <w:szCs w:val="11"/>
                <w:color w:val="auto"/>
              </w:rPr>
            </w:pPr>
          </w:p>
        </w:tc>
        <w:tc>
          <w:tcPr>
            <w:tcW w:w="11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5"/>
              </w:rPr>
              <w:t>June 2019</w:t>
            </w:r>
          </w:p>
        </w:tc>
        <w:tc>
          <w:tcPr>
            <w:tcW w:w="118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S/100,000</w:t>
            </w:r>
          </w:p>
        </w:tc>
        <w:tc>
          <w:tcPr>
            <w:tcW w:w="11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100,000</w:t>
            </w:r>
          </w:p>
        </w:tc>
        <w:tc>
          <w:tcPr>
            <w:tcW w:w="9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89,087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340"/>
              <w:spacing w:after="0" w:line="131" w:lineRule="exact"/>
              <w:rPr>
                <w:sz w:val="20"/>
                <w:szCs w:val="20"/>
                <w:color w:val="auto"/>
              </w:rPr>
            </w:pPr>
            <w:r>
              <w:rPr>
                <w:rFonts w:ascii="Arial" w:cs="Arial" w:eastAsia="Arial" w:hAnsi="Arial"/>
                <w:sz w:val="13"/>
                <w:szCs w:val="13"/>
                <w:b w:val="1"/>
                <w:bCs w:val="1"/>
                <w:color w:val="auto"/>
              </w:rPr>
              <w:t>Fifth program</w:t>
            </w: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ind w:left="340"/>
              <w:spacing w:after="0" w:line="131" w:lineRule="exact"/>
              <w:rPr>
                <w:sz w:val="20"/>
                <w:szCs w:val="20"/>
                <w:color w:val="auto"/>
              </w:rPr>
            </w:pPr>
            <w:r>
              <w:rPr>
                <w:rFonts w:ascii="Arial" w:cs="Arial" w:eastAsia="Arial" w:hAnsi="Arial"/>
                <w:sz w:val="13"/>
                <w:szCs w:val="13"/>
                <w:color w:val="auto"/>
              </w:rPr>
              <w:t>First issuance (Series A) - BCP</w:t>
            </w:r>
          </w:p>
        </w:tc>
        <w:tc>
          <w:tcPr>
            <w:tcW w:w="1080" w:type="dxa"/>
            <w:vAlign w:val="bottom"/>
            <w:shd w:val="clear" w:color="auto" w:fill="CCEEFF"/>
          </w:tcPr>
          <w:p>
            <w:pPr>
              <w:jc w:val="center"/>
              <w:ind w:left="77"/>
              <w:spacing w:after="0" w:line="131" w:lineRule="exact"/>
              <w:rPr>
                <w:sz w:val="20"/>
                <w:szCs w:val="20"/>
                <w:color w:val="auto"/>
              </w:rPr>
            </w:pPr>
            <w:r>
              <w:rPr>
                <w:rFonts w:ascii="Arial" w:cs="Arial" w:eastAsia="Arial" w:hAnsi="Arial"/>
                <w:sz w:val="13"/>
                <w:szCs w:val="13"/>
                <w:color w:val="auto"/>
                <w:w w:val="86"/>
              </w:rPr>
              <w:t>6.41</w:t>
            </w:r>
          </w:p>
        </w:tc>
        <w:tc>
          <w:tcPr>
            <w:tcW w:w="2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92"/>
              </w:rPr>
              <w:t>April 2019</w:t>
            </w:r>
          </w:p>
        </w:tc>
        <w:tc>
          <w:tcPr>
            <w:tcW w:w="118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S/172,870</w:t>
            </w:r>
          </w:p>
        </w:tc>
        <w:tc>
          <w:tcPr>
            <w:tcW w:w="11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162,561</w:t>
            </w:r>
          </w:p>
        </w:tc>
        <w:tc>
          <w:tcPr>
            <w:tcW w:w="9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162,096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340"/>
              <w:spacing w:after="0" w:line="131" w:lineRule="exact"/>
              <w:rPr>
                <w:sz w:val="20"/>
                <w:szCs w:val="20"/>
                <w:color w:val="auto"/>
              </w:rPr>
            </w:pPr>
            <w:r>
              <w:rPr>
                <w:rFonts w:ascii="Arial" w:cs="Arial" w:eastAsia="Arial" w:hAnsi="Arial"/>
                <w:sz w:val="13"/>
                <w:szCs w:val="13"/>
                <w:color w:val="auto"/>
              </w:rPr>
              <w:t>First issuance (Series B) - BCP</w:t>
            </w:r>
          </w:p>
        </w:tc>
        <w:tc>
          <w:tcPr>
            <w:tcW w:w="1080" w:type="dxa"/>
            <w:vAlign w:val="bottom"/>
          </w:tcPr>
          <w:p>
            <w:pPr>
              <w:jc w:val="center"/>
              <w:ind w:left="77"/>
              <w:spacing w:after="0" w:line="131" w:lineRule="exact"/>
              <w:rPr>
                <w:sz w:val="20"/>
                <w:szCs w:val="20"/>
                <w:color w:val="auto"/>
              </w:rPr>
            </w:pPr>
            <w:r>
              <w:rPr>
                <w:rFonts w:ascii="Arial" w:cs="Arial" w:eastAsia="Arial" w:hAnsi="Arial"/>
                <w:sz w:val="13"/>
                <w:szCs w:val="13"/>
                <w:color w:val="auto"/>
                <w:w w:val="86"/>
              </w:rPr>
              <w:t>5.59</w:t>
            </w:r>
          </w:p>
        </w:tc>
        <w:tc>
          <w:tcPr>
            <w:tcW w:w="220" w:type="dxa"/>
            <w:vAlign w:val="bottom"/>
          </w:tcPr>
          <w:p>
            <w:pPr>
              <w:spacing w:after="0"/>
              <w:rPr>
                <w:sz w:val="11"/>
                <w:szCs w:val="11"/>
                <w:color w:val="auto"/>
              </w:rPr>
            </w:pPr>
          </w:p>
        </w:tc>
        <w:tc>
          <w:tcPr>
            <w:tcW w:w="11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tcPr>
          <w:p>
            <w:pPr>
              <w:jc w:val="center"/>
              <w:ind w:right="120"/>
              <w:spacing w:after="0" w:line="131" w:lineRule="exact"/>
              <w:rPr>
                <w:sz w:val="20"/>
                <w:szCs w:val="20"/>
                <w:color w:val="auto"/>
              </w:rPr>
            </w:pPr>
            <w:r>
              <w:rPr>
                <w:rFonts w:ascii="Arial" w:cs="Arial" w:eastAsia="Arial" w:hAnsi="Arial"/>
                <w:sz w:val="13"/>
                <w:szCs w:val="13"/>
                <w:color w:val="auto"/>
                <w:w w:val="85"/>
              </w:rPr>
              <w:t>September 2019</w:t>
            </w:r>
          </w:p>
        </w:tc>
        <w:tc>
          <w:tcPr>
            <w:tcW w:w="118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S/150,000</w:t>
            </w:r>
          </w:p>
        </w:tc>
        <w:tc>
          <w:tcPr>
            <w:tcW w:w="11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128,342</w:t>
            </w:r>
          </w:p>
        </w:tc>
        <w:tc>
          <w:tcPr>
            <w:tcW w:w="9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136,311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ind w:left="340"/>
              <w:spacing w:after="0" w:line="131" w:lineRule="exact"/>
              <w:rPr>
                <w:sz w:val="20"/>
                <w:szCs w:val="20"/>
                <w:color w:val="auto"/>
              </w:rPr>
            </w:pPr>
            <w:r>
              <w:rPr>
                <w:rFonts w:ascii="Arial" w:cs="Arial" w:eastAsia="Arial" w:hAnsi="Arial"/>
                <w:sz w:val="13"/>
                <w:szCs w:val="13"/>
                <w:color w:val="auto"/>
              </w:rPr>
              <w:t>First issuance (Series C) - BCP</w:t>
            </w:r>
          </w:p>
        </w:tc>
        <w:tc>
          <w:tcPr>
            <w:tcW w:w="1080" w:type="dxa"/>
            <w:vAlign w:val="bottom"/>
            <w:shd w:val="clear" w:color="auto" w:fill="CCEEFF"/>
          </w:tcPr>
          <w:p>
            <w:pPr>
              <w:jc w:val="center"/>
              <w:ind w:left="57"/>
              <w:spacing w:after="0" w:line="131" w:lineRule="exact"/>
              <w:rPr>
                <w:sz w:val="20"/>
                <w:szCs w:val="20"/>
                <w:color w:val="auto"/>
              </w:rPr>
            </w:pPr>
            <w:r>
              <w:rPr>
                <w:rFonts w:ascii="Arial" w:cs="Arial" w:eastAsia="Arial" w:hAnsi="Arial"/>
                <w:sz w:val="13"/>
                <w:szCs w:val="13"/>
                <w:color w:val="auto"/>
                <w:w w:val="85"/>
              </w:rPr>
              <w:t>5.625</w:t>
            </w:r>
          </w:p>
        </w:tc>
        <w:tc>
          <w:tcPr>
            <w:tcW w:w="2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88"/>
              </w:rPr>
              <w:t>November 2019</w:t>
            </w:r>
          </w:p>
        </w:tc>
        <w:tc>
          <w:tcPr>
            <w:tcW w:w="118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S/138,410</w:t>
            </w:r>
          </w:p>
        </w:tc>
        <w:tc>
          <w:tcPr>
            <w:tcW w:w="11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124,019</w:t>
            </w:r>
          </w:p>
        </w:tc>
        <w:tc>
          <w:tcPr>
            <w:tcW w:w="9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123,761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340"/>
              <w:spacing w:after="0" w:line="131" w:lineRule="exact"/>
              <w:rPr>
                <w:sz w:val="20"/>
                <w:szCs w:val="20"/>
                <w:color w:val="auto"/>
              </w:rPr>
            </w:pPr>
            <w:r>
              <w:rPr>
                <w:rFonts w:ascii="Arial" w:cs="Arial" w:eastAsia="Arial" w:hAnsi="Arial"/>
                <w:sz w:val="13"/>
                <w:szCs w:val="13"/>
                <w:color w:val="auto"/>
              </w:rPr>
              <w:t>First issuance (Series D) - BCP</w:t>
            </w:r>
          </w:p>
        </w:tc>
        <w:tc>
          <w:tcPr>
            <w:tcW w:w="1080" w:type="dxa"/>
            <w:vAlign w:val="bottom"/>
          </w:tcPr>
          <w:p>
            <w:pPr>
              <w:jc w:val="center"/>
              <w:ind w:left="77"/>
              <w:spacing w:after="0" w:line="131" w:lineRule="exact"/>
              <w:rPr>
                <w:sz w:val="20"/>
                <w:szCs w:val="20"/>
                <w:color w:val="auto"/>
              </w:rPr>
            </w:pPr>
            <w:r>
              <w:rPr>
                <w:rFonts w:ascii="Arial" w:cs="Arial" w:eastAsia="Arial" w:hAnsi="Arial"/>
                <w:sz w:val="13"/>
                <w:szCs w:val="13"/>
                <w:color w:val="auto"/>
                <w:w w:val="86"/>
              </w:rPr>
              <w:t>5.91</w:t>
            </w:r>
          </w:p>
        </w:tc>
        <w:tc>
          <w:tcPr>
            <w:tcW w:w="220" w:type="dxa"/>
            <w:vAlign w:val="bottom"/>
          </w:tcPr>
          <w:p>
            <w:pPr>
              <w:spacing w:after="0"/>
              <w:rPr>
                <w:sz w:val="11"/>
                <w:szCs w:val="11"/>
                <w:color w:val="auto"/>
              </w:rPr>
            </w:pPr>
          </w:p>
        </w:tc>
        <w:tc>
          <w:tcPr>
            <w:tcW w:w="11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6"/>
              </w:rPr>
              <w:t>January 2020</w:t>
            </w:r>
          </w:p>
        </w:tc>
        <w:tc>
          <w:tcPr>
            <w:tcW w:w="118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S/182,410</w:t>
            </w:r>
          </w:p>
        </w:tc>
        <w:tc>
          <w:tcPr>
            <w:tcW w:w="11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167,649</w:t>
            </w:r>
          </w:p>
        </w:tc>
        <w:tc>
          <w:tcPr>
            <w:tcW w:w="9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167,500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ind w:left="340"/>
              <w:spacing w:after="0" w:line="131" w:lineRule="exact"/>
              <w:rPr>
                <w:sz w:val="20"/>
                <w:szCs w:val="20"/>
                <w:color w:val="auto"/>
              </w:rPr>
            </w:pPr>
            <w:r>
              <w:rPr>
                <w:rFonts w:ascii="Arial" w:cs="Arial" w:eastAsia="Arial" w:hAnsi="Arial"/>
                <w:sz w:val="13"/>
                <w:szCs w:val="13"/>
                <w:color w:val="auto"/>
              </w:rPr>
              <w:t>Third issuance (Series A) - BCP</w:t>
            </w:r>
          </w:p>
        </w:tc>
        <w:tc>
          <w:tcPr>
            <w:tcW w:w="1080" w:type="dxa"/>
            <w:vAlign w:val="bottom"/>
            <w:shd w:val="clear" w:color="auto" w:fill="CCEEFF"/>
          </w:tcPr>
          <w:p>
            <w:pPr>
              <w:jc w:val="center"/>
              <w:ind w:left="77"/>
              <w:spacing w:after="0" w:line="131" w:lineRule="exact"/>
              <w:rPr>
                <w:sz w:val="20"/>
                <w:szCs w:val="20"/>
                <w:color w:val="auto"/>
              </w:rPr>
            </w:pPr>
            <w:r>
              <w:rPr>
                <w:rFonts w:ascii="Arial" w:cs="Arial" w:eastAsia="Arial" w:hAnsi="Arial"/>
                <w:sz w:val="13"/>
                <w:szCs w:val="13"/>
                <w:color w:val="auto"/>
                <w:w w:val="86"/>
              </w:rPr>
              <w:t>4.59</w:t>
            </w:r>
          </w:p>
        </w:tc>
        <w:tc>
          <w:tcPr>
            <w:tcW w:w="2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89"/>
              </w:rPr>
              <w:t>July 2021</w:t>
            </w:r>
          </w:p>
        </w:tc>
        <w:tc>
          <w:tcPr>
            <w:tcW w:w="118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S/70,770</w:t>
            </w:r>
          </w:p>
        </w:tc>
        <w:tc>
          <w:tcPr>
            <w:tcW w:w="11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65,300</w:t>
            </w:r>
          </w:p>
        </w:tc>
        <w:tc>
          <w:tcPr>
            <w:tcW w:w="9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340"/>
              <w:spacing w:after="0" w:line="143" w:lineRule="exact"/>
              <w:rPr>
                <w:sz w:val="20"/>
                <w:szCs w:val="20"/>
                <w:color w:val="auto"/>
              </w:rPr>
            </w:pPr>
            <w:r>
              <w:rPr>
                <w:rFonts w:ascii="Arial" w:cs="Arial" w:eastAsia="Arial" w:hAnsi="Arial"/>
                <w:sz w:val="13"/>
                <w:szCs w:val="13"/>
                <w:color w:val="auto"/>
              </w:rPr>
              <w:t>Third issuance (Series B) - BCP</w:t>
            </w:r>
          </w:p>
        </w:tc>
        <w:tc>
          <w:tcPr>
            <w:tcW w:w="1080" w:type="dxa"/>
            <w:vAlign w:val="bottom"/>
          </w:tcPr>
          <w:p>
            <w:pPr>
              <w:jc w:val="center"/>
              <w:ind w:left="77"/>
              <w:spacing w:after="0" w:line="143" w:lineRule="exact"/>
              <w:rPr>
                <w:sz w:val="20"/>
                <w:szCs w:val="20"/>
                <w:color w:val="auto"/>
              </w:rPr>
            </w:pPr>
            <w:r>
              <w:rPr>
                <w:rFonts w:ascii="Arial" w:cs="Arial" w:eastAsia="Arial" w:hAnsi="Arial"/>
                <w:sz w:val="13"/>
                <w:szCs w:val="13"/>
                <w:color w:val="auto"/>
                <w:w w:val="86"/>
              </w:rPr>
              <w:t>4.88</w:t>
            </w:r>
          </w:p>
        </w:tc>
        <w:tc>
          <w:tcPr>
            <w:tcW w:w="220" w:type="dxa"/>
            <w:vAlign w:val="bottom"/>
          </w:tcPr>
          <w:p>
            <w:pPr>
              <w:spacing w:after="0"/>
              <w:rPr>
                <w:sz w:val="12"/>
                <w:szCs w:val="12"/>
                <w:color w:val="auto"/>
              </w:rPr>
            </w:pPr>
          </w:p>
        </w:tc>
        <w:tc>
          <w:tcPr>
            <w:tcW w:w="1180" w:type="dxa"/>
            <w:vAlign w:val="bottom"/>
            <w:gridSpan w:val="2"/>
          </w:tcPr>
          <w:p>
            <w:pPr>
              <w:jc w:val="center"/>
              <w:ind w:right="100"/>
              <w:spacing w:after="0" w:line="143" w:lineRule="exact"/>
              <w:rPr>
                <w:sz w:val="20"/>
                <w:szCs w:val="20"/>
                <w:color w:val="auto"/>
              </w:rPr>
            </w:pPr>
            <w:r>
              <w:rPr>
                <w:rFonts w:ascii="Arial" w:cs="Arial" w:eastAsia="Arial" w:hAnsi="Arial"/>
                <w:sz w:val="13"/>
                <w:szCs w:val="13"/>
                <w:color w:val="auto"/>
                <w:w w:val="87"/>
              </w:rPr>
              <w:t>Semi-annual</w:t>
            </w:r>
          </w:p>
        </w:tc>
        <w:tc>
          <w:tcPr>
            <w:tcW w:w="1580" w:type="dxa"/>
            <w:vAlign w:val="bottom"/>
            <w:gridSpan w:val="2"/>
          </w:tcPr>
          <w:p>
            <w:pPr>
              <w:jc w:val="center"/>
              <w:ind w:right="120"/>
              <w:spacing w:after="0" w:line="143" w:lineRule="exact"/>
              <w:rPr>
                <w:sz w:val="20"/>
                <w:szCs w:val="20"/>
                <w:color w:val="auto"/>
              </w:rPr>
            </w:pPr>
            <w:r>
              <w:rPr>
                <w:rFonts w:ascii="Arial" w:cs="Arial" w:eastAsia="Arial" w:hAnsi="Arial"/>
                <w:sz w:val="13"/>
                <w:szCs w:val="13"/>
                <w:color w:val="auto"/>
                <w:w w:val="88"/>
              </w:rPr>
              <w:t>October 2021</w:t>
            </w:r>
          </w:p>
        </w:tc>
        <w:tc>
          <w:tcPr>
            <w:tcW w:w="118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S/42,200</w:t>
            </w:r>
          </w:p>
        </w:tc>
        <w:tc>
          <w:tcPr>
            <w:tcW w:w="116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29,729</w:t>
            </w:r>
          </w:p>
        </w:tc>
        <w:tc>
          <w:tcPr>
            <w:tcW w:w="98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1,307,115</w:t>
            </w:r>
          </w:p>
        </w:tc>
        <w:tc>
          <w:tcPr>
            <w:tcW w:w="2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color w:val="auto"/>
              </w:rPr>
              <w:t>1,490,185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320"/>
          </w:cols>
          <w:pgMar w:left="240" w:top="81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Annual interest rate</w:t>
            </w: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 payment</w:t>
            </w:r>
          </w:p>
        </w:tc>
        <w:tc>
          <w:tcPr>
            <w:tcW w:w="1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Maturity</w:t>
            </w: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Issued amount</w:t>
            </w:r>
          </w:p>
        </w:tc>
        <w:tc>
          <w:tcPr>
            <w:tcW w:w="1020" w:type="dxa"/>
            <w:vAlign w:val="bottom"/>
          </w:tcPr>
          <w:p>
            <w:pPr>
              <w:jc w:val="right"/>
              <w:ind w:right="31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1020" w:type="dxa"/>
            <w:vAlign w:val="bottom"/>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00" w:type="dxa"/>
            <w:vAlign w:val="bottom"/>
            <w:tcBorders>
              <w:top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(000)</w:t>
            </w:r>
          </w:p>
        </w:tc>
        <w:tc>
          <w:tcPr>
            <w:tcW w:w="220" w:type="dxa"/>
            <w:vAlign w:val="bottom"/>
          </w:tcPr>
          <w:p>
            <w:pPr>
              <w:spacing w:after="0"/>
              <w:rPr>
                <w:sz w:val="13"/>
                <w:szCs w:val="13"/>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Subordinated bonds - BCP (iv)</w:t>
            </w:r>
          </w:p>
        </w:tc>
        <w:tc>
          <w:tcPr>
            <w:tcW w:w="1100" w:type="dxa"/>
            <w:vAlign w:val="bottom"/>
            <w:shd w:val="clear" w:color="auto" w:fill="CCEEFF"/>
          </w:tcPr>
          <w:p>
            <w:pPr>
              <w:jc w:val="right"/>
              <w:ind w:right="377"/>
              <w:spacing w:after="0" w:line="131" w:lineRule="exact"/>
              <w:rPr>
                <w:sz w:val="20"/>
                <w:szCs w:val="20"/>
                <w:color w:val="auto"/>
              </w:rPr>
            </w:pPr>
            <w:r>
              <w:rPr>
                <w:rFonts w:ascii="Arial" w:cs="Arial" w:eastAsia="Arial" w:hAnsi="Arial"/>
                <w:sz w:val="13"/>
                <w:szCs w:val="13"/>
                <w:color w:val="auto"/>
              </w:rPr>
              <w:t>6.13</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color w:val="auto"/>
                <w:w w:val="92"/>
              </w:rPr>
              <w:t>April 2027</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US$720,000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2,436,615</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2,333,152</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Subordinated bonds - BCP (v)</w:t>
            </w:r>
          </w:p>
        </w:tc>
        <w:tc>
          <w:tcPr>
            <w:tcW w:w="1100" w:type="dxa"/>
            <w:vAlign w:val="bottom"/>
            <w:shd w:val="clear" w:color="auto" w:fill="CCEEFF"/>
          </w:tcPr>
          <w:p>
            <w:pPr>
              <w:jc w:val="center"/>
              <w:ind w:left="97"/>
              <w:spacing w:after="0" w:line="131" w:lineRule="exact"/>
              <w:rPr>
                <w:sz w:val="20"/>
                <w:szCs w:val="20"/>
                <w:color w:val="auto"/>
              </w:rPr>
            </w:pPr>
            <w:r>
              <w:rPr>
                <w:rFonts w:ascii="Arial" w:cs="Arial" w:eastAsia="Arial" w:hAnsi="Arial"/>
                <w:sz w:val="13"/>
                <w:szCs w:val="13"/>
                <w:color w:val="auto"/>
                <w:w w:val="86"/>
              </w:rPr>
              <w:t>6.88</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5"/>
              </w:rPr>
              <w:t>September 2026</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US$350,000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1,151,325</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1,135,050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Junior subordinated bonds - BCP (vi)</w:t>
            </w:r>
          </w:p>
        </w:tc>
        <w:tc>
          <w:tcPr>
            <w:tcW w:w="1100" w:type="dxa"/>
            <w:vAlign w:val="bottom"/>
            <w:shd w:val="clear" w:color="auto" w:fill="CCEEFF"/>
          </w:tcPr>
          <w:p>
            <w:pPr>
              <w:jc w:val="center"/>
              <w:ind w:left="97"/>
              <w:spacing w:after="0" w:line="131" w:lineRule="exact"/>
              <w:rPr>
                <w:sz w:val="20"/>
                <w:szCs w:val="20"/>
                <w:color w:val="auto"/>
              </w:rPr>
            </w:pPr>
            <w:r>
              <w:rPr>
                <w:rFonts w:ascii="Arial" w:cs="Arial" w:eastAsia="Arial" w:hAnsi="Arial"/>
                <w:sz w:val="13"/>
                <w:szCs w:val="13"/>
                <w:color w:val="auto"/>
                <w:w w:val="86"/>
              </w:rPr>
              <w:t>9.75</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8"/>
              </w:rPr>
              <w:t>November 2069</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US$250,000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840,543</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813,695</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Subordinated bonds -</w:t>
            </w: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ind w:left="300"/>
              <w:spacing w:after="0" w:line="131" w:lineRule="exact"/>
              <w:rPr>
                <w:sz w:val="20"/>
                <w:szCs w:val="20"/>
                <w:color w:val="auto"/>
              </w:rPr>
            </w:pPr>
            <w:r>
              <w:rPr>
                <w:rFonts w:ascii="Arial" w:cs="Arial" w:eastAsia="Arial" w:hAnsi="Arial"/>
                <w:sz w:val="13"/>
                <w:szCs w:val="13"/>
                <w:b w:val="1"/>
                <w:bCs w:val="1"/>
                <w:color w:val="auto"/>
              </w:rPr>
              <w:t>First program</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ind w:left="300"/>
              <w:spacing w:after="0" w:line="131" w:lineRule="exact"/>
              <w:rPr>
                <w:sz w:val="20"/>
                <w:szCs w:val="20"/>
                <w:color w:val="auto"/>
              </w:rPr>
            </w:pPr>
            <w:r>
              <w:rPr>
                <w:rFonts w:ascii="Arial" w:cs="Arial" w:eastAsia="Arial" w:hAnsi="Arial"/>
                <w:sz w:val="13"/>
                <w:szCs w:val="13"/>
                <w:color w:val="auto"/>
              </w:rPr>
              <w:t>First issuance (Series A) - BCP</w:t>
            </w:r>
          </w:p>
        </w:tc>
        <w:tc>
          <w:tcPr>
            <w:tcW w:w="1100" w:type="dxa"/>
            <w:vAlign w:val="bottom"/>
            <w:shd w:val="clear" w:color="auto" w:fill="CCEEFF"/>
          </w:tcPr>
          <w:p>
            <w:pPr>
              <w:jc w:val="center"/>
              <w:ind w:left="97"/>
              <w:spacing w:after="0" w:line="131" w:lineRule="exact"/>
              <w:rPr>
                <w:sz w:val="20"/>
                <w:szCs w:val="20"/>
                <w:color w:val="auto"/>
              </w:rPr>
            </w:pPr>
            <w:r>
              <w:rPr>
                <w:rFonts w:ascii="Arial" w:cs="Arial" w:eastAsia="Arial" w:hAnsi="Arial"/>
                <w:sz w:val="13"/>
                <w:szCs w:val="13"/>
                <w:color w:val="auto"/>
                <w:w w:val="86"/>
              </w:rPr>
              <w:t>6.22</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91"/>
              </w:rPr>
              <w:t>May 2027</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S/15,000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15,000</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ind w:left="300"/>
              <w:spacing w:after="0" w:line="131" w:lineRule="exact"/>
              <w:rPr>
                <w:sz w:val="20"/>
                <w:szCs w:val="20"/>
                <w:color w:val="auto"/>
              </w:rPr>
            </w:pPr>
            <w:r>
              <w:rPr>
                <w:rFonts w:ascii="Arial" w:cs="Arial" w:eastAsia="Arial" w:hAnsi="Arial"/>
                <w:sz w:val="13"/>
                <w:szCs w:val="13"/>
                <w:color w:val="auto"/>
              </w:rPr>
              <w:t>First issuance (Series A) - Pacífico Seguros</w:t>
            </w:r>
          </w:p>
        </w:tc>
        <w:tc>
          <w:tcPr>
            <w:tcW w:w="1100" w:type="dxa"/>
            <w:vAlign w:val="bottom"/>
          </w:tcPr>
          <w:p>
            <w:pPr>
              <w:jc w:val="center"/>
              <w:ind w:left="97"/>
              <w:spacing w:after="0" w:line="131" w:lineRule="exact"/>
              <w:rPr>
                <w:sz w:val="20"/>
                <w:szCs w:val="20"/>
                <w:color w:val="auto"/>
              </w:rPr>
            </w:pPr>
            <w:r>
              <w:rPr>
                <w:rFonts w:ascii="Arial" w:cs="Arial" w:eastAsia="Arial" w:hAnsi="Arial"/>
                <w:sz w:val="13"/>
                <w:szCs w:val="13"/>
                <w:color w:val="auto"/>
                <w:w w:val="86"/>
              </w:rPr>
              <w:t>6.97</w:t>
            </w:r>
          </w:p>
        </w:tc>
        <w:tc>
          <w:tcPr>
            <w:tcW w:w="240" w:type="dxa"/>
            <w:vAlign w:val="bottom"/>
          </w:tcPr>
          <w:p>
            <w:pPr>
              <w:spacing w:after="0"/>
              <w:rPr>
                <w:sz w:val="11"/>
                <w:szCs w:val="11"/>
                <w:color w:val="auto"/>
              </w:rPr>
            </w:pP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9"/>
              </w:rPr>
              <w:t>Quarterly</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8"/>
              </w:rPr>
              <w:t>November 2026</w:t>
            </w:r>
          </w:p>
        </w:tc>
        <w:tc>
          <w:tcPr>
            <w:tcW w:w="12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US$60,000</w:t>
            </w:r>
          </w:p>
        </w:tc>
        <w:tc>
          <w:tcPr>
            <w:tcW w:w="12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201,933</w:t>
            </w:r>
          </w:p>
        </w:tc>
        <w:tc>
          <w:tcPr>
            <w:tcW w:w="114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193,900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ind w:left="300"/>
              <w:spacing w:after="0" w:line="131" w:lineRule="exact"/>
              <w:rPr>
                <w:sz w:val="20"/>
                <w:szCs w:val="20"/>
                <w:color w:val="auto"/>
              </w:rPr>
            </w:pPr>
            <w:r>
              <w:rPr>
                <w:rFonts w:ascii="Arial" w:cs="Arial" w:eastAsia="Arial" w:hAnsi="Arial"/>
                <w:sz w:val="13"/>
                <w:szCs w:val="13"/>
                <w:b w:val="1"/>
                <w:bCs w:val="1"/>
                <w:color w:val="auto"/>
              </w:rPr>
              <w:t>Second program</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ind w:left="300"/>
              <w:spacing w:after="0" w:line="131" w:lineRule="exact"/>
              <w:rPr>
                <w:sz w:val="20"/>
                <w:szCs w:val="20"/>
                <w:color w:val="auto"/>
              </w:rPr>
            </w:pPr>
            <w:r>
              <w:rPr>
                <w:rFonts w:ascii="Arial" w:cs="Arial" w:eastAsia="Arial" w:hAnsi="Arial"/>
                <w:sz w:val="13"/>
                <w:szCs w:val="13"/>
                <w:color w:val="auto"/>
              </w:rPr>
              <w:t>First issuance (Series A) - Mibanco</w:t>
            </w:r>
          </w:p>
        </w:tc>
        <w:tc>
          <w:tcPr>
            <w:tcW w:w="1100" w:type="dxa"/>
            <w:vAlign w:val="bottom"/>
            <w:shd w:val="clear" w:color="auto" w:fill="CCEEFF"/>
          </w:tcPr>
          <w:p>
            <w:pPr>
              <w:jc w:val="center"/>
              <w:ind w:left="97"/>
              <w:spacing w:after="0" w:line="131" w:lineRule="exact"/>
              <w:rPr>
                <w:sz w:val="20"/>
                <w:szCs w:val="20"/>
                <w:color w:val="auto"/>
              </w:rPr>
            </w:pPr>
            <w:r>
              <w:rPr>
                <w:rFonts w:ascii="Arial" w:cs="Arial" w:eastAsia="Arial" w:hAnsi="Arial"/>
                <w:sz w:val="13"/>
                <w:szCs w:val="13"/>
                <w:color w:val="auto"/>
                <w:w w:val="86"/>
              </w:rPr>
              <w:t>8.50</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91"/>
              </w:rPr>
              <w:t>May 2026</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S/100,000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100,000</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ind w:left="300"/>
              <w:spacing w:after="0" w:line="131" w:lineRule="exact"/>
              <w:rPr>
                <w:sz w:val="20"/>
                <w:szCs w:val="20"/>
                <w:color w:val="auto"/>
              </w:rPr>
            </w:pPr>
            <w:r>
              <w:rPr>
                <w:rFonts w:ascii="Arial" w:cs="Arial" w:eastAsia="Arial" w:hAnsi="Arial"/>
                <w:sz w:val="13"/>
                <w:szCs w:val="13"/>
                <w:color w:val="auto"/>
              </w:rPr>
              <w:t>First issuance (Series B) - Mibanco</w:t>
            </w:r>
          </w:p>
        </w:tc>
        <w:tc>
          <w:tcPr>
            <w:tcW w:w="1100" w:type="dxa"/>
            <w:vAlign w:val="bottom"/>
          </w:tcPr>
          <w:p>
            <w:pPr>
              <w:jc w:val="center"/>
              <w:ind w:left="97"/>
              <w:spacing w:after="0" w:line="131" w:lineRule="exact"/>
              <w:rPr>
                <w:sz w:val="20"/>
                <w:szCs w:val="20"/>
                <w:color w:val="auto"/>
              </w:rPr>
            </w:pPr>
            <w:r>
              <w:rPr>
                <w:rFonts w:ascii="Arial" w:cs="Arial" w:eastAsia="Arial" w:hAnsi="Arial"/>
                <w:sz w:val="13"/>
                <w:szCs w:val="13"/>
                <w:color w:val="auto"/>
                <w:w w:val="86"/>
              </w:rPr>
              <w:t>7.22</w:t>
            </w:r>
          </w:p>
        </w:tc>
        <w:tc>
          <w:tcPr>
            <w:tcW w:w="240" w:type="dxa"/>
            <w:vAlign w:val="bottom"/>
          </w:tcPr>
          <w:p>
            <w:pPr>
              <w:spacing w:after="0"/>
              <w:rPr>
                <w:sz w:val="11"/>
                <w:szCs w:val="11"/>
                <w:color w:val="auto"/>
              </w:rPr>
            </w:pP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tcPr>
          <w:p>
            <w:pPr>
              <w:jc w:val="center"/>
              <w:ind w:right="120"/>
              <w:spacing w:after="0" w:line="131" w:lineRule="exact"/>
              <w:rPr>
                <w:sz w:val="20"/>
                <w:szCs w:val="20"/>
                <w:color w:val="auto"/>
              </w:rPr>
            </w:pPr>
            <w:r>
              <w:rPr>
                <w:rFonts w:ascii="Arial" w:cs="Arial" w:eastAsia="Arial" w:hAnsi="Arial"/>
                <w:sz w:val="13"/>
                <w:szCs w:val="13"/>
                <w:color w:val="auto"/>
                <w:w w:val="85"/>
              </w:rPr>
              <w:t>June 2027</w:t>
            </w:r>
          </w:p>
        </w:tc>
        <w:tc>
          <w:tcPr>
            <w:tcW w:w="12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S/30,000</w:t>
            </w:r>
          </w:p>
        </w:tc>
        <w:tc>
          <w:tcPr>
            <w:tcW w:w="12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30,000</w:t>
            </w:r>
          </w:p>
        </w:tc>
        <w:tc>
          <w:tcPr>
            <w:tcW w:w="114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29,953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ind w:left="300"/>
              <w:spacing w:after="0" w:line="131" w:lineRule="exact"/>
              <w:rPr>
                <w:sz w:val="20"/>
                <w:szCs w:val="20"/>
                <w:color w:val="auto"/>
              </w:rPr>
            </w:pPr>
            <w:r>
              <w:rPr>
                <w:rFonts w:ascii="Arial" w:cs="Arial" w:eastAsia="Arial" w:hAnsi="Arial"/>
                <w:sz w:val="13"/>
                <w:szCs w:val="13"/>
                <w:b w:val="1"/>
                <w:bCs w:val="1"/>
                <w:color w:val="auto"/>
              </w:rPr>
              <w:t>Third program</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ind w:left="300"/>
              <w:spacing w:after="0" w:line="131" w:lineRule="exact"/>
              <w:rPr>
                <w:sz w:val="20"/>
                <w:szCs w:val="20"/>
                <w:color w:val="auto"/>
              </w:rPr>
            </w:pPr>
            <w:r>
              <w:rPr>
                <w:rFonts w:ascii="Arial" w:cs="Arial" w:eastAsia="Arial" w:hAnsi="Arial"/>
                <w:sz w:val="13"/>
                <w:szCs w:val="13"/>
                <w:color w:val="auto"/>
              </w:rPr>
              <w:t>Fourth issuance (Series A) - Mibanco</w:t>
            </w:r>
          </w:p>
        </w:tc>
        <w:tc>
          <w:tcPr>
            <w:tcW w:w="1100" w:type="dxa"/>
            <w:vAlign w:val="bottom"/>
            <w:shd w:val="clear" w:color="auto" w:fill="CCEEFF"/>
          </w:tcPr>
          <w:p>
            <w:pPr>
              <w:jc w:val="center"/>
              <w:ind w:left="97"/>
              <w:spacing w:after="0" w:line="131" w:lineRule="exact"/>
              <w:rPr>
                <w:sz w:val="20"/>
                <w:szCs w:val="20"/>
                <w:color w:val="auto"/>
              </w:rPr>
            </w:pPr>
            <w:r>
              <w:rPr>
                <w:rFonts w:ascii="Arial" w:cs="Arial" w:eastAsia="Arial" w:hAnsi="Arial"/>
                <w:sz w:val="13"/>
                <w:szCs w:val="13"/>
                <w:color w:val="auto"/>
                <w:w w:val="86"/>
              </w:rPr>
              <w:t>6.19</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3"/>
                <w:szCs w:val="13"/>
                <w:color w:val="auto"/>
                <w:w w:val="86"/>
              </w:rPr>
              <w:t>December 2022</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S/40,000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39,862</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39,978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ind w:left="300"/>
              <w:spacing w:after="0" w:line="131" w:lineRule="exact"/>
              <w:rPr>
                <w:sz w:val="20"/>
                <w:szCs w:val="20"/>
                <w:color w:val="auto"/>
              </w:rPr>
            </w:pPr>
            <w:r>
              <w:rPr>
                <w:rFonts w:ascii="Arial" w:cs="Arial" w:eastAsia="Arial" w:hAnsi="Arial"/>
                <w:sz w:val="13"/>
                <w:szCs w:val="13"/>
                <w:color w:val="auto"/>
              </w:rPr>
              <w:t>Fifth issuance (Series A and B) - Mibanco</w:t>
            </w:r>
          </w:p>
        </w:tc>
        <w:tc>
          <w:tcPr>
            <w:tcW w:w="1100" w:type="dxa"/>
            <w:vAlign w:val="bottom"/>
          </w:tcPr>
          <w:p>
            <w:pPr>
              <w:jc w:val="center"/>
              <w:ind w:left="97"/>
              <w:spacing w:after="0" w:line="131" w:lineRule="exact"/>
              <w:rPr>
                <w:sz w:val="20"/>
                <w:szCs w:val="20"/>
                <w:color w:val="auto"/>
              </w:rPr>
            </w:pPr>
            <w:r>
              <w:rPr>
                <w:rFonts w:ascii="Arial" w:cs="Arial" w:eastAsia="Arial" w:hAnsi="Arial"/>
                <w:sz w:val="13"/>
                <w:szCs w:val="13"/>
                <w:color w:val="auto"/>
                <w:w w:val="86"/>
              </w:rPr>
              <w:t>7.75</w:t>
            </w:r>
          </w:p>
        </w:tc>
        <w:tc>
          <w:tcPr>
            <w:tcW w:w="240" w:type="dxa"/>
            <w:vAlign w:val="bottom"/>
          </w:tcPr>
          <w:p>
            <w:pPr>
              <w:spacing w:after="0"/>
              <w:rPr>
                <w:sz w:val="11"/>
                <w:szCs w:val="11"/>
                <w:color w:val="auto"/>
              </w:rPr>
            </w:pP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9"/>
              </w:rPr>
              <w:t>July 2024</w:t>
            </w:r>
          </w:p>
        </w:tc>
        <w:tc>
          <w:tcPr>
            <w:tcW w:w="12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S/88,009</w:t>
            </w:r>
          </w:p>
        </w:tc>
        <w:tc>
          <w:tcPr>
            <w:tcW w:w="12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88,009</w:t>
            </w:r>
          </w:p>
        </w:tc>
        <w:tc>
          <w:tcPr>
            <w:tcW w:w="114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87,869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ind w:left="300"/>
              <w:spacing w:after="0" w:line="131" w:lineRule="exact"/>
              <w:rPr>
                <w:sz w:val="20"/>
                <w:szCs w:val="20"/>
                <w:color w:val="auto"/>
              </w:rPr>
            </w:pPr>
            <w:r>
              <w:rPr>
                <w:rFonts w:ascii="Arial" w:cs="Arial" w:eastAsia="Arial" w:hAnsi="Arial"/>
                <w:sz w:val="13"/>
                <w:szCs w:val="13"/>
                <w:color w:val="auto"/>
              </w:rPr>
              <w:t>Issuance I - Banco de Crédito de Bolivia</w:t>
            </w:r>
          </w:p>
        </w:tc>
        <w:tc>
          <w:tcPr>
            <w:tcW w:w="1100" w:type="dxa"/>
            <w:vAlign w:val="bottom"/>
            <w:shd w:val="clear" w:color="auto" w:fill="CCEEFF"/>
          </w:tcPr>
          <w:p>
            <w:pPr>
              <w:jc w:val="center"/>
              <w:ind w:left="97"/>
              <w:spacing w:after="0" w:line="131" w:lineRule="exact"/>
              <w:rPr>
                <w:sz w:val="20"/>
                <w:szCs w:val="20"/>
                <w:color w:val="auto"/>
              </w:rPr>
            </w:pPr>
            <w:r>
              <w:rPr>
                <w:rFonts w:ascii="Arial" w:cs="Arial" w:eastAsia="Arial" w:hAnsi="Arial"/>
                <w:sz w:val="13"/>
                <w:szCs w:val="13"/>
                <w:color w:val="auto"/>
                <w:w w:val="86"/>
              </w:rPr>
              <w:t>6.25</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90"/>
              </w:rPr>
              <w:t>August 2028</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Bs70,000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34,418</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33,072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ind w:left="300"/>
              <w:spacing w:after="0" w:line="143" w:lineRule="exact"/>
              <w:rPr>
                <w:sz w:val="20"/>
                <w:szCs w:val="20"/>
                <w:color w:val="auto"/>
              </w:rPr>
            </w:pPr>
            <w:r>
              <w:rPr>
                <w:rFonts w:ascii="Arial" w:cs="Arial" w:eastAsia="Arial" w:hAnsi="Arial"/>
                <w:sz w:val="13"/>
                <w:szCs w:val="13"/>
                <w:color w:val="auto"/>
              </w:rPr>
              <w:t>Issuance II - Banco de Crédito de Bolivia</w:t>
            </w:r>
          </w:p>
        </w:tc>
        <w:tc>
          <w:tcPr>
            <w:tcW w:w="1100" w:type="dxa"/>
            <w:vAlign w:val="bottom"/>
          </w:tcPr>
          <w:p>
            <w:pPr>
              <w:jc w:val="center"/>
              <w:ind w:left="97"/>
              <w:spacing w:after="0" w:line="143" w:lineRule="exact"/>
              <w:rPr>
                <w:sz w:val="20"/>
                <w:szCs w:val="20"/>
                <w:color w:val="auto"/>
              </w:rPr>
            </w:pPr>
            <w:r>
              <w:rPr>
                <w:rFonts w:ascii="Arial" w:cs="Arial" w:eastAsia="Arial" w:hAnsi="Arial"/>
                <w:sz w:val="13"/>
                <w:szCs w:val="13"/>
                <w:color w:val="auto"/>
                <w:w w:val="86"/>
              </w:rPr>
              <w:t>5.25</w:t>
            </w:r>
          </w:p>
        </w:tc>
        <w:tc>
          <w:tcPr>
            <w:tcW w:w="240" w:type="dxa"/>
            <w:vAlign w:val="bottom"/>
          </w:tcPr>
          <w:p>
            <w:pPr>
              <w:spacing w:after="0"/>
              <w:rPr>
                <w:sz w:val="12"/>
                <w:szCs w:val="12"/>
                <w:color w:val="auto"/>
              </w:rPr>
            </w:pPr>
          </w:p>
        </w:tc>
        <w:tc>
          <w:tcPr>
            <w:tcW w:w="1500" w:type="dxa"/>
            <w:vAlign w:val="bottom"/>
            <w:gridSpan w:val="2"/>
          </w:tcPr>
          <w:p>
            <w:pPr>
              <w:jc w:val="center"/>
              <w:ind w:right="100"/>
              <w:spacing w:after="0" w:line="143"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tcPr>
          <w:p>
            <w:pPr>
              <w:jc w:val="center"/>
              <w:ind w:right="100"/>
              <w:spacing w:after="0" w:line="143" w:lineRule="exact"/>
              <w:rPr>
                <w:sz w:val="20"/>
                <w:szCs w:val="20"/>
                <w:color w:val="auto"/>
              </w:rPr>
            </w:pPr>
            <w:r>
              <w:rPr>
                <w:rFonts w:ascii="Arial" w:cs="Arial" w:eastAsia="Arial" w:hAnsi="Arial"/>
                <w:sz w:val="13"/>
                <w:szCs w:val="13"/>
                <w:color w:val="auto"/>
                <w:w w:val="90"/>
              </w:rPr>
              <w:t>August 2022</w:t>
            </w:r>
          </w:p>
        </w:tc>
        <w:tc>
          <w:tcPr>
            <w:tcW w:w="12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Bs137,200</w:t>
            </w:r>
          </w:p>
        </w:tc>
        <w:tc>
          <w:tcPr>
            <w:tcW w:w="12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68,168</w:t>
            </w:r>
          </w:p>
        </w:tc>
        <w:tc>
          <w:tcPr>
            <w:tcW w:w="11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65,677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577,390</w:t>
            </w:r>
          </w:p>
        </w:tc>
        <w:tc>
          <w:tcPr>
            <w:tcW w:w="2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565,449</w:t>
            </w: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Negotiable certificate of deposit - Mibanco</w:t>
            </w:r>
          </w:p>
        </w:tc>
        <w:tc>
          <w:tcPr>
            <w:tcW w:w="134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3"/>
                <w:szCs w:val="13"/>
                <w:color w:val="auto"/>
                <w:w w:val="87"/>
              </w:rPr>
              <w:t>Between 1.80 and</w:t>
            </w:r>
          </w:p>
        </w:tc>
        <w:tc>
          <w:tcPr>
            <w:tcW w:w="1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3"/>
                <w:szCs w:val="13"/>
                <w:color w:val="auto"/>
                <w:w w:val="85"/>
              </w:rPr>
              <w:t>Between January 2018</w:t>
            </w: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00" w:type="dxa"/>
            <w:vAlign w:val="bottom"/>
            <w:vMerge w:val="continue"/>
            <w:shd w:val="clear" w:color="auto" w:fill="CCEEFF"/>
          </w:tcPr>
          <w:p>
            <w:pPr>
              <w:spacing w:after="0"/>
              <w:rPr>
                <w:sz w:val="12"/>
                <w:szCs w:val="12"/>
                <w:color w:val="auto"/>
              </w:rPr>
            </w:pPr>
          </w:p>
        </w:tc>
        <w:tc>
          <w:tcPr>
            <w:tcW w:w="1100" w:type="dxa"/>
            <w:vAlign w:val="bottom"/>
            <w:shd w:val="clear" w:color="auto" w:fill="CCEEFF"/>
          </w:tcPr>
          <w:p>
            <w:pPr>
              <w:jc w:val="center"/>
              <w:ind w:left="97"/>
              <w:spacing w:after="0" w:line="146" w:lineRule="exact"/>
              <w:rPr>
                <w:sz w:val="20"/>
                <w:szCs w:val="20"/>
                <w:color w:val="auto"/>
              </w:rPr>
            </w:pPr>
            <w:r>
              <w:rPr>
                <w:rFonts w:ascii="Arial" w:cs="Arial" w:eastAsia="Arial" w:hAnsi="Arial"/>
                <w:sz w:val="13"/>
                <w:szCs w:val="13"/>
                <w:color w:val="auto"/>
                <w:w w:val="86"/>
              </w:rPr>
              <w:t>5.90</w:t>
            </w:r>
          </w:p>
        </w:tc>
        <w:tc>
          <w:tcPr>
            <w:tcW w:w="2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100"/>
              <w:spacing w:after="0" w:line="146" w:lineRule="exact"/>
              <w:rPr>
                <w:sz w:val="20"/>
                <w:szCs w:val="20"/>
                <w:color w:val="auto"/>
              </w:rPr>
            </w:pPr>
            <w:r>
              <w:rPr>
                <w:rFonts w:ascii="Arial" w:cs="Arial" w:eastAsia="Arial" w:hAnsi="Arial"/>
                <w:sz w:val="13"/>
                <w:szCs w:val="13"/>
                <w:color w:val="auto"/>
                <w:w w:val="88"/>
              </w:rPr>
              <w:t>Annual</w:t>
            </w:r>
          </w:p>
        </w:tc>
        <w:tc>
          <w:tcPr>
            <w:tcW w:w="1680" w:type="dxa"/>
            <w:vAlign w:val="bottom"/>
            <w:gridSpan w:val="2"/>
            <w:shd w:val="clear" w:color="auto" w:fill="CCEEFF"/>
          </w:tcPr>
          <w:p>
            <w:pPr>
              <w:jc w:val="center"/>
              <w:ind w:right="100"/>
              <w:spacing w:after="0" w:line="146" w:lineRule="exact"/>
              <w:rPr>
                <w:sz w:val="20"/>
                <w:szCs w:val="20"/>
                <w:color w:val="auto"/>
              </w:rPr>
            </w:pPr>
            <w:r>
              <w:rPr>
                <w:rFonts w:ascii="Arial" w:cs="Arial" w:eastAsia="Arial" w:hAnsi="Arial"/>
                <w:sz w:val="13"/>
                <w:szCs w:val="13"/>
                <w:color w:val="auto"/>
                <w:w w:val="86"/>
              </w:rPr>
              <w:t>and January 2024</w:t>
            </w:r>
          </w:p>
        </w:tc>
        <w:tc>
          <w:tcPr>
            <w:tcW w:w="12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S/2,998</w:t>
            </w:r>
          </w:p>
        </w:tc>
        <w:tc>
          <w:tcPr>
            <w:tcW w:w="12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1,190</w:t>
            </w:r>
          </w:p>
        </w:tc>
        <w:tc>
          <w:tcPr>
            <w:tcW w:w="11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1,461</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Subordinated negotiable certificates - BCP (vii)</w:t>
            </w:r>
          </w:p>
        </w:tc>
        <w:tc>
          <w:tcPr>
            <w:tcW w:w="1100" w:type="dxa"/>
            <w:vAlign w:val="bottom"/>
            <w:shd w:val="clear" w:color="auto" w:fill="CCEEFF"/>
          </w:tcPr>
          <w:p>
            <w:pPr>
              <w:jc w:val="center"/>
              <w:ind w:left="97"/>
              <w:spacing w:after="0" w:line="131" w:lineRule="exact"/>
              <w:rPr>
                <w:sz w:val="20"/>
                <w:szCs w:val="20"/>
                <w:color w:val="auto"/>
              </w:rPr>
            </w:pPr>
            <w:r>
              <w:rPr>
                <w:rFonts w:ascii="Arial" w:cs="Arial" w:eastAsia="Arial" w:hAnsi="Arial"/>
                <w:sz w:val="13"/>
                <w:szCs w:val="13"/>
                <w:color w:val="auto"/>
                <w:w w:val="86"/>
              </w:rPr>
              <w:t>6.88</w:t>
            </w: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shd w:val="clear" w:color="auto" w:fill="CCEEFF"/>
          </w:tcPr>
          <w:p>
            <w:pPr>
              <w:jc w:val="center"/>
              <w:ind w:right="100"/>
              <w:spacing w:after="0" w:line="131" w:lineRule="exact"/>
              <w:rPr>
                <w:sz w:val="20"/>
                <w:szCs w:val="20"/>
                <w:color w:val="auto"/>
              </w:rPr>
            </w:pPr>
            <w:r>
              <w:rPr>
                <w:rFonts w:ascii="Arial" w:cs="Arial" w:eastAsia="Arial" w:hAnsi="Arial"/>
                <w:sz w:val="13"/>
                <w:szCs w:val="13"/>
                <w:color w:val="auto"/>
                <w:w w:val="85"/>
              </w:rPr>
              <w:t>September 2026</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US$126,120</w:t>
            </w:r>
          </w:p>
        </w:tc>
        <w:tc>
          <w:tcPr>
            <w:tcW w:w="12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408,544</w:t>
            </w:r>
          </w:p>
        </w:tc>
        <w:tc>
          <w:tcPr>
            <w:tcW w:w="11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390,450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spacing w:after="0" w:line="131" w:lineRule="exact"/>
              <w:rPr>
                <w:sz w:val="20"/>
                <w:szCs w:val="20"/>
                <w:color w:val="auto"/>
              </w:rPr>
            </w:pPr>
            <w:r>
              <w:rPr>
                <w:rFonts w:ascii="Arial" w:cs="Arial" w:eastAsia="Arial" w:hAnsi="Arial"/>
                <w:sz w:val="13"/>
                <w:szCs w:val="13"/>
                <w:b w:val="1"/>
                <w:bCs w:val="1"/>
                <w:color w:val="auto"/>
              </w:rPr>
              <w:t>Subordinated negotiable certificates - BCP (vii)</w:t>
            </w:r>
          </w:p>
        </w:tc>
        <w:tc>
          <w:tcPr>
            <w:tcW w:w="134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91"/>
              </w:rPr>
              <w:t>Libor 3M + 279 bp</w:t>
            </w: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7"/>
              </w:rPr>
              <w:t>Semi-annual</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8"/>
              </w:rPr>
              <w:t>November 2021</w:t>
            </w:r>
          </w:p>
        </w:tc>
        <w:tc>
          <w:tcPr>
            <w:tcW w:w="12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US$2,960</w:t>
            </w:r>
          </w:p>
        </w:tc>
        <w:tc>
          <w:tcPr>
            <w:tcW w:w="12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9,984</w:t>
            </w:r>
          </w:p>
        </w:tc>
        <w:tc>
          <w:tcPr>
            <w:tcW w:w="114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9,593</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00" w:type="dxa"/>
            <w:vAlign w:val="bottom"/>
          </w:tcPr>
          <w:p>
            <w:pPr>
              <w:spacing w:after="0" w:line="131" w:lineRule="exact"/>
              <w:rPr>
                <w:sz w:val="20"/>
                <w:szCs w:val="20"/>
                <w:color w:val="auto"/>
              </w:rPr>
            </w:pPr>
            <w:r>
              <w:rPr>
                <w:rFonts w:ascii="Arial" w:cs="Arial" w:eastAsia="Arial" w:hAnsi="Arial"/>
                <w:sz w:val="13"/>
                <w:szCs w:val="13"/>
                <w:b w:val="1"/>
                <w:bCs w:val="1"/>
                <w:color w:val="auto"/>
              </w:rPr>
              <w:t>Leasing bonds</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ind w:left="300"/>
              <w:spacing w:after="0" w:line="131" w:lineRule="exact"/>
              <w:rPr>
                <w:sz w:val="20"/>
                <w:szCs w:val="20"/>
                <w:color w:val="auto"/>
              </w:rPr>
            </w:pPr>
            <w:r>
              <w:rPr>
                <w:rFonts w:ascii="Arial" w:cs="Arial" w:eastAsia="Arial" w:hAnsi="Arial"/>
                <w:sz w:val="13"/>
                <w:szCs w:val="13"/>
                <w:b w:val="1"/>
                <w:bCs w:val="1"/>
                <w:color w:val="auto"/>
              </w:rPr>
              <w:t>First program (viii)</w:t>
            </w: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ind w:left="300"/>
              <w:spacing w:after="0" w:line="143" w:lineRule="exact"/>
              <w:rPr>
                <w:sz w:val="20"/>
                <w:szCs w:val="20"/>
                <w:color w:val="auto"/>
              </w:rPr>
            </w:pPr>
            <w:r>
              <w:rPr>
                <w:rFonts w:ascii="Arial" w:cs="Arial" w:eastAsia="Arial" w:hAnsi="Arial"/>
                <w:sz w:val="13"/>
                <w:szCs w:val="13"/>
                <w:color w:val="auto"/>
              </w:rPr>
              <w:t>Sixth issuance (Series A) - BCP</w:t>
            </w:r>
          </w:p>
        </w:tc>
        <w:tc>
          <w:tcPr>
            <w:tcW w:w="1100" w:type="dxa"/>
            <w:vAlign w:val="bottom"/>
          </w:tcPr>
          <w:p>
            <w:pPr>
              <w:jc w:val="center"/>
              <w:ind w:left="97"/>
              <w:spacing w:after="0" w:line="143" w:lineRule="exact"/>
              <w:rPr>
                <w:sz w:val="20"/>
                <w:szCs w:val="20"/>
                <w:color w:val="auto"/>
              </w:rPr>
            </w:pPr>
            <w:r>
              <w:rPr>
                <w:rFonts w:ascii="Arial" w:cs="Arial" w:eastAsia="Arial" w:hAnsi="Arial"/>
                <w:sz w:val="13"/>
                <w:szCs w:val="13"/>
                <w:color w:val="auto"/>
                <w:w w:val="86"/>
              </w:rPr>
              <w:t>8.72</w:t>
            </w:r>
          </w:p>
        </w:tc>
        <w:tc>
          <w:tcPr>
            <w:tcW w:w="240" w:type="dxa"/>
            <w:vAlign w:val="bottom"/>
          </w:tcPr>
          <w:p>
            <w:pPr>
              <w:spacing w:after="0"/>
              <w:rPr>
                <w:sz w:val="12"/>
                <w:szCs w:val="12"/>
                <w:color w:val="auto"/>
              </w:rPr>
            </w:pPr>
          </w:p>
        </w:tc>
        <w:tc>
          <w:tcPr>
            <w:tcW w:w="1500" w:type="dxa"/>
            <w:vAlign w:val="bottom"/>
            <w:gridSpan w:val="2"/>
          </w:tcPr>
          <w:p>
            <w:pPr>
              <w:jc w:val="center"/>
              <w:ind w:right="100"/>
              <w:spacing w:after="0" w:line="143" w:lineRule="exact"/>
              <w:rPr>
                <w:sz w:val="20"/>
                <w:szCs w:val="20"/>
                <w:color w:val="auto"/>
              </w:rPr>
            </w:pPr>
            <w:r>
              <w:rPr>
                <w:rFonts w:ascii="Arial" w:cs="Arial" w:eastAsia="Arial" w:hAnsi="Arial"/>
                <w:sz w:val="13"/>
                <w:szCs w:val="13"/>
                <w:color w:val="auto"/>
                <w:w w:val="89"/>
              </w:rPr>
              <w:t>Quarterly</w:t>
            </w:r>
          </w:p>
        </w:tc>
        <w:tc>
          <w:tcPr>
            <w:tcW w:w="1680" w:type="dxa"/>
            <w:vAlign w:val="bottom"/>
            <w:gridSpan w:val="2"/>
          </w:tcPr>
          <w:p>
            <w:pPr>
              <w:jc w:val="center"/>
              <w:ind w:right="100"/>
              <w:spacing w:after="0" w:line="143" w:lineRule="exact"/>
              <w:rPr>
                <w:sz w:val="20"/>
                <w:szCs w:val="20"/>
                <w:color w:val="auto"/>
              </w:rPr>
            </w:pPr>
            <w:r>
              <w:rPr>
                <w:rFonts w:ascii="Arial" w:cs="Arial" w:eastAsia="Arial" w:hAnsi="Arial"/>
                <w:sz w:val="13"/>
                <w:szCs w:val="13"/>
                <w:color w:val="auto"/>
                <w:w w:val="90"/>
              </w:rPr>
              <w:t>August 2018</w:t>
            </w:r>
          </w:p>
        </w:tc>
        <w:tc>
          <w:tcPr>
            <w:tcW w:w="12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S/100,000</w:t>
            </w:r>
          </w:p>
        </w:tc>
        <w:tc>
          <w:tcPr>
            <w:tcW w:w="12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15,270,665</w:t>
            </w:r>
          </w:p>
        </w:tc>
        <w:tc>
          <w:tcPr>
            <w:tcW w:w="2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16,049,234</w:t>
            </w: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line="143" w:lineRule="exact"/>
              <w:rPr>
                <w:sz w:val="20"/>
                <w:szCs w:val="20"/>
                <w:color w:val="auto"/>
              </w:rPr>
            </w:pPr>
            <w:r>
              <w:rPr>
                <w:rFonts w:ascii="Arial" w:cs="Arial" w:eastAsia="Arial" w:hAnsi="Arial"/>
                <w:sz w:val="13"/>
                <w:szCs w:val="13"/>
                <w:color w:val="auto"/>
              </w:rPr>
              <w:t>Interest payable</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186,875</w:t>
            </w:r>
          </w:p>
        </w:tc>
        <w:tc>
          <w:tcPr>
            <w:tcW w:w="11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193,023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w:t>
            </w: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15,457,540</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16,242,257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819" w:right="219" w:bottom="1440" w:gutter="0" w:footer="0" w:header="0"/>
        </w:sectPr>
      </w:pPr>
    </w:p>
    <w:bookmarkStart w:id="105" w:name="page106"/>
    <w:bookmarkEnd w:id="105"/>
    <w:p>
      <w:pPr>
        <w:ind w:left="1" w:right="20"/>
        <w:spacing w:after="0" w:line="258" w:lineRule="auto"/>
        <w:rPr>
          <w:sz w:val="20"/>
          <w:szCs w:val="20"/>
          <w:color w:val="auto"/>
        </w:rPr>
      </w:pPr>
      <w:r>
        <w:rPr>
          <w:rFonts w:ascii="Arial" w:cs="Arial" w:eastAsia="Arial" w:hAnsi="Arial"/>
          <w:sz w:val="16"/>
          <w:szCs w:val="16"/>
          <w:color w:val="auto"/>
        </w:rPr>
        <w:t>At December 31, 2017 the Group holds IRS for a notional amount totaling US$2,442.4 million, equivalent to S/7,915.9 million, see Note 12(b), which were designated as fair value hedges of certain corporate bonds, subordinated bonds and Notes denominated in U.S. Dollars at a fixed rate; through said IRS, these bonds and Notes were economically converted to a variable interest rate.</w:t>
      </w:r>
    </w:p>
    <w:p>
      <w:pPr>
        <w:spacing w:after="0" w:line="165" w:lineRule="exact"/>
        <w:rPr>
          <w:sz w:val="20"/>
          <w:szCs w:val="20"/>
          <w:color w:val="auto"/>
        </w:rPr>
      </w:pPr>
    </w:p>
    <w:p>
      <w:pPr>
        <w:jc w:val="both"/>
        <w:ind w:left="1" w:right="80"/>
        <w:spacing w:after="0" w:line="254" w:lineRule="auto"/>
        <w:rPr>
          <w:sz w:val="20"/>
          <w:szCs w:val="20"/>
          <w:color w:val="auto"/>
        </w:rPr>
      </w:pPr>
      <w:r>
        <w:rPr>
          <w:rFonts w:ascii="Arial" w:cs="Arial" w:eastAsia="Arial" w:hAnsi="Arial"/>
          <w:sz w:val="16"/>
          <w:szCs w:val="16"/>
          <w:color w:val="auto"/>
        </w:rPr>
        <w:t>During the first quarter of 2018, according to the risk exposure strategy of the interest rate, the Group discontinued the fair value hedge of these bonds through the liquidation of the IRS. The cumulative gain from the fair value of these bonds at the time of the settlement of the derivatives amounted to US$22.0 million (equivalent to S/71.7 million), recorded in liabilities, is being transferred to the consolidated statement of income until the maturity date of the said bonds. During the 2018 period, the amount recorded in the consolidated statement of income amounted to US$5.5 million (equivalent to S/16.1 million).</w:t>
      </w:r>
    </w:p>
    <w:p>
      <w:pPr>
        <w:spacing w:after="0" w:line="169" w:lineRule="exact"/>
        <w:rPr>
          <w:sz w:val="20"/>
          <w:szCs w:val="20"/>
          <w:color w:val="auto"/>
        </w:rPr>
      </w:pPr>
    </w:p>
    <w:p>
      <w:pPr>
        <w:ind w:left="281" w:right="20" w:hanging="281"/>
        <w:spacing w:after="0" w:line="269"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Group can redeem all or part of the bonds at any date, taking as penalty an interest rate equal to the Treasury of the United States of America’s plus 40 basis points. Payment of principal will take place on the date of maturity or redemption of the bonds.</w:t>
      </w:r>
    </w:p>
    <w:p>
      <w:pPr>
        <w:spacing w:after="0" w:line="156" w:lineRule="exact"/>
        <w:rPr>
          <w:rFonts w:ascii="Arial" w:cs="Arial" w:eastAsia="Arial" w:hAnsi="Arial"/>
          <w:sz w:val="16"/>
          <w:szCs w:val="16"/>
          <w:color w:val="auto"/>
        </w:rPr>
      </w:pPr>
    </w:p>
    <w:p>
      <w:pPr>
        <w:ind w:left="281" w:right="20" w:hanging="281"/>
        <w:spacing w:after="0" w:line="269"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Group can redeem all or part of the notes at any date, taking as penalty an interest rate equal to the Treasury of the United States of America’s plus 50 basis points. Payment of principal will take place on the date of maturity or redemption of the notes.</w:t>
      </w:r>
    </w:p>
    <w:p>
      <w:pPr>
        <w:spacing w:after="0" w:line="156" w:lineRule="exact"/>
        <w:rPr>
          <w:rFonts w:ascii="Arial" w:cs="Arial" w:eastAsia="Arial" w:hAnsi="Arial"/>
          <w:sz w:val="16"/>
          <w:szCs w:val="16"/>
          <w:color w:val="auto"/>
        </w:rPr>
      </w:pPr>
    </w:p>
    <w:p>
      <w:pPr>
        <w:jc w:val="both"/>
        <w:ind w:left="281" w:hanging="281"/>
        <w:spacing w:after="0" w:line="258"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This issuance are secured by the collection of BCP’s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w:t>
      </w:r>
    </w:p>
    <w:p>
      <w:pPr>
        <w:spacing w:after="0" w:line="165" w:lineRule="exact"/>
        <w:rPr>
          <w:rFonts w:ascii="Arial" w:cs="Arial" w:eastAsia="Arial" w:hAnsi="Arial"/>
          <w:sz w:val="16"/>
          <w:szCs w:val="16"/>
          <w:color w:val="auto"/>
        </w:rPr>
      </w:pPr>
    </w:p>
    <w:p>
      <w:pPr>
        <w:jc w:val="both"/>
        <w:ind w:left="281" w:hanging="281"/>
        <w:spacing w:after="0" w:line="254"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From 2022, the Bank will pay a floating interest rate of Libor 3 month plus 704.3 basis points. Between April 24, 2017 and April 24, 2022, the Bank can redeem all or part of the subordinated bonds taking as penalty an interest rate equal to the Treasury of the United States of America’s plus 50 basis points. Additionally, from April 25, 2022 or at any later date of coupon payment, the Bank will be able to redeem all or part of the bonds without penalty. Payment of principal will take place at the date of maturity of bonds or upon redemption.</w:t>
      </w:r>
    </w:p>
    <w:p>
      <w:pPr>
        <w:spacing w:after="0" w:line="169" w:lineRule="exact"/>
        <w:rPr>
          <w:rFonts w:ascii="Arial" w:cs="Arial" w:eastAsia="Arial" w:hAnsi="Arial"/>
          <w:sz w:val="16"/>
          <w:szCs w:val="16"/>
          <w:color w:val="auto"/>
        </w:rPr>
      </w:pPr>
    </w:p>
    <w:p>
      <w:pPr>
        <w:jc w:val="both"/>
        <w:ind w:left="281" w:hanging="281"/>
        <w:spacing w:after="0" w:line="254"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from September 16, 2021, the interest rate becomes a floating rate Libor 3 month plus 770.8 basis points. Between September 16, 2016 and September 15, 2021, the Group may redeem all or part of the bonds, with the penalty of the payment of an interest equivalent to the American Treasury plus 50 basis points. Additionally, from September 16, 2021 or at any later date of coupon payment, the Group can redeem all or part of the bonds without penalty. Payment of principal will take place at the date of maturity of bonds or upon redemption.</w:t>
      </w:r>
    </w:p>
    <w:p>
      <w:pPr>
        <w:spacing w:after="0" w:line="169" w:lineRule="exact"/>
        <w:rPr>
          <w:rFonts w:ascii="Arial" w:cs="Arial" w:eastAsia="Arial" w:hAnsi="Arial"/>
          <w:sz w:val="16"/>
          <w:szCs w:val="16"/>
          <w:color w:val="auto"/>
        </w:rPr>
      </w:pPr>
    </w:p>
    <w:p>
      <w:pPr>
        <w:ind w:left="281" w:right="20" w:hanging="281"/>
        <w:spacing w:after="0" w:line="269"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November 2019, interest rate will become a variable rate Libor 3 month plus 816.7 basis points. As from that date and any interest payment date the Bank can redeem 100 percent of the bonds without penalty. Payment of principal will take place at the date of maturity or upon redemption.</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4"/>
          <w:szCs w:val="14"/>
          <w:color w:val="auto"/>
        </w:rPr>
        <w:t>This issuance, as authorized by the SBS, qualifies as “Tier 1” equity in the determination of the regulatory capital (“patrimonio efectivo”) and has no related guarantees.</w:t>
      </w:r>
    </w:p>
    <w:p>
      <w:pPr>
        <w:spacing w:after="0" w:line="218" w:lineRule="exact"/>
        <w:rPr>
          <w:sz w:val="20"/>
          <w:szCs w:val="20"/>
          <w:color w:val="auto"/>
        </w:rPr>
      </w:pPr>
    </w:p>
    <w:p>
      <w:pPr>
        <w:ind w:left="281" w:hanging="283"/>
        <w:spacing w:after="0" w:line="269" w:lineRule="auto"/>
        <w:rPr>
          <w:sz w:val="20"/>
          <w:szCs w:val="20"/>
          <w:color w:val="auto"/>
        </w:rPr>
      </w:pPr>
      <w:r>
        <w:rPr>
          <w:rFonts w:ascii="Arial" w:cs="Arial" w:eastAsia="Arial" w:hAnsi="Arial"/>
          <w:sz w:val="16"/>
          <w:szCs w:val="16"/>
          <w:color w:val="auto"/>
        </w:rPr>
        <w:t>(vii)As of November 2016, interest is accrued at a variable rate of Libor 3 month plus 2.79 basis points with semi-annual payments; likewise, as of that date, the Group can redeem all the certificates without penalties. The payment of the principal will occur on the date of expiration or redemption.</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color w:val="auto"/>
        </w:rPr>
        <w:t>(viii)Leasing bonds are collateralized by assets financed by the Group.</w:t>
      </w:r>
    </w:p>
    <w:p>
      <w:pPr>
        <w:spacing w:after="0" w:line="195" w:lineRule="exact"/>
        <w:rPr>
          <w:sz w:val="20"/>
          <w:szCs w:val="20"/>
          <w:color w:val="auto"/>
        </w:rPr>
      </w:pPr>
    </w:p>
    <w:p>
      <w:pPr>
        <w:ind w:left="281" w:right="20" w:hanging="281"/>
        <w:spacing w:after="0" w:line="269" w:lineRule="auto"/>
        <w:tabs>
          <w:tab w:leader="none" w:pos="28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June 2014, the Group offered an exchange to the holders of senior notes, by which the notes were partially replaced with new notes, at market rate, with the same characteristics of the senior notes mentioned in (i) above.</w:t>
      </w:r>
    </w:p>
    <w:p>
      <w:pPr>
        <w:spacing w:after="0" w:line="346" w:lineRule="exact"/>
        <w:rPr>
          <w:rFonts w:ascii="Arial" w:cs="Arial" w:eastAsia="Arial" w:hAnsi="Arial"/>
          <w:sz w:val="16"/>
          <w:szCs w:val="16"/>
          <w:color w:val="auto"/>
        </w:rPr>
      </w:pPr>
    </w:p>
    <w:p>
      <w:pPr>
        <w:ind w:left="5361" w:hanging="91"/>
        <w:spacing w:after="0"/>
        <w:tabs>
          <w:tab w:leader="none" w:pos="536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4" w:right="219" w:bottom="1440" w:gutter="0" w:footer="0" w:header="0"/>
        </w:sectPr>
      </w:pPr>
    </w:p>
    <w:bookmarkStart w:id="106" w:name="page107"/>
    <w:bookmarkEnd w:id="106"/>
    <w:p>
      <w:pPr>
        <w:ind w:left="565" w:hanging="281"/>
        <w:spacing w:after="0" w:line="269" w:lineRule="auto"/>
        <w:tabs>
          <w:tab w:leader="none" w:pos="56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Group can redeem all or part of the notes at any time, subject to a penalty of an interest rate equal to the Treasury of the United States of America’s plus 20 basis points. The payment of principal will take place on the maturity date of the notes or when the Group redeems them.</w:t>
      </w:r>
    </w:p>
    <w:p>
      <w:pPr>
        <w:spacing w:after="0" w:line="156" w:lineRule="exact"/>
        <w:rPr>
          <w:rFonts w:ascii="Arial" w:cs="Arial" w:eastAsia="Arial" w:hAnsi="Arial"/>
          <w:sz w:val="16"/>
          <w:szCs w:val="16"/>
          <w:color w:val="auto"/>
        </w:rPr>
      </w:pPr>
    </w:p>
    <w:p>
      <w:pPr>
        <w:ind w:left="565" w:right="100"/>
        <w:spacing w:after="0" w:line="258" w:lineRule="auto"/>
        <w:rPr>
          <w:rFonts w:ascii="Arial" w:cs="Arial" w:eastAsia="Arial" w:hAnsi="Arial"/>
          <w:sz w:val="16"/>
          <w:szCs w:val="16"/>
          <w:color w:val="auto"/>
        </w:rPr>
      </w:pPr>
      <w:r>
        <w:rPr>
          <w:rFonts w:ascii="Arial" w:cs="Arial" w:eastAsia="Arial" w:hAnsi="Arial"/>
          <w:sz w:val="16"/>
          <w:szCs w:val="16"/>
          <w:color w:val="auto"/>
        </w:rPr>
        <w:t>At December 31, 2018, cash flows of the bond issued in U.S. dollars, subject to exchange rate risk have been hedged by three CCS designated as a cash flow hedge for a notional amount of US$300.0 million, equivalent to S/1,011.9 million (US$300.0 million, equivalent to S/972.3 million at December 31, 2017), see Note 12(b). By means of the CCS, the bond was economically converted to soles.</w:t>
      </w:r>
    </w:p>
    <w:p>
      <w:pPr>
        <w:spacing w:after="0" w:line="165" w:lineRule="exact"/>
        <w:rPr>
          <w:rFonts w:ascii="Arial" w:cs="Arial" w:eastAsia="Arial" w:hAnsi="Arial"/>
          <w:sz w:val="16"/>
          <w:szCs w:val="16"/>
          <w:color w:val="auto"/>
        </w:rPr>
      </w:pPr>
    </w:p>
    <w:p>
      <w:pPr>
        <w:ind w:left="285" w:hanging="285"/>
        <w:spacing w:after="0"/>
        <w:tabs>
          <w:tab w:leader="none" w:pos="2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table below shows the bonds and notes issued, classified by maturity:</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6920" w:type="dxa"/>
            <w:vAlign w:val="bottom"/>
          </w:tcPr>
          <w:p>
            <w:pPr>
              <w:spacing w:after="0"/>
              <w:rPr>
                <w:sz w:val="17"/>
                <w:szCs w:val="17"/>
                <w:color w:val="auto"/>
              </w:rPr>
            </w:pP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r>
      <w:tr>
        <w:trPr>
          <w:trHeight w:val="198"/>
        </w:trPr>
        <w:tc>
          <w:tcPr>
            <w:tcW w:w="69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r>
      <w:tr>
        <w:trPr>
          <w:trHeight w:val="175"/>
        </w:trPr>
        <w:tc>
          <w:tcPr>
            <w:tcW w:w="6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63,518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36,687</w:t>
            </w:r>
          </w:p>
        </w:tc>
      </w:tr>
      <w:tr>
        <w:trPr>
          <w:trHeight w:val="190"/>
        </w:trPr>
        <w:tc>
          <w:tcPr>
            <w:tcW w:w="692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1,625,563</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1,236,046</w:t>
            </w:r>
          </w:p>
        </w:tc>
      </w:tr>
      <w:tr>
        <w:trPr>
          <w:trHeight w:val="190"/>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5,375,585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6,508,352</w:t>
            </w:r>
          </w:p>
        </w:tc>
      </w:tr>
      <w:tr>
        <w:trPr>
          <w:trHeight w:val="190"/>
        </w:trPr>
        <w:tc>
          <w:tcPr>
            <w:tcW w:w="6920" w:type="dxa"/>
            <w:vAlign w:val="bottom"/>
          </w:tcPr>
          <w:p>
            <w:pPr>
              <w:spacing w:after="0"/>
              <w:rPr>
                <w:sz w:val="20"/>
                <w:szCs w:val="20"/>
                <w:color w:val="auto"/>
              </w:rPr>
            </w:pPr>
            <w:r>
              <w:rPr>
                <w:rFonts w:ascii="Arial" w:cs="Arial" w:eastAsia="Arial" w:hAnsi="Arial"/>
                <w:sz w:val="16"/>
                <w:szCs w:val="16"/>
                <w:color w:val="auto"/>
              </w:rPr>
              <w:t>From 3 to 5 years</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2,905,763</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760,102</w:t>
            </w:r>
          </w:p>
        </w:tc>
      </w:tr>
      <w:tr>
        <w:trPr>
          <w:trHeight w:val="201"/>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5,300,236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7,508,047</w:t>
            </w:r>
          </w:p>
        </w:tc>
      </w:tr>
      <w:tr>
        <w:trPr>
          <w:trHeight w:val="182"/>
        </w:trPr>
        <w:tc>
          <w:tcPr>
            <w:tcW w:w="69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15,270,665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16,049,234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285" w:hanging="285"/>
        <w:spacing w:after="0"/>
        <w:tabs>
          <w:tab w:leader="none" w:pos="285"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Capital stock -</w:t>
      </w:r>
    </w:p>
    <w:p>
      <w:pPr>
        <w:spacing w:after="0" w:line="195"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At December 31, 2018, 2017 and 2016 a total of 94,382,317 shares have been issued at US$5 par value each.</w:t>
      </w:r>
    </w:p>
    <w:p>
      <w:pPr>
        <w:spacing w:after="0" w:line="195" w:lineRule="exact"/>
        <w:rPr>
          <w:rFonts w:ascii="Arial" w:cs="Arial" w:eastAsia="Arial" w:hAnsi="Arial"/>
          <w:sz w:val="16"/>
          <w:szCs w:val="16"/>
          <w:color w:val="auto"/>
        </w:rPr>
      </w:pPr>
    </w:p>
    <w:p>
      <w:pPr>
        <w:ind w:left="565" w:hanging="281"/>
        <w:spacing w:after="0"/>
        <w:tabs>
          <w:tab w:leader="none" w:pos="56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Treasury stock -</w:t>
      </w:r>
    </w:p>
    <w:p>
      <w:pPr>
        <w:spacing w:after="0" w:line="195"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We present below the treasury stock owned by the Group entities at December 31, 2018, 2017 and 2016:</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118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r>
      <w:tr>
        <w:trPr>
          <w:trHeight w:val="182"/>
        </w:trPr>
        <w:tc>
          <w:tcPr>
            <w:tcW w:w="6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Atlantic Security Holding Corporation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14,620,846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14,620,846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14,620,846</w:t>
            </w:r>
          </w:p>
        </w:tc>
        <w:tc>
          <w:tcPr>
            <w:tcW w:w="100" w:type="dxa"/>
            <w:vAlign w:val="bottom"/>
            <w:shd w:val="clear" w:color="auto" w:fill="CCEEFF"/>
          </w:tcPr>
          <w:p>
            <w:pPr>
              <w:spacing w:after="0"/>
              <w:rPr>
                <w:sz w:val="16"/>
                <w:szCs w:val="16"/>
                <w:color w:val="auto"/>
              </w:rPr>
            </w:pPr>
          </w:p>
        </w:tc>
      </w:tr>
      <w:tr>
        <w:trPr>
          <w:trHeight w:val="190"/>
        </w:trPr>
        <w:tc>
          <w:tcPr>
            <w:tcW w:w="6600" w:type="dxa"/>
            <w:vAlign w:val="bottom"/>
          </w:tcPr>
          <w:p>
            <w:pPr>
              <w:spacing w:after="0"/>
              <w:rPr>
                <w:sz w:val="20"/>
                <w:szCs w:val="20"/>
                <w:color w:val="auto"/>
              </w:rPr>
            </w:pPr>
            <w:r>
              <w:rPr>
                <w:rFonts w:ascii="Arial" w:cs="Arial" w:eastAsia="Arial" w:hAnsi="Arial"/>
                <w:sz w:val="16"/>
                <w:szCs w:val="16"/>
                <w:color w:val="auto"/>
              </w:rPr>
              <w:t>Share-based compensation plans, Note 19</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260,548</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276,011</w:t>
            </w:r>
          </w:p>
        </w:tc>
        <w:tc>
          <w:tcPr>
            <w:tcW w:w="1160" w:type="dxa"/>
            <w:vAlign w:val="bottom"/>
          </w:tcPr>
          <w:p>
            <w:pPr>
              <w:jc w:val="right"/>
              <w:spacing w:after="0"/>
              <w:rPr>
                <w:sz w:val="20"/>
                <w:szCs w:val="20"/>
                <w:color w:val="auto"/>
              </w:rPr>
            </w:pPr>
            <w:r>
              <w:rPr>
                <w:rFonts w:ascii="Arial" w:cs="Arial" w:eastAsia="Arial" w:hAnsi="Arial"/>
                <w:sz w:val="16"/>
                <w:szCs w:val="16"/>
                <w:color w:val="auto"/>
              </w:rPr>
              <w:t>277,436</w:t>
            </w:r>
          </w:p>
        </w:tc>
        <w:tc>
          <w:tcPr>
            <w:tcW w:w="100" w:type="dxa"/>
            <w:vAlign w:val="bottom"/>
          </w:tcPr>
          <w:p>
            <w:pPr>
              <w:spacing w:after="0"/>
              <w:rPr>
                <w:sz w:val="16"/>
                <w:szCs w:val="16"/>
                <w:color w:val="auto"/>
              </w:rPr>
            </w:pPr>
          </w:p>
        </w:tc>
      </w:tr>
      <w:tr>
        <w:trPr>
          <w:trHeight w:val="201"/>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5,151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17,255</w:t>
            </w:r>
          </w:p>
        </w:tc>
        <w:tc>
          <w:tcPr>
            <w:tcW w:w="100" w:type="dxa"/>
            <w:vAlign w:val="bottom"/>
            <w:shd w:val="clear" w:color="auto" w:fill="CCEEFF"/>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6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14,883,274</w:t>
            </w: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14,902,008</w:t>
            </w:r>
          </w:p>
        </w:tc>
        <w:tc>
          <w:tcPr>
            <w:tcW w:w="1160" w:type="dxa"/>
            <w:vAlign w:val="bottom"/>
          </w:tcPr>
          <w:p>
            <w:pPr>
              <w:jc w:val="right"/>
              <w:spacing w:after="0"/>
              <w:rPr>
                <w:sz w:val="20"/>
                <w:szCs w:val="20"/>
                <w:color w:val="auto"/>
              </w:rPr>
            </w:pPr>
            <w:r>
              <w:rPr>
                <w:rFonts w:ascii="Arial" w:cs="Arial" w:eastAsia="Arial" w:hAnsi="Arial"/>
                <w:sz w:val="13"/>
                <w:szCs w:val="13"/>
                <w:color w:val="auto"/>
              </w:rPr>
              <w:t>14,915,537</w:t>
            </w:r>
          </w:p>
        </w:tc>
        <w:tc>
          <w:tcPr>
            <w:tcW w:w="100" w:type="dxa"/>
            <w:vAlign w:val="bottom"/>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right="400"/>
        <w:spacing w:after="0" w:line="269" w:lineRule="auto"/>
        <w:rPr>
          <w:sz w:val="20"/>
          <w:szCs w:val="20"/>
          <w:color w:val="auto"/>
        </w:rPr>
      </w:pPr>
      <w:r>
        <w:rPr>
          <w:rFonts w:ascii="Arial" w:cs="Arial" w:eastAsia="Arial" w:hAnsi="Arial"/>
          <w:sz w:val="16"/>
          <w:szCs w:val="16"/>
          <w:color w:val="auto"/>
        </w:rPr>
        <w:t>During 2018, 2017 and 2016, the Group purchased 133,750, 132,110 and 156,603 shares of Credicorp Ltd., respectively, for a total of US$29.3 million (equivalent to S/95.4 million), US$21.9 million (equivalent to S/71.0 million) y US$20 million (equivalent to a S/66.5 million), respectively.</w:t>
      </w:r>
    </w:p>
    <w:p>
      <w:pPr>
        <w:spacing w:after="0" w:line="346"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5"/>
          </w:cols>
          <w:pgMar w:left="235" w:top="814" w:right="239" w:bottom="1440" w:gutter="0" w:footer="0" w:header="0"/>
        </w:sectPr>
      </w:pPr>
    </w:p>
    <w:bookmarkStart w:id="107" w:name="page108"/>
    <w:bookmarkEnd w:id="107"/>
    <w:p>
      <w:pPr>
        <w:ind w:left="281" w:hanging="281"/>
        <w:spacing w:after="0"/>
        <w:tabs>
          <w:tab w:leader="none" w:pos="28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Reserves -</w:t>
      </w:r>
    </w:p>
    <w:p>
      <w:pPr>
        <w:spacing w:after="0" w:line="195" w:lineRule="exact"/>
        <w:rPr>
          <w:rFonts w:ascii="Arial" w:cs="Arial" w:eastAsia="Arial" w:hAnsi="Arial"/>
          <w:sz w:val="16"/>
          <w:szCs w:val="16"/>
          <w:color w:val="auto"/>
        </w:rPr>
      </w:pPr>
    </w:p>
    <w:p>
      <w:pPr>
        <w:ind w:left="281"/>
        <w:spacing w:after="0" w:line="283" w:lineRule="auto"/>
        <w:rPr>
          <w:rFonts w:ascii="Arial" w:cs="Arial" w:eastAsia="Arial" w:hAnsi="Arial"/>
          <w:sz w:val="16"/>
          <w:szCs w:val="16"/>
          <w:color w:val="auto"/>
        </w:rPr>
      </w:pPr>
      <w:r>
        <w:rPr>
          <w:rFonts w:ascii="Arial" w:cs="Arial" w:eastAsia="Arial" w:hAnsi="Arial"/>
          <w:sz w:val="15"/>
          <w:szCs w:val="15"/>
          <w:color w:val="auto"/>
        </w:rPr>
        <w:t>Certain Group’s subsidiaries are required to keep a reserve that equals a percentage of paid-in capital (20, 30 or 50 percent, depending on its activities and the country in which production takes place); this reserve must be constituted with annual transfers of not less than 10 percent of net profits. At December 31, 2018, 2017 and 2016, the balance of this reserves amounts approximately to S/5,179.0 million, S/4,480.3 million and S/3,987.5 million, respectively.</w:t>
      </w:r>
    </w:p>
    <w:p>
      <w:pPr>
        <w:spacing w:after="0" w:line="148" w:lineRule="exact"/>
        <w:rPr>
          <w:rFonts w:ascii="Arial" w:cs="Arial" w:eastAsia="Arial" w:hAnsi="Arial"/>
          <w:sz w:val="16"/>
          <w:szCs w:val="16"/>
          <w:color w:val="auto"/>
        </w:rPr>
      </w:pPr>
    </w:p>
    <w:p>
      <w:pPr>
        <w:ind w:left="281" w:right="80"/>
        <w:spacing w:after="0" w:line="269" w:lineRule="auto"/>
        <w:rPr>
          <w:rFonts w:ascii="Arial" w:cs="Arial" w:eastAsia="Arial" w:hAnsi="Arial"/>
          <w:sz w:val="16"/>
          <w:szCs w:val="16"/>
          <w:color w:val="auto"/>
        </w:rPr>
      </w:pPr>
      <w:r>
        <w:rPr>
          <w:rFonts w:ascii="Arial" w:cs="Arial" w:eastAsia="Arial" w:hAnsi="Arial"/>
          <w:sz w:val="16"/>
          <w:szCs w:val="16"/>
          <w:color w:val="auto"/>
        </w:rPr>
        <w:t>At the Board meetings held on February 28, 2018, February 22, 2017 and February 24, 2016, the decision was made to transfer from “Retained earnings” to “Reserves” S/2,933.6 million, S/2,355.0 million and S/2,316.4 million, respectively.</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4"/>
          <w:szCs w:val="14"/>
          <w:color w:val="auto"/>
        </w:rPr>
        <w:t>“Other reserves” include unrealized gains (losses) on fair value through other comprehensive investments (available-for-sale investments under IAS 39, at December 31,</w:t>
      </w:r>
    </w:p>
    <w:p>
      <w:pPr>
        <w:spacing w:after="0" w:line="39"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2017 and 2016) and on cash flow hedges derivative instruments, net of deferred income tax and non-controlling interest. Movement was as follows:</w:t>
      </w:r>
    </w:p>
    <w:p>
      <w:pPr>
        <w:spacing w:after="0" w:line="189"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47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800"/>
              <w:spacing w:after="0"/>
              <w:rPr>
                <w:sz w:val="20"/>
                <w:szCs w:val="20"/>
                <w:color w:val="auto"/>
              </w:rPr>
            </w:pPr>
            <w:r>
              <w:rPr>
                <w:rFonts w:ascii="Arial" w:cs="Arial" w:eastAsia="Arial" w:hAnsi="Arial"/>
                <w:sz w:val="13"/>
                <w:szCs w:val="13"/>
                <w:b w:val="1"/>
                <w:bCs w:val="1"/>
                <w:color w:val="auto"/>
                <w:w w:val="86"/>
              </w:rPr>
              <w:t>Net unrealized gains (losses):</w:t>
            </w: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16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rPr>
              <w:t>Reserve for</w:t>
            </w: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5"/>
              </w:rPr>
              <w:t>investments at</w:t>
            </w: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Reserve for</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8"/>
              </w:rPr>
              <w:t>Foreign</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91"/>
              </w:rPr>
              <w:t>fair value</w:t>
            </w:r>
          </w:p>
        </w:tc>
        <w:tc>
          <w:tcPr>
            <w:tcW w:w="1140" w:type="dxa"/>
            <w:vAlign w:val="bottom"/>
            <w:gridSpan w:val="2"/>
            <w:vMerge w:val="continue"/>
          </w:tcPr>
          <w:p>
            <w:pPr>
              <w:spacing w:after="0"/>
              <w:rPr>
                <w:sz w:val="11"/>
                <w:szCs w:val="11"/>
                <w:color w:val="auto"/>
              </w:rPr>
            </w:pPr>
          </w:p>
        </w:tc>
        <w:tc>
          <w:tcPr>
            <w:tcW w:w="126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86"/>
              </w:rPr>
              <w:t>Reserve for</w:t>
            </w:r>
          </w:p>
        </w:tc>
        <w:tc>
          <w:tcPr>
            <w:tcW w:w="9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gridSpan w:val="2"/>
          </w:tcPr>
          <w:p>
            <w:pPr>
              <w:jc w:val="right"/>
              <w:ind w:right="320"/>
              <w:spacing w:after="0" w:line="131" w:lineRule="exact"/>
              <w:rPr>
                <w:sz w:val="20"/>
                <w:szCs w:val="20"/>
                <w:color w:val="auto"/>
              </w:rPr>
            </w:pPr>
            <w:r>
              <w:rPr>
                <w:rFonts w:ascii="Arial" w:cs="Arial" w:eastAsia="Arial" w:hAnsi="Arial"/>
                <w:sz w:val="13"/>
                <w:szCs w:val="13"/>
                <w:b w:val="1"/>
                <w:bCs w:val="1"/>
                <w:color w:val="auto"/>
                <w:w w:val="96"/>
              </w:rPr>
              <w:t>through other</w:t>
            </w:r>
          </w:p>
        </w:tc>
        <w:tc>
          <w:tcPr>
            <w:tcW w:w="11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available-for-</w:t>
            </w:r>
          </w:p>
        </w:tc>
        <w:tc>
          <w:tcPr>
            <w:tcW w:w="1260" w:type="dxa"/>
            <w:vAlign w:val="bottom"/>
            <w:gridSpan w:val="3"/>
            <w:vMerge w:val="continue"/>
          </w:tcPr>
          <w:p>
            <w:pPr>
              <w:spacing w:after="0"/>
              <w:rPr>
                <w:sz w:val="11"/>
                <w:szCs w:val="11"/>
                <w:color w:val="auto"/>
              </w:rPr>
            </w:pPr>
          </w:p>
        </w:tc>
        <w:tc>
          <w:tcPr>
            <w:tcW w:w="980" w:type="dxa"/>
            <w:vAlign w:val="bottom"/>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87"/>
              </w:rPr>
              <w:t>currency</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comprehensive</w:t>
            </w:r>
          </w:p>
        </w:tc>
        <w:tc>
          <w:tcPr>
            <w:tcW w:w="1140" w:type="dxa"/>
            <w:vAlign w:val="bottom"/>
            <w:gridSpan w:val="2"/>
          </w:tcPr>
          <w:p>
            <w:pPr>
              <w:jc w:val="right"/>
              <w:ind w:right="600"/>
              <w:spacing w:after="0" w:line="131" w:lineRule="exact"/>
              <w:rPr>
                <w:sz w:val="20"/>
                <w:szCs w:val="20"/>
                <w:color w:val="auto"/>
              </w:rPr>
            </w:pPr>
            <w:r>
              <w:rPr>
                <w:rFonts w:ascii="Arial" w:cs="Arial" w:eastAsia="Arial" w:hAnsi="Arial"/>
                <w:sz w:val="13"/>
                <w:szCs w:val="13"/>
                <w:b w:val="1"/>
                <w:bCs w:val="1"/>
                <w:color w:val="auto"/>
              </w:rPr>
              <w:t>sale</w:t>
            </w:r>
          </w:p>
        </w:tc>
        <w:tc>
          <w:tcPr>
            <w:tcW w:w="1260" w:type="dxa"/>
            <w:vAlign w:val="bottom"/>
            <w:gridSpan w:val="3"/>
          </w:tcPr>
          <w:p>
            <w:pPr>
              <w:jc w:val="center"/>
              <w:ind w:right="320"/>
              <w:spacing w:after="0" w:line="131" w:lineRule="exact"/>
              <w:rPr>
                <w:sz w:val="20"/>
                <w:szCs w:val="20"/>
                <w:color w:val="auto"/>
              </w:rPr>
            </w:pPr>
            <w:r>
              <w:rPr>
                <w:rFonts w:ascii="Arial" w:cs="Arial" w:eastAsia="Arial" w:hAnsi="Arial"/>
                <w:sz w:val="13"/>
                <w:szCs w:val="13"/>
                <w:b w:val="1"/>
                <w:bCs w:val="1"/>
                <w:color w:val="auto"/>
                <w:w w:val="84"/>
              </w:rPr>
              <w:t>cash flow</w:t>
            </w:r>
          </w:p>
        </w:tc>
        <w:tc>
          <w:tcPr>
            <w:tcW w:w="980" w:type="dxa"/>
            <w:vAlign w:val="bottom"/>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0"/>
              </w:rPr>
              <w:t>translation</w:t>
            </w: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474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investments</w:t>
            </w:r>
          </w:p>
        </w:tc>
        <w:tc>
          <w:tcPr>
            <w:tcW w:w="12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78"/>
              </w:rPr>
              <w:t>hedges</w:t>
            </w: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reserve</w:t>
            </w:r>
          </w:p>
        </w:tc>
        <w:tc>
          <w:tcPr>
            <w:tcW w:w="1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3"/>
                <w:szCs w:val="13"/>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3"/>
                <w:szCs w:val="13"/>
                <w:color w:val="auto"/>
              </w:rPr>
            </w:pPr>
          </w:p>
        </w:tc>
        <w:tc>
          <w:tcPr>
            <w:tcW w:w="92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S/(000)</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Balance at January 1, 2016</w:t>
            </w:r>
          </w:p>
        </w:tc>
        <w:tc>
          <w:tcPr>
            <w:tcW w:w="11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652,904</w:t>
            </w:r>
          </w:p>
        </w:tc>
        <w:tc>
          <w:tcPr>
            <w:tcW w:w="114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45,050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64,741</w:t>
            </w:r>
          </w:p>
        </w:tc>
        <w:tc>
          <w:tcPr>
            <w:tcW w:w="9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762,695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Increase in net unrealized gains on investments</w:t>
            </w:r>
          </w:p>
        </w:tc>
        <w:tc>
          <w:tcPr>
            <w:tcW w:w="11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554,869</w:t>
            </w:r>
          </w:p>
        </w:tc>
        <w:tc>
          <w:tcPr>
            <w:tcW w:w="114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554,869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Transfer of net realized gains on investments to profit or loss, net of realized loss</w:t>
            </w:r>
          </w:p>
        </w:tc>
        <w:tc>
          <w:tcPr>
            <w:tcW w:w="11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(75,444)</w:t>
            </w:r>
          </w:p>
        </w:tc>
        <w:tc>
          <w:tcPr>
            <w:tcW w:w="114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(75,444)</w:t>
            </w: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Transfer of the impairment loss on investments to profit or loss, Note 23</w:t>
            </w:r>
          </w:p>
        </w:tc>
        <w:tc>
          <w:tcPr>
            <w:tcW w:w="11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14,459</w:t>
            </w:r>
          </w:p>
        </w:tc>
        <w:tc>
          <w:tcPr>
            <w:tcW w:w="114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14,459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Change in net unrealized gains on cash flow hedges</w:t>
            </w:r>
          </w:p>
        </w:tc>
        <w:tc>
          <w:tcPr>
            <w:tcW w:w="11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(16,724)</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(16,724)</w:t>
            </w: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Transfer of net realized losses on cash flow hedges to profit or loss</w:t>
            </w:r>
          </w:p>
        </w:tc>
        <w:tc>
          <w:tcPr>
            <w:tcW w:w="11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4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(3,676)</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Foreign exchange translation</w:t>
            </w: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(26,448)</w:t>
            </w:r>
          </w:p>
        </w:tc>
        <w:tc>
          <w:tcPr>
            <w:tcW w:w="102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(26,448)</w:t>
            </w:r>
          </w:p>
        </w:tc>
        <w:tc>
          <w:tcPr>
            <w:tcW w:w="0" w:type="dxa"/>
            <w:vAlign w:val="bottom"/>
          </w:tcPr>
          <w:p>
            <w:pPr>
              <w:spacing w:after="0"/>
              <w:rPr>
                <w:sz w:val="1"/>
                <w:szCs w:val="1"/>
                <w:color w:val="auto"/>
              </w:rPr>
            </w:pPr>
          </w:p>
        </w:tc>
      </w:tr>
      <w:tr>
        <w:trPr>
          <w:trHeight w:val="122"/>
        </w:trPr>
        <w:tc>
          <w:tcPr>
            <w:tcW w:w="474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at December 31, 2016</w:t>
            </w:r>
          </w:p>
        </w:tc>
        <w:tc>
          <w:tcPr>
            <w:tcW w:w="9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1,146,788</w:t>
            </w:r>
          </w:p>
        </w:tc>
        <w:tc>
          <w:tcPr>
            <w:tcW w:w="200" w:type="dxa"/>
            <w:vAlign w:val="bottom"/>
          </w:tcPr>
          <w:p>
            <w:pPr>
              <w:spacing w:after="0"/>
              <w:rPr>
                <w:sz w:val="10"/>
                <w:szCs w:val="10"/>
                <w:color w:val="auto"/>
              </w:rPr>
            </w:pPr>
          </w:p>
        </w:tc>
        <w:tc>
          <w:tcPr>
            <w:tcW w:w="9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24,650</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38,293</w:t>
            </w:r>
          </w:p>
        </w:tc>
        <w:tc>
          <w:tcPr>
            <w:tcW w:w="18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1,209,731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Increase in net unrealized gains on investments</w:t>
            </w:r>
          </w:p>
        </w:tc>
        <w:tc>
          <w:tcPr>
            <w:tcW w:w="11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873,868</w:t>
            </w:r>
          </w:p>
        </w:tc>
        <w:tc>
          <w:tcPr>
            <w:tcW w:w="114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873,868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Transfer of net realized gains on investments to profit or loss, net of realized loss</w:t>
            </w:r>
          </w:p>
        </w:tc>
        <w:tc>
          <w:tcPr>
            <w:tcW w:w="11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(517,006)</w:t>
            </w:r>
          </w:p>
        </w:tc>
        <w:tc>
          <w:tcPr>
            <w:tcW w:w="114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(517,006)</w:t>
            </w: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Transfer of the impairment loss on investments to profit or loss Note 23</w:t>
            </w:r>
          </w:p>
        </w:tc>
        <w:tc>
          <w:tcPr>
            <w:tcW w:w="11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766</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766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Change in net unrealized loss on cash flow hedges</w:t>
            </w:r>
          </w:p>
        </w:tc>
        <w:tc>
          <w:tcPr>
            <w:tcW w:w="11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4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(59,709)</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(59,709)</w:t>
            </w: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Transfer of net realized losses on cash flow hedges to profit or loss</w:t>
            </w:r>
          </w:p>
        </w:tc>
        <w:tc>
          <w:tcPr>
            <w:tcW w:w="11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2,278</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2,278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line="143" w:lineRule="exact"/>
              <w:rPr>
                <w:sz w:val="20"/>
                <w:szCs w:val="20"/>
                <w:color w:val="auto"/>
              </w:rPr>
            </w:pPr>
            <w:r>
              <w:rPr>
                <w:rFonts w:ascii="Arial" w:cs="Arial" w:eastAsia="Arial" w:hAnsi="Arial"/>
                <w:sz w:val="13"/>
                <w:szCs w:val="13"/>
                <w:color w:val="auto"/>
              </w:rPr>
              <w:t>Foreign exchange translation</w:t>
            </w:r>
          </w:p>
        </w:tc>
        <w:tc>
          <w:tcPr>
            <w:tcW w:w="116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(54,334)</w:t>
            </w:r>
          </w:p>
        </w:tc>
        <w:tc>
          <w:tcPr>
            <w:tcW w:w="10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(54,334)</w:t>
            </w:r>
          </w:p>
        </w:tc>
        <w:tc>
          <w:tcPr>
            <w:tcW w:w="0" w:type="dxa"/>
            <w:vAlign w:val="bottom"/>
          </w:tcPr>
          <w:p>
            <w:pPr>
              <w:spacing w:after="0"/>
              <w:rPr>
                <w:sz w:val="1"/>
                <w:szCs w:val="1"/>
                <w:color w:val="auto"/>
              </w:rPr>
            </w:pPr>
          </w:p>
        </w:tc>
      </w:tr>
      <w:tr>
        <w:trPr>
          <w:trHeight w:val="122"/>
        </w:trPr>
        <w:tc>
          <w:tcPr>
            <w:tcW w:w="47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Balance at December 31, 2017</w:t>
            </w: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1,504,416</w:t>
            </w:r>
          </w:p>
        </w:tc>
        <w:tc>
          <w:tcPr>
            <w:tcW w:w="2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(32,781)</w:t>
            </w: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(16,041)</w:t>
            </w:r>
          </w:p>
        </w:tc>
        <w:tc>
          <w:tcPr>
            <w:tcW w:w="1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1,455,594</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line="143" w:lineRule="exact"/>
              <w:rPr>
                <w:sz w:val="20"/>
                <w:szCs w:val="20"/>
                <w:color w:val="auto"/>
              </w:rPr>
            </w:pPr>
            <w:r>
              <w:rPr>
                <w:rFonts w:ascii="Arial" w:cs="Arial" w:eastAsia="Arial" w:hAnsi="Arial"/>
                <w:sz w:val="13"/>
                <w:szCs w:val="13"/>
                <w:color w:val="auto"/>
              </w:rPr>
              <w:t>Change in accounting policy, Note 3(a)(i)</w:t>
            </w: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1,285,458</w:t>
            </w:r>
          </w:p>
        </w:tc>
        <w:tc>
          <w:tcPr>
            <w:tcW w:w="220" w:type="dxa"/>
            <w:vAlign w:val="bottom"/>
          </w:tcPr>
          <w:p>
            <w:pPr>
              <w:spacing w:after="0"/>
              <w:rPr>
                <w:sz w:val="12"/>
                <w:szCs w:val="12"/>
                <w:color w:val="auto"/>
              </w:rPr>
            </w:pPr>
          </w:p>
        </w:tc>
        <w:tc>
          <w:tcPr>
            <w:tcW w:w="11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(1,504,416)</w:t>
            </w:r>
          </w:p>
        </w:tc>
        <w:tc>
          <w:tcPr>
            <w:tcW w:w="114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(218,958)</w:t>
            </w:r>
          </w:p>
        </w:tc>
        <w:tc>
          <w:tcPr>
            <w:tcW w:w="0" w:type="dxa"/>
            <w:vAlign w:val="bottom"/>
          </w:tcPr>
          <w:p>
            <w:pPr>
              <w:spacing w:after="0"/>
              <w:rPr>
                <w:sz w:val="1"/>
                <w:szCs w:val="1"/>
                <w:color w:val="auto"/>
              </w:rPr>
            </w:pPr>
          </w:p>
        </w:tc>
      </w:tr>
      <w:tr>
        <w:trPr>
          <w:trHeight w:val="122"/>
        </w:trPr>
        <w:tc>
          <w:tcPr>
            <w:tcW w:w="47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Balance at December 31, 2017 - Restated</w:t>
            </w: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1,285,458</w:t>
            </w:r>
          </w:p>
        </w:tc>
        <w:tc>
          <w:tcPr>
            <w:tcW w:w="2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(32,781)</w:t>
            </w: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(16,041)</w:t>
            </w:r>
          </w:p>
        </w:tc>
        <w:tc>
          <w:tcPr>
            <w:tcW w:w="1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1,236,636</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Decrease in net unrealized gains on investments</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(562,545)</w:t>
            </w: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4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(562,545)</w:t>
            </w: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Transfer of net realized gains on investments to profit or loss, net of realized loss</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(38,983)</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(38,983)</w:t>
            </w: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Credit loss of investments recorded against profit or loss, Note 23</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(1,909)</w:t>
            </w: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4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(1,909)</w:t>
            </w:r>
          </w:p>
        </w:tc>
        <w:tc>
          <w:tcPr>
            <w:tcW w:w="0" w:type="dxa"/>
            <w:vAlign w:val="bottom"/>
          </w:tcPr>
          <w:p>
            <w:pPr>
              <w:spacing w:after="0"/>
              <w:rPr>
                <w:sz w:val="1"/>
                <w:szCs w:val="1"/>
                <w:color w:val="auto"/>
              </w:rPr>
            </w:pPr>
          </w:p>
        </w:tc>
      </w:tr>
      <w:tr>
        <w:trPr>
          <w:trHeight w:val="130"/>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Change in net unrealized gains on cash flow hedges</w:t>
            </w:r>
          </w:p>
        </w:tc>
        <w:tc>
          <w:tcPr>
            <w:tcW w:w="11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73,263</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73,263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line="131" w:lineRule="exact"/>
              <w:rPr>
                <w:sz w:val="20"/>
                <w:szCs w:val="20"/>
                <w:color w:val="auto"/>
              </w:rPr>
            </w:pPr>
            <w:r>
              <w:rPr>
                <w:rFonts w:ascii="Arial" w:cs="Arial" w:eastAsia="Arial" w:hAnsi="Arial"/>
                <w:sz w:val="13"/>
                <w:szCs w:val="13"/>
                <w:color w:val="auto"/>
              </w:rPr>
              <w:t>Transfer of net realized losses on cash flow hedges to profit or loss</w:t>
            </w:r>
          </w:p>
        </w:tc>
        <w:tc>
          <w:tcPr>
            <w:tcW w:w="11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4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(43,643)</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(43,643)</w:t>
            </w: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Foreign exchange translation</w:t>
            </w: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45,634</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45,634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line="134" w:lineRule="exact"/>
              <w:rPr>
                <w:sz w:val="20"/>
                <w:szCs w:val="20"/>
                <w:color w:val="auto"/>
              </w:rPr>
            </w:pPr>
            <w:r>
              <w:rPr>
                <w:rFonts w:ascii="Arial" w:cs="Arial" w:eastAsia="Arial" w:hAnsi="Arial"/>
                <w:sz w:val="13"/>
                <w:szCs w:val="13"/>
                <w:b w:val="1"/>
                <w:bCs w:val="1"/>
                <w:color w:val="auto"/>
              </w:rPr>
              <w:t>Balance at December 31, 2018</w:t>
            </w:r>
          </w:p>
        </w:tc>
        <w:tc>
          <w:tcPr>
            <w:tcW w:w="9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682,021</w:t>
            </w:r>
          </w:p>
        </w:tc>
        <w:tc>
          <w:tcPr>
            <w:tcW w:w="22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(3,161</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29,593</w:t>
            </w:r>
          </w:p>
        </w:tc>
        <w:tc>
          <w:tcPr>
            <w:tcW w:w="18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708,453</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81"/>
          </w:cols>
          <w:pgMar w:left="519" w:top="814" w:right="399" w:bottom="1440" w:gutter="0" w:footer="0" w:header="0"/>
        </w:sectPr>
      </w:pPr>
    </w:p>
    <w:bookmarkStart w:id="108" w:name="page109"/>
    <w:bookmarkEnd w:id="108"/>
    <w:p>
      <w:pPr>
        <w:ind w:left="560" w:hanging="281"/>
        <w:spacing w:after="0"/>
        <w:tabs>
          <w:tab w:leader="none" w:pos="5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Components of other comprehensive income -</w:t>
      </w:r>
    </w:p>
    <w:p>
      <w:pPr>
        <w:spacing w:after="0" w:line="19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4"/>
          <w:szCs w:val="14"/>
          <w:color w:val="auto"/>
        </w:rPr>
        <w:t>The consolidated statement of comprehensive income includes other comprehensive income from fair value through other comprehensive income investments under IFRS</w:t>
      </w:r>
    </w:p>
    <w:p>
      <w:pPr>
        <w:spacing w:after="0" w:line="39"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4"/>
          <w:szCs w:val="14"/>
          <w:color w:val="auto"/>
        </w:rPr>
        <w:t>9 (available-for-sale investments under IAS 39, at December 31, 2018) and derivatives financial instruments used as cash flow hedges; their movements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7"/>
                <w:szCs w:val="17"/>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8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8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Investments at fair value through other comprehensive income:</w:t>
            </w: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Unrealized losses on investments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(583,385)</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636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w w:val="97"/>
              </w:rPr>
              <w:t>Transfer of realized gains on available-for-sale investments to profit or loss, net of realized</w:t>
            </w: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losses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(38,983)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Transfer of expected losses on investments to profit or loss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(1,909)</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6"/>
                <w:szCs w:val="16"/>
                <w:b w:val="1"/>
                <w:bCs w:val="1"/>
                <w:color w:val="auto"/>
              </w:rPr>
              <w:t>Sub total</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(624,277)</w:t>
            </w: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(6,397)</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(11,831)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(642,505</w:t>
            </w:r>
          </w:p>
        </w:tc>
        <w:tc>
          <w:tcPr>
            <w:tcW w:w="280" w:type="dxa"/>
            <w:vAlign w:val="bottom"/>
            <w:tcBorders>
              <w:bottom w:val="single" w:sz="8" w:color="CCEEFF"/>
            </w:tcBorders>
          </w:tcPr>
          <w:p>
            <w:pPr>
              <w:jc w:val="right"/>
              <w:ind w:right="200"/>
              <w:spacing w:after="0"/>
              <w:rPr>
                <w:sz w:val="20"/>
                <w:szCs w:val="20"/>
                <w:color w:val="auto"/>
              </w:rPr>
            </w:pPr>
            <w:r>
              <w:rPr>
                <w:rFonts w:ascii="Arial" w:cs="Arial" w:eastAsia="Arial" w:hAnsi="Arial"/>
                <w:sz w:val="8"/>
                <w:szCs w:val="8"/>
                <w:color w:val="auto"/>
                <w:w w:val="73"/>
              </w:rPr>
              <w:t>)</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Capital instruments</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20,840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(37)</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20,971</w:t>
            </w:r>
          </w:p>
        </w:tc>
        <w:tc>
          <w:tcPr>
            <w:tcW w:w="28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b w:val="1"/>
                <w:bCs w:val="1"/>
                <w:color w:val="auto"/>
              </w:rPr>
              <w:t>Available-for-sale investments:</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on available-for-sale investments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873,868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554,869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w w:val="92"/>
              </w:rPr>
              <w:t>Transfer of realized gains on available-for-sale investments to profit or loss, net of realized losses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(517,006)</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(75,444)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Transfer of impairment losses on available-for-sale investments to profit or loss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766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14,459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tcPr>
          <w:p>
            <w:pPr>
              <w:spacing w:after="0" w:line="181" w:lineRule="exact"/>
              <w:rPr>
                <w:sz w:val="20"/>
                <w:szCs w:val="20"/>
                <w:color w:val="auto"/>
              </w:rPr>
            </w:pPr>
            <w:r>
              <w:rPr>
                <w:rFonts w:ascii="Arial" w:cs="Arial" w:eastAsia="Arial" w:hAnsi="Arial"/>
                <w:sz w:val="16"/>
                <w:szCs w:val="16"/>
                <w:color w:val="auto"/>
              </w:rPr>
              <w:t>Sub total</w:t>
            </w:r>
          </w:p>
        </w:tc>
        <w:tc>
          <w:tcPr>
            <w:tcW w:w="12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1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357,628</w:t>
            </w:r>
          </w:p>
        </w:tc>
        <w:tc>
          <w:tcPr>
            <w:tcW w:w="280" w:type="dxa"/>
            <w:vAlign w:val="bottom"/>
          </w:tcPr>
          <w:p>
            <w:pPr>
              <w:spacing w:after="0"/>
              <w:rPr>
                <w:sz w:val="15"/>
                <w:szCs w:val="15"/>
                <w:color w:val="auto"/>
              </w:rPr>
            </w:pPr>
          </w:p>
        </w:tc>
        <w:tc>
          <w:tcPr>
            <w:tcW w:w="12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493,884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4,120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Income tax</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6"/>
                <w:szCs w:val="16"/>
                <w:color w:val="auto"/>
              </w:rPr>
              <w:t>13,962</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22,975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375,710</w:t>
            </w:r>
          </w:p>
        </w:tc>
        <w:tc>
          <w:tcPr>
            <w:tcW w:w="2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518,658</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hedge:</w:t>
            </w: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Net gains (losses) on cash flow hedges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73,263</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(59,709)</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(16,724)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Transfer of net realized losses (gains) on cash flow hedges to profit or loss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(43,643)</w:t>
            </w: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2,278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(3,676)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360" w:type="dxa"/>
            <w:vAlign w:val="bottom"/>
          </w:tcPr>
          <w:p>
            <w:pPr>
              <w:spacing w:after="0" w:line="181" w:lineRule="exact"/>
              <w:rPr>
                <w:sz w:val="20"/>
                <w:szCs w:val="20"/>
                <w:color w:val="auto"/>
              </w:rPr>
            </w:pPr>
            <w:r>
              <w:rPr>
                <w:rFonts w:ascii="Arial" w:cs="Arial" w:eastAsia="Arial" w:hAnsi="Arial"/>
                <w:sz w:val="16"/>
                <w:szCs w:val="16"/>
                <w:b w:val="1"/>
                <w:bCs w:val="1"/>
                <w:color w:val="auto"/>
              </w:rPr>
              <w:t>Sub total</w:t>
            </w:r>
          </w:p>
        </w:tc>
        <w:tc>
          <w:tcPr>
            <w:tcW w:w="12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29,620</w:t>
            </w:r>
          </w:p>
        </w:tc>
        <w:tc>
          <w:tcPr>
            <w:tcW w:w="280" w:type="dxa"/>
            <w:vAlign w:val="bottom"/>
          </w:tcPr>
          <w:p>
            <w:pPr>
              <w:spacing w:after="0"/>
              <w:rPr>
                <w:sz w:val="15"/>
                <w:szCs w:val="15"/>
                <w:color w:val="auto"/>
              </w:rPr>
            </w:pPr>
          </w:p>
        </w:tc>
        <w:tc>
          <w:tcPr>
            <w:tcW w:w="11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(57,431)</w:t>
            </w:r>
          </w:p>
        </w:tc>
        <w:tc>
          <w:tcPr>
            <w:tcW w:w="280" w:type="dxa"/>
            <w:vAlign w:val="bottom"/>
          </w:tcPr>
          <w:p>
            <w:pPr>
              <w:spacing w:after="0"/>
              <w:rPr>
                <w:sz w:val="15"/>
                <w:szCs w:val="15"/>
                <w:color w:val="auto"/>
              </w:rPr>
            </w:pPr>
          </w:p>
        </w:tc>
        <w:tc>
          <w:tcPr>
            <w:tcW w:w="12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(20,400)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679</w:t>
            </w: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(1,219)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Income tax</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10,942</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(18,719)</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(2,294)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636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41,241</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(77,369</w:t>
            </w:r>
          </w:p>
        </w:tc>
        <w:tc>
          <w:tcPr>
            <w:tcW w:w="280" w:type="dxa"/>
            <w:vAlign w:val="bottom"/>
            <w:tcBorders>
              <w:top w:val="single" w:sz="8" w:color="CCEEFF"/>
              <w:bottom w:val="single" w:sz="8" w:color="CCEEFF"/>
            </w:tcBorders>
            <w:shd w:val="clear" w:color="auto" w:fill="CCEEFF"/>
          </w:tcPr>
          <w:p>
            <w:pPr>
              <w:jc w:val="right"/>
              <w:ind w:right="141"/>
              <w:spacing w:after="0" w:line="181" w:lineRule="exact"/>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(22,109</w:t>
            </w:r>
          </w:p>
        </w:tc>
        <w:tc>
          <w:tcPr>
            <w:tcW w:w="14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Foreign exchange translation:</w:t>
            </w: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Exchange gains or losses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45,634</w:t>
            </w:r>
          </w:p>
        </w:tc>
        <w:tc>
          <w:tcPr>
            <w:tcW w:w="1460" w:type="dxa"/>
            <w:vAlign w:val="bottom"/>
            <w:gridSpan w:val="2"/>
          </w:tcPr>
          <w:p>
            <w:pPr>
              <w:jc w:val="right"/>
              <w:ind w:right="141"/>
              <w:spacing w:after="0"/>
              <w:rPr>
                <w:sz w:val="20"/>
                <w:szCs w:val="20"/>
                <w:color w:val="auto"/>
              </w:rPr>
            </w:pPr>
            <w:r>
              <w:rPr>
                <w:rFonts w:ascii="Arial" w:cs="Arial" w:eastAsia="Arial" w:hAnsi="Arial"/>
                <w:sz w:val="16"/>
                <w:szCs w:val="16"/>
                <w:color w:val="auto"/>
              </w:rPr>
              <w:t>(54,334)</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(26,448)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107</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45,655</w:t>
            </w:r>
          </w:p>
        </w:tc>
        <w:tc>
          <w:tcPr>
            <w:tcW w:w="2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(54,227</w:t>
            </w:r>
          </w:p>
        </w:tc>
        <w:tc>
          <w:tcPr>
            <w:tcW w:w="280" w:type="dxa"/>
            <w:vAlign w:val="bottom"/>
          </w:tcPr>
          <w:p>
            <w:pPr>
              <w:jc w:val="right"/>
              <w:ind w:right="141"/>
              <w:spacing w:after="0" w:line="181" w:lineRule="exact"/>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(26,571</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360" w:type="dxa"/>
            <w:vAlign w:val="bottom"/>
            <w:vMerge w:val="restart"/>
          </w:tcPr>
          <w:p>
            <w:pPr>
              <w:ind w:left="4940"/>
              <w:spacing w:after="0"/>
              <w:rPr>
                <w:sz w:val="20"/>
                <w:szCs w:val="20"/>
                <w:color w:val="auto"/>
              </w:rPr>
            </w:pPr>
            <w:r>
              <w:rPr>
                <w:rFonts w:ascii="Arial" w:cs="Arial" w:eastAsia="Arial" w:hAnsi="Arial"/>
                <w:sz w:val="16"/>
                <w:szCs w:val="16"/>
                <w:color w:val="auto"/>
              </w:rPr>
              <w:t>- 102 -</w:t>
            </w: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5" w:right="219" w:bottom="1440" w:gutter="0" w:footer="0" w:header="0"/>
        </w:sectPr>
      </w:pPr>
    </w:p>
    <w:bookmarkStart w:id="109" w:name="page110"/>
    <w:bookmarkEnd w:id="109"/>
    <w:p>
      <w:pPr>
        <w:spacing w:after="0" w:line="1" w:lineRule="exact"/>
        <w:rPr>
          <w:sz w:val="20"/>
          <w:szCs w:val="20"/>
          <w:color w:val="auto"/>
        </w:rPr>
      </w:pPr>
    </w:p>
    <w:tbl>
      <w:tblPr>
        <w:tblLayout w:type="fixed"/>
        <w:tblInd w:w="281"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660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5"/>
                <w:szCs w:val="15"/>
                <w:color w:val="auto"/>
              </w:rPr>
            </w:pPr>
          </w:p>
        </w:tc>
      </w:tr>
      <w:tr>
        <w:trPr>
          <w:trHeight w:val="190"/>
        </w:trPr>
        <w:tc>
          <w:tcPr>
            <w:tcW w:w="6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Attributable to:</w:t>
            </w: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660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1400" w:type="dxa"/>
            <w:vAlign w:val="bottom"/>
            <w:gridSpan w:val="2"/>
          </w:tcPr>
          <w:p>
            <w:pPr>
              <w:jc w:val="right"/>
              <w:ind w:right="81"/>
              <w:spacing w:after="0"/>
              <w:rPr>
                <w:sz w:val="20"/>
                <w:szCs w:val="20"/>
                <w:color w:val="auto"/>
              </w:rPr>
            </w:pPr>
            <w:r>
              <w:rPr>
                <w:rFonts w:ascii="Arial" w:cs="Arial" w:eastAsia="Arial" w:hAnsi="Arial"/>
                <w:sz w:val="16"/>
                <w:szCs w:val="16"/>
                <w:color w:val="auto"/>
              </w:rPr>
              <w:t>(528,183)</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245,863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447,036</w:t>
            </w:r>
          </w:p>
        </w:tc>
        <w:tc>
          <w:tcPr>
            <w:tcW w:w="80" w:type="dxa"/>
            <w:vAlign w:val="bottom"/>
          </w:tcPr>
          <w:p>
            <w:pPr>
              <w:spacing w:after="0"/>
              <w:rPr>
                <w:sz w:val="16"/>
                <w:szCs w:val="16"/>
                <w:color w:val="auto"/>
              </w:rPr>
            </w:pPr>
          </w:p>
        </w:tc>
      </w:tr>
      <w:tr>
        <w:trPr>
          <w:trHeight w:val="202"/>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40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(5,734)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2,261</w:t>
            </w:r>
          </w:p>
        </w:tc>
        <w:tc>
          <w:tcPr>
            <w:tcW w:w="80" w:type="dxa"/>
            <w:vAlign w:val="bottom"/>
            <w:shd w:val="clear" w:color="auto" w:fill="CCEEFF"/>
          </w:tcPr>
          <w:p>
            <w:pPr>
              <w:spacing w:after="0"/>
              <w:rPr>
                <w:sz w:val="17"/>
                <w:szCs w:val="17"/>
                <w:color w:val="auto"/>
              </w:rPr>
            </w:pPr>
          </w:p>
        </w:tc>
      </w:tr>
      <w:tr>
        <w:trPr>
          <w:trHeight w:val="193"/>
        </w:trPr>
        <w:tc>
          <w:tcPr>
            <w:tcW w:w="66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(533,917</w:t>
            </w:r>
          </w:p>
        </w:tc>
        <w:tc>
          <w:tcPr>
            <w:tcW w:w="220" w:type="dxa"/>
            <w:vAlign w:val="bottom"/>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248,871</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449,297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1" w:hanging="281"/>
        <w:spacing w:after="0"/>
        <w:tabs>
          <w:tab w:leader="none" w:pos="28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Dividend distribution -</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4"/>
          <w:szCs w:val="14"/>
          <w:color w:val="auto"/>
        </w:rPr>
        <w:t>At December 31, 2018, 2017 and 2016, Credicorp paid cash dividends, net of the effect of treasury shares, for approximately US$343.5 million, US$298.1 million and</w:t>
      </w:r>
    </w:p>
    <w:p>
      <w:pPr>
        <w:spacing w:after="0" w:line="39" w:lineRule="exact"/>
        <w:rPr>
          <w:rFonts w:ascii="Arial" w:cs="Arial" w:eastAsia="Arial" w:hAnsi="Arial"/>
          <w:sz w:val="16"/>
          <w:szCs w:val="16"/>
          <w:color w:val="auto"/>
        </w:rPr>
      </w:pPr>
    </w:p>
    <w:p>
      <w:pPr>
        <w:ind w:left="281" w:right="20"/>
        <w:spacing w:after="0" w:line="254" w:lineRule="auto"/>
        <w:rPr>
          <w:rFonts w:ascii="Arial" w:cs="Arial" w:eastAsia="Arial" w:hAnsi="Arial"/>
          <w:sz w:val="16"/>
          <w:szCs w:val="16"/>
          <w:color w:val="auto"/>
        </w:rPr>
      </w:pPr>
      <w:r>
        <w:rPr>
          <w:rFonts w:ascii="Arial" w:cs="Arial" w:eastAsia="Arial" w:hAnsi="Arial"/>
          <w:sz w:val="16"/>
          <w:szCs w:val="16"/>
          <w:color w:val="auto"/>
        </w:rPr>
        <w:t>US$184.7 million, respectively (equivalent to approximately S/1,130.4 million, S/980 million and S/653.3 million, respectively). In this sense, at December 31, 2018, 2017 and 2016, cash dividend payouts per share totaled US$4.3, US$3.7 and US$2.3, respectively.</w:t>
      </w:r>
    </w:p>
    <w:p>
      <w:pPr>
        <w:spacing w:after="0" w:line="168"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Furthermore, at the meeting of the Board of Directors held on October 25, 2017, they agreed to make an additional dividend payment, net of the effect of treasury stock, for approximately US$386.5 million (equivalent to S/1,252.3 million) from the reserves. Said dividends were paid in November 2017.</w:t>
      </w:r>
    </w:p>
    <w:p>
      <w:pPr>
        <w:spacing w:after="0" w:line="156" w:lineRule="exact"/>
        <w:rPr>
          <w:rFonts w:ascii="Arial" w:cs="Arial" w:eastAsia="Arial" w:hAnsi="Arial"/>
          <w:sz w:val="16"/>
          <w:szCs w:val="16"/>
          <w:color w:val="auto"/>
        </w:rPr>
      </w:pPr>
    </w:p>
    <w:p>
      <w:pPr>
        <w:ind w:left="281" w:right="20"/>
        <w:spacing w:after="0" w:line="258" w:lineRule="auto"/>
        <w:rPr>
          <w:rFonts w:ascii="Arial" w:cs="Arial" w:eastAsia="Arial" w:hAnsi="Arial"/>
          <w:sz w:val="16"/>
          <w:szCs w:val="16"/>
          <w:color w:val="auto"/>
        </w:rPr>
      </w:pPr>
      <w:r>
        <w:rPr>
          <w:rFonts w:ascii="Arial" w:cs="Arial" w:eastAsia="Arial" w:hAnsi="Arial"/>
          <w:sz w:val="16"/>
          <w:szCs w:val="16"/>
          <w:color w:val="auto"/>
        </w:rPr>
        <w:t>In accordance with current Peruvian legislation, there is no restriction for overseas remittance of dividends or the repatriation of foreign investment. At December 31, 2018 and 2017 dividends paid by the Peruvian subsidiaries to Credicorp are subject to a 5.0 percent withholding tax and at December 31, 2016, the withholding rate was 6.8 percent.</w:t>
      </w:r>
    </w:p>
    <w:p>
      <w:pPr>
        <w:spacing w:after="0" w:line="165" w:lineRule="exact"/>
        <w:rPr>
          <w:rFonts w:ascii="Arial" w:cs="Arial" w:eastAsia="Arial" w:hAnsi="Arial"/>
          <w:sz w:val="16"/>
          <w:szCs w:val="16"/>
          <w:color w:val="auto"/>
        </w:rPr>
      </w:pPr>
    </w:p>
    <w:p>
      <w:pPr>
        <w:ind w:left="281" w:hanging="281"/>
        <w:spacing w:after="0"/>
        <w:tabs>
          <w:tab w:leader="none" w:pos="28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Regulatory capital -</w:t>
      </w:r>
    </w:p>
    <w:p>
      <w:pPr>
        <w:spacing w:after="0" w:line="195" w:lineRule="exact"/>
        <w:rPr>
          <w:rFonts w:ascii="Arial" w:cs="Arial" w:eastAsia="Arial" w:hAnsi="Arial"/>
          <w:sz w:val="16"/>
          <w:szCs w:val="16"/>
          <w:color w:val="auto"/>
        </w:rPr>
      </w:pPr>
    </w:p>
    <w:p>
      <w:pPr>
        <w:ind w:left="281" w:right="100"/>
        <w:spacing w:after="0" w:line="254" w:lineRule="auto"/>
        <w:rPr>
          <w:rFonts w:ascii="Arial" w:cs="Arial" w:eastAsia="Arial" w:hAnsi="Arial"/>
          <w:sz w:val="16"/>
          <w:szCs w:val="16"/>
          <w:color w:val="auto"/>
        </w:rPr>
      </w:pPr>
      <w:r>
        <w:rPr>
          <w:rFonts w:ascii="Arial" w:cs="Arial" w:eastAsia="Arial" w:hAnsi="Arial"/>
          <w:sz w:val="16"/>
          <w:szCs w:val="16"/>
          <w:color w:val="auto"/>
        </w:rPr>
        <w:t>At December 31, 2018 and 2017, the regulatory capital requirement (“patrimonio efectivo” in Peru) applicable to Credicorp subsidiaries engaged in financial services and insurance activities in Peru, determined under the provisions of the Peruvian banking and insurance regulator, SBS, totals approximately S/25,063.9 million and S/21,723 million, respectively. At those dates, the Group’s regulatory requirement exceeds by approximately S/4,658.1 million and S/3,710.3 million, respectively, the minimum regulatory capital required by the SBS.</w:t>
      </w:r>
    </w:p>
    <w:p>
      <w:pPr>
        <w:spacing w:after="0" w:line="359" w:lineRule="exact"/>
        <w:rPr>
          <w:rFonts w:ascii="Arial" w:cs="Arial" w:eastAsia="Arial" w:hAnsi="Arial"/>
          <w:sz w:val="16"/>
          <w:szCs w:val="16"/>
          <w:color w:val="auto"/>
        </w:rPr>
      </w:pPr>
    </w:p>
    <w:p>
      <w:pPr>
        <w:ind w:left="5321" w:hanging="91"/>
        <w:spacing w:after="0"/>
        <w:tabs>
          <w:tab w:leader="none" w:pos="532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22" w:right="239" w:bottom="1440" w:gutter="0" w:footer="0" w:header="0"/>
        </w:sectPr>
      </w:pPr>
    </w:p>
    <w:bookmarkStart w:id="110" w:name="page111"/>
    <w:bookmarkEnd w:id="110"/>
    <w:p>
      <w:pPr>
        <w:ind w:left="285" w:hanging="285"/>
        <w:spacing w:after="0"/>
        <w:tabs>
          <w:tab w:leader="none" w:pos="285"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TAX SITUATION</w:t>
      </w:r>
    </w:p>
    <w:p>
      <w:pPr>
        <w:spacing w:after="0" w:line="199" w:lineRule="exact"/>
        <w:rPr>
          <w:rFonts w:ascii="Arial" w:cs="Arial" w:eastAsia="Arial" w:hAnsi="Arial"/>
          <w:sz w:val="16"/>
          <w:szCs w:val="16"/>
          <w:b w:val="1"/>
          <w:bCs w:val="1"/>
          <w:color w:val="auto"/>
        </w:rPr>
      </w:pPr>
    </w:p>
    <w:p>
      <w:pPr>
        <w:ind w:left="565" w:hanging="281"/>
        <w:spacing w:after="0" w:line="269" w:lineRule="auto"/>
        <w:tabs>
          <w:tab w:leader="none" w:pos="56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Credicorp is not subject to income tax or any taxes on capital gains, equity or property in Bermuda. Credicorp’s Peruvian subsidiaries are subject to the Peruvian tax regime.</w:t>
      </w:r>
    </w:p>
    <w:p>
      <w:pPr>
        <w:spacing w:after="0" w:line="156" w:lineRule="exact"/>
        <w:rPr>
          <w:rFonts w:ascii="Arial" w:cs="Arial" w:eastAsia="Arial" w:hAnsi="Arial"/>
          <w:sz w:val="16"/>
          <w:szCs w:val="16"/>
          <w:color w:val="auto"/>
        </w:rPr>
      </w:pPr>
    </w:p>
    <w:p>
      <w:pPr>
        <w:ind w:left="565" w:right="280"/>
        <w:spacing w:after="0" w:line="269" w:lineRule="auto"/>
        <w:rPr>
          <w:rFonts w:ascii="Arial" w:cs="Arial" w:eastAsia="Arial" w:hAnsi="Arial"/>
          <w:sz w:val="16"/>
          <w:szCs w:val="16"/>
          <w:color w:val="auto"/>
        </w:rPr>
      </w:pPr>
      <w:r>
        <w:rPr>
          <w:rFonts w:ascii="Arial" w:cs="Arial" w:eastAsia="Arial" w:hAnsi="Arial"/>
          <w:sz w:val="16"/>
          <w:szCs w:val="16"/>
          <w:color w:val="auto"/>
        </w:rPr>
        <w:t>The income tax rate in Peru as of December 31, 2018 and 2017 was 29.5 percent of the taxable income after calculating the worker's participation, which is determined using a rate of 5 percent.</w:t>
      </w:r>
    </w:p>
    <w:p>
      <w:pPr>
        <w:spacing w:after="0" w:line="156" w:lineRule="exact"/>
        <w:rPr>
          <w:rFonts w:ascii="Arial" w:cs="Arial" w:eastAsia="Arial" w:hAnsi="Arial"/>
          <w:sz w:val="16"/>
          <w:szCs w:val="16"/>
          <w:color w:val="auto"/>
        </w:rPr>
      </w:pPr>
    </w:p>
    <w:p>
      <w:pPr>
        <w:ind w:left="565" w:right="240"/>
        <w:spacing w:after="0" w:line="258" w:lineRule="auto"/>
        <w:rPr>
          <w:rFonts w:ascii="Arial" w:cs="Arial" w:eastAsia="Arial" w:hAnsi="Arial"/>
          <w:sz w:val="16"/>
          <w:szCs w:val="16"/>
          <w:color w:val="auto"/>
        </w:rPr>
      </w:pPr>
      <w:r>
        <w:rPr>
          <w:rFonts w:ascii="Arial" w:cs="Arial" w:eastAsia="Arial" w:hAnsi="Arial"/>
          <w:sz w:val="16"/>
          <w:szCs w:val="16"/>
          <w:color w:val="auto"/>
        </w:rPr>
        <w:t>The income tax rate in Bolivia is 25.0 percent as of December 31, 2018 and 2017. Financial entities have an additional rate if the ROE exceeds 6.0 percent; in that case, they must consider an additional 25.0 percent, with which the rate would be 50.0 percent (22.0 percent additional to December 31, 2017, with which the rate was 47.0 percent in that period).</w:t>
      </w:r>
    </w:p>
    <w:p>
      <w:pPr>
        <w:spacing w:after="0" w:line="165" w:lineRule="exact"/>
        <w:rPr>
          <w:rFonts w:ascii="Arial" w:cs="Arial" w:eastAsia="Arial" w:hAnsi="Arial"/>
          <w:sz w:val="16"/>
          <w:szCs w:val="16"/>
          <w:color w:val="auto"/>
        </w:rPr>
      </w:pPr>
    </w:p>
    <w:p>
      <w:pPr>
        <w:ind w:left="565" w:right="160"/>
        <w:spacing w:after="0" w:line="258" w:lineRule="auto"/>
        <w:rPr>
          <w:rFonts w:ascii="Arial" w:cs="Arial" w:eastAsia="Arial" w:hAnsi="Arial"/>
          <w:sz w:val="16"/>
          <w:szCs w:val="16"/>
          <w:color w:val="auto"/>
        </w:rPr>
      </w:pPr>
      <w:r>
        <w:rPr>
          <w:rFonts w:ascii="Arial" w:cs="Arial" w:eastAsia="Arial" w:hAnsi="Arial"/>
          <w:sz w:val="16"/>
          <w:szCs w:val="16"/>
          <w:color w:val="auto"/>
        </w:rPr>
        <w:t>In the case of Chile, the first category income tax rate for domiciled legal entities under the attributed regime is 25.0 percent and for those under the partially integrated scheme it is 27.0 percent for the year 2018 (25.0 percent and 25.5 percent, respectively, for the year 2017). Credicorp Capital Holding Chile, like all its subsidiaries, used the partially integrated regime.</w:t>
      </w:r>
    </w:p>
    <w:p>
      <w:pPr>
        <w:spacing w:after="0" w:line="165" w:lineRule="exact"/>
        <w:rPr>
          <w:rFonts w:ascii="Arial" w:cs="Arial" w:eastAsia="Arial" w:hAnsi="Arial"/>
          <w:sz w:val="16"/>
          <w:szCs w:val="16"/>
          <w:color w:val="auto"/>
        </w:rPr>
      </w:pPr>
    </w:p>
    <w:p>
      <w:pPr>
        <w:ind w:left="565" w:right="20"/>
        <w:spacing w:after="0" w:line="258" w:lineRule="auto"/>
        <w:rPr>
          <w:rFonts w:ascii="Arial" w:cs="Arial" w:eastAsia="Arial" w:hAnsi="Arial"/>
          <w:sz w:val="16"/>
          <w:szCs w:val="16"/>
          <w:color w:val="auto"/>
        </w:rPr>
      </w:pPr>
      <w:r>
        <w:rPr>
          <w:rFonts w:ascii="Arial" w:cs="Arial" w:eastAsia="Arial" w:hAnsi="Arial"/>
          <w:sz w:val="16"/>
          <w:szCs w:val="16"/>
          <w:color w:val="auto"/>
        </w:rPr>
        <w:t>On the other hand, individuals or legal entities not domiciled in Chile will be subject to a tax called "Additional income tax" whose rates are between 4.0 percent and 35.0 percent, depending on the nature of the income. Additionally, Chile has signed treaties to avoid double taxation with different countries so certain income could be released from withholding tax or for the use of reduced rates.</w:t>
      </w:r>
    </w:p>
    <w:p>
      <w:pPr>
        <w:spacing w:after="0" w:line="165"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4"/>
          <w:szCs w:val="14"/>
          <w:color w:val="auto"/>
        </w:rPr>
        <w:t>In the case of Colombia, the income tax rate for 2018 was 33.0 percent plus a surcharge of 4.0 percent and as of December 31, 2017 was 34.0 percent plus a surcharge of</w:t>
      </w:r>
    </w:p>
    <w:p>
      <w:pPr>
        <w:spacing w:after="0" w:line="39" w:lineRule="exact"/>
        <w:rPr>
          <w:rFonts w:ascii="Arial" w:cs="Arial" w:eastAsia="Arial" w:hAnsi="Arial"/>
          <w:sz w:val="16"/>
          <w:szCs w:val="16"/>
          <w:color w:val="auto"/>
        </w:rPr>
      </w:pPr>
    </w:p>
    <w:p>
      <w:pPr>
        <w:ind w:left="565"/>
        <w:spacing w:after="0" w:line="254" w:lineRule="auto"/>
        <w:rPr>
          <w:rFonts w:ascii="Arial" w:cs="Arial" w:eastAsia="Arial" w:hAnsi="Arial"/>
          <w:sz w:val="16"/>
          <w:szCs w:val="16"/>
          <w:color w:val="auto"/>
        </w:rPr>
      </w:pPr>
      <w:r>
        <w:rPr>
          <w:rFonts w:ascii="Arial" w:cs="Arial" w:eastAsia="Arial" w:hAnsi="Arial"/>
          <w:sz w:val="16"/>
          <w:szCs w:val="16"/>
          <w:color w:val="auto"/>
        </w:rPr>
        <w:t>6.0 percent. For the years 2019, 2020 and 2021 the rates will be 33.0 percent, 32.0 percent and 31.0 percent, respectively. From the year 2022 onwards, the rate will be 30.0 percent.</w:t>
      </w:r>
    </w:p>
    <w:p>
      <w:pPr>
        <w:spacing w:after="0" w:line="168" w:lineRule="exact"/>
        <w:rPr>
          <w:rFonts w:ascii="Arial" w:cs="Arial" w:eastAsia="Arial" w:hAnsi="Arial"/>
          <w:sz w:val="16"/>
          <w:szCs w:val="16"/>
          <w:color w:val="auto"/>
        </w:rPr>
      </w:pPr>
    </w:p>
    <w:p>
      <w:pPr>
        <w:ind w:left="565" w:right="80"/>
        <w:spacing w:after="0" w:line="269" w:lineRule="auto"/>
        <w:rPr>
          <w:rFonts w:ascii="Arial" w:cs="Arial" w:eastAsia="Arial" w:hAnsi="Arial"/>
          <w:sz w:val="16"/>
          <w:szCs w:val="16"/>
          <w:color w:val="auto"/>
        </w:rPr>
      </w:pPr>
      <w:r>
        <w:rPr>
          <w:rFonts w:ascii="Arial" w:cs="Arial" w:eastAsia="Arial" w:hAnsi="Arial"/>
          <w:sz w:val="16"/>
          <w:szCs w:val="16"/>
          <w:color w:val="auto"/>
        </w:rPr>
        <w:t>Considering that Credicorp Capital Fiduciaria, is considered a financial company, for the year 2019 it will have a surcharge of 4.0 percent and for the years 2020 and 2021 it will have a surcharge of 3.0 percent.</w:t>
      </w:r>
    </w:p>
    <w:p>
      <w:pPr>
        <w:spacing w:after="0" w:line="156" w:lineRule="exact"/>
        <w:rPr>
          <w:rFonts w:ascii="Arial" w:cs="Arial" w:eastAsia="Arial" w:hAnsi="Arial"/>
          <w:sz w:val="16"/>
          <w:szCs w:val="16"/>
          <w:color w:val="auto"/>
        </w:rPr>
      </w:pPr>
    </w:p>
    <w:p>
      <w:pPr>
        <w:ind w:left="565" w:right="240"/>
        <w:spacing w:after="0" w:line="269" w:lineRule="auto"/>
        <w:rPr>
          <w:rFonts w:ascii="Arial" w:cs="Arial" w:eastAsia="Arial" w:hAnsi="Arial"/>
          <w:sz w:val="16"/>
          <w:szCs w:val="16"/>
          <w:color w:val="auto"/>
        </w:rPr>
      </w:pPr>
      <w:r>
        <w:rPr>
          <w:rFonts w:ascii="Arial" w:cs="Arial" w:eastAsia="Arial" w:hAnsi="Arial"/>
          <w:sz w:val="16"/>
          <w:szCs w:val="16"/>
          <w:color w:val="auto"/>
        </w:rPr>
        <w:t>Atlantic Security Holding Corporation and its Subsidiaries are not subject to taxes in the Cayman Islands or Panama. For the years ended December 31, 2018, 2017 and 2016, no taxable income was generated from the operations in the United States of America.</w:t>
      </w:r>
    </w:p>
    <w:p>
      <w:pPr>
        <w:sectPr>
          <w:pgSz w:w="11900" w:h="16838" w:orient="portrait"/>
          <w:cols w:equalWidth="0" w:num="1">
            <w:col w:w="11425"/>
          </w:cols>
          <w:pgMar w:left="235" w:top="810" w:right="239" w:bottom="1440" w:gutter="0" w:footer="0" w:header="0"/>
        </w:sectPr>
      </w:pPr>
    </w:p>
    <w:p>
      <w:pPr>
        <w:spacing w:after="0" w:line="157" w:lineRule="exact"/>
        <w:rPr>
          <w:sz w:val="20"/>
          <w:szCs w:val="20"/>
          <w:color w:val="auto"/>
        </w:rPr>
      </w:pPr>
    </w:p>
    <w:p>
      <w:pPr>
        <w:ind w:left="565"/>
        <w:spacing w:after="0"/>
        <w:rPr>
          <w:sz w:val="20"/>
          <w:szCs w:val="20"/>
          <w:color w:val="auto"/>
        </w:rPr>
      </w:pPr>
      <w:r>
        <w:rPr>
          <w:rFonts w:ascii="Arial" w:cs="Arial" w:eastAsia="Arial" w:hAnsi="Arial"/>
          <w:sz w:val="14"/>
          <w:szCs w:val="14"/>
          <w:color w:val="auto"/>
        </w:rPr>
        <w:t>The reconciliation of the statutory income tax rate to the effective tax rate for the Group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5"/>
        <w:spacing w:after="0"/>
        <w:rPr>
          <w:sz w:val="20"/>
          <w:szCs w:val="20"/>
          <w:color w:val="auto"/>
        </w:rPr>
      </w:pPr>
      <w:r>
        <w:rPr>
          <w:rFonts w:ascii="Arial" w:cs="Arial" w:eastAsia="Arial" w:hAnsi="Arial"/>
          <w:sz w:val="16"/>
          <w:szCs w:val="16"/>
          <w:color w:val="auto"/>
        </w:rPr>
        <w:t>Peruvian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-107950</wp:posOffset>
            </wp:positionV>
            <wp:extent cx="6751320" cy="1206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51320" cy="120650"/>
                    </a:xfrm>
                    <a:prstGeom prst="rect">
                      <a:avLst/>
                    </a:prstGeom>
                    <a:noFill/>
                  </pic:spPr>
                </pic:pic>
              </a:graphicData>
            </a:graphic>
          </wp:anchor>
        </w:drawing>
      </w:r>
    </w:p>
    <w:p>
      <w:pPr>
        <w:ind w:left="565"/>
        <w:spacing w:after="0"/>
        <w:rPr>
          <w:sz w:val="20"/>
          <w:szCs w:val="20"/>
          <w:color w:val="auto"/>
        </w:rPr>
      </w:pPr>
      <w:r>
        <w:rPr>
          <w:rFonts w:ascii="Arial" w:cs="Arial" w:eastAsia="Arial" w:hAnsi="Arial"/>
          <w:sz w:val="16"/>
          <w:szCs w:val="16"/>
          <w:b w:val="1"/>
          <w:bCs w:val="1"/>
          <w:color w:val="auto"/>
        </w:rPr>
        <w:t>Increase (decrease) in the statutory tax rate due to:</w:t>
      </w:r>
    </w:p>
    <w:p>
      <w:pPr>
        <w:spacing w:after="0" w:line="6" w:lineRule="exact"/>
        <w:rPr>
          <w:sz w:val="20"/>
          <w:szCs w:val="20"/>
          <w:color w:val="auto"/>
        </w:rPr>
      </w:pPr>
    </w:p>
    <w:p>
      <w:pPr>
        <w:ind w:left="905" w:hanging="188"/>
        <w:spacing w:after="0"/>
        <w:tabs>
          <w:tab w:leader="none" w:pos="905"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Increase (decrease) arising from net income (loss) of subsidiaries not domiciled in Peru</w:t>
      </w:r>
    </w:p>
    <w:p>
      <w:pPr>
        <w:spacing w:after="0" w:line="17" w:lineRule="exact"/>
        <w:rPr>
          <w:rFonts w:ascii="Arial" w:cs="Arial" w:eastAsia="Arial" w:hAnsi="Arial"/>
          <w:sz w:val="15"/>
          <w:szCs w:val="15"/>
          <w:color w:val="auto"/>
        </w:rPr>
      </w:pPr>
    </w:p>
    <w:p>
      <w:pPr>
        <w:ind w:left="965" w:hanging="232"/>
        <w:spacing w:after="0"/>
        <w:tabs>
          <w:tab w:leader="none" w:pos="96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Non-taxable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-235585</wp:posOffset>
            </wp:positionV>
            <wp:extent cx="6751320" cy="120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51320" cy="120650"/>
                    </a:xfrm>
                    <a:prstGeom prst="rect">
                      <a:avLst/>
                    </a:prstGeom>
                    <a:noFill/>
                  </pic:spPr>
                </pic:pic>
              </a:graphicData>
            </a:graphic>
          </wp:anchor>
        </w:drawing>
      </w:r>
    </w:p>
    <w:p>
      <w:pPr>
        <w:ind w:left="725"/>
        <w:spacing w:after="0"/>
        <w:rPr>
          <w:sz w:val="20"/>
          <w:szCs w:val="20"/>
          <w:color w:val="auto"/>
        </w:rPr>
      </w:pPr>
      <w:r>
        <w:rPr>
          <w:rFonts w:ascii="Arial" w:cs="Arial" w:eastAsia="Arial" w:hAnsi="Arial"/>
          <w:sz w:val="16"/>
          <w:szCs w:val="16"/>
          <w:color w:val="auto"/>
        </w:rPr>
        <w:t>(iii)Effect of change in Peruvian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-115570</wp:posOffset>
            </wp:positionV>
            <wp:extent cx="6751320"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51320" cy="128270"/>
                    </a:xfrm>
                    <a:prstGeom prst="rect">
                      <a:avLst/>
                    </a:prstGeom>
                    <a:noFill/>
                  </pic:spPr>
                </pic:pic>
              </a:graphicData>
            </a:graphic>
          </wp:anchor>
        </w:drawing>
      </w:r>
    </w:p>
    <w:p>
      <w:pPr>
        <w:ind w:left="625"/>
        <w:spacing w:after="0"/>
        <w:rPr>
          <w:sz w:val="20"/>
          <w:szCs w:val="20"/>
          <w:color w:val="auto"/>
        </w:rPr>
      </w:pPr>
      <w:r>
        <w:rPr>
          <w:rFonts w:ascii="Arial" w:cs="Arial" w:eastAsia="Arial" w:hAnsi="Arial"/>
          <w:sz w:val="16"/>
          <w:szCs w:val="16"/>
          <w:b w:val="1"/>
          <w:bCs w:val="1"/>
          <w:color w:val="auto"/>
        </w:rPr>
        <w:t>Effective income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17"/>
                <w:szCs w:val="17"/>
                <w:color w:val="auto"/>
              </w:rPr>
            </w:pPr>
          </w:p>
        </w:tc>
      </w:tr>
      <w:tr>
        <w:trPr>
          <w:trHeight w:val="197"/>
        </w:trPr>
        <w:tc>
          <w:tcPr>
            <w:tcW w:w="1180" w:type="dxa"/>
            <w:vAlign w:val="bottom"/>
          </w:tcPr>
          <w:p>
            <w:pPr>
              <w:jc w:val="right"/>
              <w:ind w:right="4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160" w:type="dxa"/>
            <w:vAlign w:val="bottom"/>
          </w:tcPr>
          <w:p>
            <w:pPr>
              <w:jc w:val="right"/>
              <w:ind w:right="4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160" w:type="dxa"/>
            <w:vAlign w:val="bottom"/>
          </w:tcPr>
          <w:p>
            <w:pPr>
              <w:jc w:val="right"/>
              <w:ind w:right="421"/>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r>
      <w:tr>
        <w:trPr>
          <w:trHeight w:val="363"/>
        </w:trPr>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29.50</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29.50</w:t>
            </w:r>
          </w:p>
        </w:tc>
        <w:tc>
          <w:tcPr>
            <w:tcW w:w="1160" w:type="dxa"/>
            <w:vAlign w:val="bottom"/>
          </w:tcPr>
          <w:p>
            <w:pPr>
              <w:jc w:val="right"/>
              <w:spacing w:after="0"/>
              <w:rPr>
                <w:sz w:val="20"/>
                <w:szCs w:val="20"/>
                <w:color w:val="auto"/>
              </w:rPr>
            </w:pPr>
            <w:r>
              <w:rPr>
                <w:rFonts w:ascii="Arial" w:cs="Arial" w:eastAsia="Arial" w:hAnsi="Arial"/>
                <w:sz w:val="16"/>
                <w:szCs w:val="16"/>
                <w:color w:val="auto"/>
              </w:rPr>
              <w:t>28.00</w:t>
            </w:r>
          </w:p>
        </w:tc>
        <w:tc>
          <w:tcPr>
            <w:tcW w:w="60" w:type="dxa"/>
            <w:vAlign w:val="bottom"/>
          </w:tcPr>
          <w:p>
            <w:pPr>
              <w:spacing w:after="0"/>
              <w:rPr>
                <w:sz w:val="24"/>
                <w:szCs w:val="24"/>
                <w:color w:val="auto"/>
              </w:rPr>
            </w:pPr>
          </w:p>
        </w:tc>
      </w:tr>
      <w:tr>
        <w:trPr>
          <w:trHeight w:val="368"/>
        </w:trPr>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0.09</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(1.82)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(0.04)</w:t>
            </w:r>
          </w:p>
        </w:tc>
      </w:tr>
      <w:tr>
        <w:trPr>
          <w:trHeight w:val="190"/>
        </w:trPr>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(2.39)</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(2.69)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(0.53)</w:t>
            </w:r>
          </w:p>
        </w:tc>
      </w:tr>
      <w:tr>
        <w:trPr>
          <w:trHeight w:val="194"/>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24.99</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26.20</w:t>
            </w:r>
          </w:p>
        </w:tc>
        <w:tc>
          <w:tcPr>
            <w:tcW w:w="60" w:type="dxa"/>
            <w:vAlign w:val="bottom"/>
          </w:tcPr>
          <w:p>
            <w:pPr>
              <w:spacing w:after="0"/>
              <w:rPr>
                <w:sz w:val="16"/>
                <w:szCs w:val="16"/>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5" w:space="160"/>
            <w:col w:w="4260"/>
          </w:cols>
          <w:pgMar w:left="235" w:top="810" w:right="239" w:bottom="1440" w:gutter="0" w:footer="0" w:header="0"/>
          <w:type w:val="continuous"/>
        </w:sectPr>
      </w:pPr>
    </w:p>
    <w:p>
      <w:pPr>
        <w:spacing w:after="0" w:line="167" w:lineRule="exact"/>
        <w:rPr>
          <w:sz w:val="20"/>
          <w:szCs w:val="20"/>
          <w:color w:val="auto"/>
        </w:rPr>
      </w:pPr>
    </w:p>
    <w:p>
      <w:pPr>
        <w:jc w:val="center"/>
        <w:ind w:right="-24"/>
        <w:spacing w:after="0"/>
        <w:rPr>
          <w:sz w:val="20"/>
          <w:szCs w:val="20"/>
          <w:color w:val="auto"/>
        </w:rPr>
      </w:pPr>
      <w:r>
        <w:rPr>
          <w:rFonts w:ascii="Arial" w:cs="Arial" w:eastAsia="Arial" w:hAnsi="Arial"/>
          <w:sz w:val="15"/>
          <w:szCs w:val="15"/>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26313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5"/>
          </w:cols>
          <w:pgMar w:left="235" w:top="810"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1"/>
        </w:trPr>
        <w:tc>
          <w:tcPr>
            <w:tcW w:w="6880" w:type="dxa"/>
            <w:vAlign w:val="bottom"/>
            <w:gridSpan w:val="2"/>
          </w:tcPr>
          <w:p>
            <w:pPr>
              <w:spacing w:after="0"/>
              <w:rPr>
                <w:sz w:val="20"/>
                <w:szCs w:val="20"/>
                <w:color w:val="auto"/>
              </w:rPr>
            </w:pPr>
            <w:r>
              <w:rPr>
                <w:rFonts w:ascii="Arial" w:cs="Arial" w:eastAsia="Arial" w:hAnsi="Arial"/>
                <w:sz w:val="16"/>
                <w:szCs w:val="16"/>
                <w:color w:val="auto"/>
              </w:rPr>
              <w:t>b)  Income tax expense for the years ended December 31, 2018, 2017 and 2016 comprises: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w:t>
            </w: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In Peru</w:t>
            </w:r>
          </w:p>
        </w:tc>
        <w:tc>
          <w:tcPr>
            <w:tcW w:w="1180" w:type="dxa"/>
            <w:vAlign w:val="bottom"/>
          </w:tcPr>
          <w:p>
            <w:pPr>
              <w:jc w:val="right"/>
              <w:spacing w:after="0"/>
              <w:rPr>
                <w:sz w:val="20"/>
                <w:szCs w:val="20"/>
                <w:color w:val="auto"/>
              </w:rPr>
            </w:pPr>
            <w:r>
              <w:rPr>
                <w:rFonts w:ascii="Arial" w:cs="Arial" w:eastAsia="Arial" w:hAnsi="Arial"/>
                <w:sz w:val="16"/>
                <w:szCs w:val="16"/>
                <w:color w:val="auto"/>
              </w:rPr>
              <w:t>1,315,896</w:t>
            </w:r>
          </w:p>
        </w:tc>
        <w:tc>
          <w:tcPr>
            <w:tcW w:w="220" w:type="dxa"/>
            <w:vAlign w:val="bottom"/>
          </w:tcPr>
          <w:p>
            <w:pPr>
              <w:spacing w:after="0"/>
              <w:rPr>
                <w:sz w:val="16"/>
                <w:szCs w:val="16"/>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6"/>
                <w:szCs w:val="16"/>
                <w:color w:val="auto"/>
              </w:rPr>
              <w:t>1,262,302</w:t>
            </w:r>
          </w:p>
        </w:tc>
        <w:tc>
          <w:tcPr>
            <w:tcW w:w="1160" w:type="dxa"/>
            <w:vAlign w:val="bottom"/>
          </w:tcPr>
          <w:p>
            <w:pPr>
              <w:jc w:val="right"/>
              <w:spacing w:after="0"/>
              <w:rPr>
                <w:sz w:val="20"/>
                <w:szCs w:val="20"/>
                <w:color w:val="auto"/>
              </w:rPr>
            </w:pPr>
            <w:r>
              <w:rPr>
                <w:rFonts w:ascii="Arial" w:cs="Arial" w:eastAsia="Arial" w:hAnsi="Arial"/>
                <w:sz w:val="16"/>
                <w:szCs w:val="16"/>
                <w:color w:val="auto"/>
              </w:rPr>
              <w:t>1,098,125</w:t>
            </w:r>
          </w:p>
        </w:tc>
        <w:tc>
          <w:tcPr>
            <w:tcW w:w="100" w:type="dxa"/>
            <w:vAlign w:val="bottom"/>
          </w:tcPr>
          <w:p>
            <w:pPr>
              <w:spacing w:after="0"/>
              <w:rPr>
                <w:sz w:val="16"/>
                <w:szCs w:val="16"/>
                <w:color w:val="auto"/>
              </w:rPr>
            </w:pPr>
          </w:p>
        </w:tc>
      </w:tr>
      <w:tr>
        <w:trPr>
          <w:trHeight w:val="202"/>
        </w:trPr>
        <w:tc>
          <w:tcPr>
            <w:tcW w:w="28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In other countries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113,912</w:t>
            </w: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134,540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155,095</w:t>
            </w:r>
          </w:p>
        </w:tc>
      </w:tr>
      <w:tr>
        <w:trPr>
          <w:trHeight w:val="182"/>
        </w:trPr>
        <w:tc>
          <w:tcPr>
            <w:tcW w:w="280" w:type="dxa"/>
            <w:vAlign w:val="bottom"/>
          </w:tcPr>
          <w:p>
            <w:pPr>
              <w:spacing w:after="0"/>
              <w:rPr>
                <w:sz w:val="15"/>
                <w:szCs w:val="15"/>
                <w:color w:val="auto"/>
              </w:rPr>
            </w:pPr>
          </w:p>
        </w:tc>
        <w:tc>
          <w:tcPr>
            <w:tcW w:w="66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1,429,808</w:t>
            </w:r>
          </w:p>
        </w:tc>
        <w:tc>
          <w:tcPr>
            <w:tcW w:w="22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1,396,842</w:t>
            </w:r>
          </w:p>
        </w:tc>
        <w:tc>
          <w:tcPr>
            <w:tcW w:w="22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1,253,220</w:t>
            </w:r>
          </w:p>
        </w:tc>
        <w:tc>
          <w:tcPr>
            <w:tcW w:w="100" w:type="dxa"/>
            <w:vAlign w:val="bottom"/>
            <w:tcBorders>
              <w:bottom w:val="single" w:sz="8" w:color="CCEEFF"/>
            </w:tcBorders>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660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Deferred -</w:t>
            </w: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In Peru</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87,952</w:t>
            </w:r>
          </w:p>
        </w:tc>
        <w:tc>
          <w:tcPr>
            <w:tcW w:w="1380" w:type="dxa"/>
            <w:vAlign w:val="bottom"/>
            <w:gridSpan w:val="2"/>
          </w:tcPr>
          <w:p>
            <w:pPr>
              <w:jc w:val="right"/>
              <w:ind w:right="81"/>
              <w:spacing w:after="0"/>
              <w:rPr>
                <w:sz w:val="20"/>
                <w:szCs w:val="20"/>
                <w:color w:val="auto"/>
              </w:rPr>
            </w:pPr>
            <w:r>
              <w:rPr>
                <w:rFonts w:ascii="Arial" w:cs="Arial" w:eastAsia="Arial" w:hAnsi="Arial"/>
                <w:sz w:val="16"/>
                <w:szCs w:val="16"/>
                <w:color w:val="auto"/>
              </w:rPr>
              <w:t>(18,264)</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31,472</w:t>
            </w:r>
          </w:p>
        </w:tc>
      </w:tr>
      <w:tr>
        <w:trPr>
          <w:trHeight w:val="190"/>
        </w:trPr>
        <w:tc>
          <w:tcPr>
            <w:tcW w:w="28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In other countries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3,149</w:t>
            </w: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14,708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10,748</w:t>
            </w:r>
          </w:p>
        </w:tc>
      </w:tr>
      <w:tr>
        <w:trPr>
          <w:trHeight w:val="201"/>
        </w:trPr>
        <w:tc>
          <w:tcPr>
            <w:tcW w:w="28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Effect of change in Peruvian tax rates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(13,992)</w:t>
            </w:r>
          </w:p>
        </w:tc>
      </w:tr>
      <w:tr>
        <w:trPr>
          <w:trHeight w:val="182"/>
        </w:trPr>
        <w:tc>
          <w:tcPr>
            <w:tcW w:w="280" w:type="dxa"/>
            <w:vAlign w:val="bottom"/>
          </w:tcPr>
          <w:p>
            <w:pPr>
              <w:spacing w:after="0"/>
              <w:rPr>
                <w:sz w:val="15"/>
                <w:szCs w:val="15"/>
                <w:color w:val="auto"/>
              </w:rPr>
            </w:pPr>
          </w:p>
        </w:tc>
        <w:tc>
          <w:tcPr>
            <w:tcW w:w="66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91,101</w:t>
            </w: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(3,556</w:t>
            </w:r>
          </w:p>
        </w:tc>
        <w:tc>
          <w:tcPr>
            <w:tcW w:w="220" w:type="dxa"/>
            <w:vAlign w:val="bottom"/>
            <w:tcBorders>
              <w:top w:val="single" w:sz="8" w:color="CCEEFF"/>
            </w:tcBorders>
            <w:shd w:val="clear" w:color="auto" w:fill="CCEEFF"/>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28,228</w:t>
            </w:r>
          </w:p>
        </w:tc>
        <w:tc>
          <w:tcPr>
            <w:tcW w:w="100" w:type="dxa"/>
            <w:vAlign w:val="bottom"/>
            <w:tcBorders>
              <w:top w:val="single" w:sz="8" w:color="CCEEFF"/>
            </w:tcBorders>
            <w:shd w:val="clear" w:color="auto" w:fill="CCEEFF"/>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1,520,909</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1,393,286</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1,281,448</w:t>
            </w:r>
          </w:p>
        </w:tc>
        <w:tc>
          <w:tcPr>
            <w:tcW w:w="10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deferred income tax has been calculated on all temporary differences, considering the income tax rates effective where Credicorp’s subsidiaries are located.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20"/>
          </w:cols>
          <w:pgMar w:left="520" w:top="814" w:right="4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1"/>
        </w:trPr>
        <w:tc>
          <w:tcPr>
            <w:tcW w:w="7900" w:type="dxa"/>
            <w:vAlign w:val="bottom"/>
            <w:gridSpan w:val="2"/>
          </w:tcPr>
          <w:p>
            <w:pPr>
              <w:spacing w:after="0"/>
              <w:rPr>
                <w:sz w:val="20"/>
                <w:szCs w:val="20"/>
                <w:color w:val="auto"/>
              </w:rPr>
            </w:pPr>
            <w:r>
              <w:rPr>
                <w:rFonts w:ascii="Arial" w:cs="Arial" w:eastAsia="Arial" w:hAnsi="Arial"/>
                <w:sz w:val="16"/>
                <w:szCs w:val="16"/>
                <w:color w:val="auto"/>
              </w:rPr>
              <w:t>c)  The following table presents a summary of the Group’s deferred income tax:</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5"/>
                <w:szCs w:val="15"/>
                <w:color w:val="auto"/>
              </w:rPr>
            </w:pPr>
          </w:p>
        </w:tc>
        <w:tc>
          <w:tcPr>
            <w:tcW w:w="13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20" w:type="dxa"/>
            <w:vAlign w:val="bottom"/>
            <w:gridSpan w:val="2"/>
          </w:tcPr>
          <w:p>
            <w:pPr>
              <w:spacing w:after="0"/>
              <w:rPr>
                <w:sz w:val="15"/>
                <w:szCs w:val="15"/>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income tax asset, net</w:t>
            </w: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Deferred asset</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Allowance for loan losses for loan portfolio</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674,689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604,828</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Provision for sundry expenses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46,314</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44,885</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in valuation on cash flow hedge derivatives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9,286</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22,039</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Provision for sundry risks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285</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20,173</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Impairments in buildings for rent depreciation</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20,479</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17,489</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Fluctuation of the fair value of the covered bonds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8,734</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Carry forward tax losses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6,790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13,332</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Unrealized losses due to valuation of investments at fair value through other comprehensive income</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4,105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losses due to valuation of investments available for sale.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Others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41,597</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40,447</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liability</w:t>
            </w: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Intangibles, net</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(159,621)</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(132,553)</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Buildings depreciation</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(68,398)</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(70,515)</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Adjustment for difference in exchange of SUNAT and SBS</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(47,289)</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(35,660)</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Fluctuation of the fair value of the covered bonds</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Deferred acquisitions costs - DAC</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(14,913)</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(12,855)</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in valuation on cash flow hedge derivatives</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(6,608)</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(8,431)</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Unrealized gain due to valuation of investments at fair value through other comprehensive income</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(3,190)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due to valuation of investments available for sale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(8,095)</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Buildings revaluation</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(5,356)</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(5,917)</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in valuation on fair value hedge derivatives</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(5,687)</w:t>
            </w:r>
          </w:p>
        </w:tc>
      </w:tr>
      <w:tr>
        <w:trPr>
          <w:trHeight w:val="201"/>
        </w:trPr>
        <w:tc>
          <w:tcPr>
            <w:tcW w:w="28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Others</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(12,694)</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(14,720)</w:t>
            </w:r>
          </w:p>
        </w:tc>
      </w:tr>
      <w:tr>
        <w:trPr>
          <w:trHeight w:val="193"/>
        </w:trPr>
        <w:tc>
          <w:tcPr>
            <w:tcW w:w="280" w:type="dxa"/>
            <w:vAlign w:val="bottom"/>
          </w:tcPr>
          <w:p>
            <w:pPr>
              <w:spacing w:after="0"/>
              <w:rPr>
                <w:sz w:val="16"/>
                <w:szCs w:val="16"/>
                <w:color w:val="auto"/>
              </w:rPr>
            </w:pPr>
          </w:p>
        </w:tc>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463,717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480,057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8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income tax liability, net</w:t>
            </w: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Deferred asset</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Carry forward tax losses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20,369</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14,039</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Unrealized losses due to valuation of investments at fair value through other comprehensive income</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11,893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losses due to valuation of investments available for sale.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Provision for sundry risks, net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3,761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due to commission - DIL</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8,326</w:t>
            </w: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Others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13,424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11,154</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Deferred liability</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(36,907)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(48,797)</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Gain generated in the reorganization of Pacífico EPS</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(39,515)</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(39,515)</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Deferred acquisitions costs - DAC</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(28,581)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(30,322)</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Unrealized gain due to valuation of investments at fair value through other comprehensive income</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(20,790)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due to valuation of investments available for sale.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(41,910)</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Fluctuation due to valuation of investments at fair value through profit or loss investments</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(3,061)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Catastrophic insurance reserve</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(9,950)</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(9,561)</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Leasing operations related to loans</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(4,788)</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(5,063)</w:t>
            </w:r>
          </w:p>
        </w:tc>
      </w:tr>
      <w:tr>
        <w:trPr>
          <w:trHeight w:val="190"/>
        </w:trPr>
        <w:tc>
          <w:tcPr>
            <w:tcW w:w="28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Buildings depreciation</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(3,076)</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(2,736)</w:t>
            </w:r>
          </w:p>
        </w:tc>
      </w:tr>
      <w:tr>
        <w:trPr>
          <w:trHeight w:val="190"/>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Buildings revaluation</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(1,694)</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(2,578)</w:t>
            </w:r>
          </w:p>
        </w:tc>
      </w:tr>
      <w:tr>
        <w:trPr>
          <w:trHeight w:val="202"/>
        </w:trPr>
        <w:tc>
          <w:tcPr>
            <w:tcW w:w="28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(17,191)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(13,813)</w:t>
            </w:r>
          </w:p>
        </w:tc>
      </w:tr>
      <w:tr>
        <w:trPr>
          <w:trHeight w:val="193"/>
        </w:trPr>
        <w:tc>
          <w:tcPr>
            <w:tcW w:w="2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(108,603</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(150,280</w:t>
            </w:r>
          </w:p>
        </w:tc>
        <w:tc>
          <w:tcPr>
            <w:tcW w:w="1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w w:val="74"/>
              </w:rPr>
              <w:t>)</w:t>
            </w:r>
          </w:p>
        </w:tc>
      </w:tr>
      <w:tr>
        <w:trPr>
          <w:trHeight w:val="20"/>
        </w:trPr>
        <w:tc>
          <w:tcPr>
            <w:tcW w:w="2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right="40"/>
        <w:spacing w:after="0" w:line="269" w:lineRule="auto"/>
        <w:rPr>
          <w:sz w:val="20"/>
          <w:szCs w:val="20"/>
          <w:color w:val="auto"/>
        </w:rPr>
      </w:pPr>
      <w:r>
        <w:rPr>
          <w:rFonts w:ascii="Arial" w:cs="Arial" w:eastAsia="Arial" w:hAnsi="Arial"/>
          <w:sz w:val="16"/>
          <w:szCs w:val="16"/>
          <w:color w:val="auto"/>
        </w:rPr>
        <w:t>As of December 31, 2018, the Group has recorded a deferred income tax of S/5.3 million, corresponding to unrealized gains and losses generated by investments at fair value through other comprehensive income and cash flow hedges.</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20"/>
          </w:cols>
          <w:pgMar w:left="520" w:top="815" w:right="459" w:bottom="1440" w:gutter="0" w:footer="0" w:header="0"/>
        </w:sectPr>
      </w:pPr>
    </w:p>
    <w:bookmarkStart w:id="113" w:name="page114"/>
    <w:bookmarkEnd w:id="113"/>
    <w:p>
      <w:pPr>
        <w:ind w:left="281" w:right="320"/>
        <w:spacing w:after="0" w:line="269" w:lineRule="auto"/>
        <w:rPr>
          <w:sz w:val="20"/>
          <w:szCs w:val="20"/>
          <w:color w:val="auto"/>
        </w:rPr>
      </w:pPr>
      <w:r>
        <w:rPr>
          <w:rFonts w:ascii="Arial" w:cs="Arial" w:eastAsia="Arial" w:hAnsi="Arial"/>
          <w:sz w:val="16"/>
          <w:szCs w:val="16"/>
          <w:color w:val="auto"/>
        </w:rPr>
        <w:t>As of December 31, 2017 and 2016, the Group has recorded S/32.1 million and S/26.8 million, respectively, corresponding to unrealized gains and losses generated by investments available for sale and cash flow hedges.</w:t>
      </w:r>
    </w:p>
    <w:p>
      <w:pPr>
        <w:spacing w:after="0" w:line="157" w:lineRule="exact"/>
        <w:rPr>
          <w:sz w:val="20"/>
          <w:szCs w:val="20"/>
          <w:color w:val="auto"/>
        </w:rPr>
      </w:pPr>
    </w:p>
    <w:p>
      <w:pPr>
        <w:ind w:left="281" w:hanging="281"/>
        <w:spacing w:after="0" w:line="269" w:lineRule="auto"/>
        <w:tabs>
          <w:tab w:leader="none" w:pos="28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57" w:lineRule="exact"/>
        <w:rPr>
          <w:sz w:val="20"/>
          <w:szCs w:val="20"/>
          <w:color w:val="auto"/>
        </w:rPr>
      </w:pPr>
    </w:p>
    <w:tbl>
      <w:tblPr>
        <w:tblLayout w:type="fixed"/>
        <w:tblInd w:w="281" w:type="dxa"/>
        <w:tblCellMar>
          <w:top w:w="0" w:type="dxa"/>
          <w:left w:w="0" w:type="dxa"/>
          <w:bottom w:w="0" w:type="dxa"/>
          <w:right w:w="0" w:type="dxa"/>
        </w:tblCellMar>
      </w:tblPr>
      <w:tr>
        <w:trPr>
          <w:trHeight w:val="190"/>
        </w:trPr>
        <w:tc>
          <w:tcPr>
            <w:tcW w:w="5080" w:type="dxa"/>
            <w:vAlign w:val="bottom"/>
          </w:tcPr>
          <w:p>
            <w:pPr>
              <w:spacing w:after="0"/>
              <w:rPr>
                <w:sz w:val="20"/>
                <w:szCs w:val="20"/>
                <w:color w:val="auto"/>
              </w:rPr>
            </w:pPr>
            <w:r>
              <w:rPr>
                <w:rFonts w:ascii="Arial" w:cs="Arial" w:eastAsia="Arial" w:hAnsi="Arial"/>
                <w:sz w:val="16"/>
                <w:szCs w:val="16"/>
                <w:color w:val="auto"/>
              </w:rPr>
              <w:t>Banco de Crédito del Perú S.A.</w:t>
            </w:r>
          </w:p>
        </w:tc>
        <w:tc>
          <w:tcPr>
            <w:tcW w:w="3500" w:type="dxa"/>
            <w:vAlign w:val="bottom"/>
          </w:tcPr>
          <w:p>
            <w:pPr>
              <w:jc w:val="right"/>
              <w:spacing w:after="0"/>
              <w:rPr>
                <w:sz w:val="20"/>
                <w:szCs w:val="20"/>
                <w:color w:val="auto"/>
              </w:rPr>
            </w:pPr>
            <w:r>
              <w:rPr>
                <w:rFonts w:ascii="Arial" w:cs="Arial" w:eastAsia="Arial" w:hAnsi="Arial"/>
                <w:sz w:val="16"/>
                <w:szCs w:val="16"/>
                <w:color w:val="auto"/>
              </w:rPr>
              <w:t>2013 to 2018</w:t>
            </w:r>
          </w:p>
        </w:tc>
      </w:tr>
      <w:tr>
        <w:trPr>
          <w:trHeight w:val="190"/>
        </w:trPr>
        <w:tc>
          <w:tcPr>
            <w:tcW w:w="5080" w:type="dxa"/>
            <w:vAlign w:val="bottom"/>
          </w:tcPr>
          <w:p>
            <w:pPr>
              <w:spacing w:after="0"/>
              <w:rPr>
                <w:sz w:val="20"/>
                <w:szCs w:val="20"/>
                <w:color w:val="auto"/>
              </w:rPr>
            </w:pPr>
            <w:r>
              <w:rPr>
                <w:rFonts w:ascii="Arial" w:cs="Arial" w:eastAsia="Arial" w:hAnsi="Arial"/>
                <w:sz w:val="16"/>
                <w:szCs w:val="16"/>
                <w:color w:val="auto"/>
              </w:rPr>
              <w:t>Mibanco, Banco de la Microempresa S.A.</w:t>
            </w:r>
          </w:p>
        </w:tc>
        <w:tc>
          <w:tcPr>
            <w:tcW w:w="3500" w:type="dxa"/>
            <w:vAlign w:val="bottom"/>
          </w:tcPr>
          <w:p>
            <w:pPr>
              <w:jc w:val="right"/>
              <w:spacing w:after="0"/>
              <w:rPr>
                <w:sz w:val="20"/>
                <w:szCs w:val="20"/>
                <w:color w:val="auto"/>
              </w:rPr>
            </w:pPr>
            <w:r>
              <w:rPr>
                <w:rFonts w:ascii="Arial" w:cs="Arial" w:eastAsia="Arial" w:hAnsi="Arial"/>
                <w:sz w:val="16"/>
                <w:szCs w:val="16"/>
                <w:color w:val="auto"/>
              </w:rPr>
              <w:t>2014 to 2018</w:t>
            </w:r>
          </w:p>
        </w:tc>
      </w:tr>
      <w:tr>
        <w:trPr>
          <w:trHeight w:val="190"/>
        </w:trPr>
        <w:tc>
          <w:tcPr>
            <w:tcW w:w="5080" w:type="dxa"/>
            <w:vAlign w:val="bottom"/>
          </w:tcPr>
          <w:p>
            <w:pPr>
              <w:spacing w:after="0"/>
              <w:rPr>
                <w:sz w:val="20"/>
                <w:szCs w:val="20"/>
                <w:color w:val="auto"/>
              </w:rPr>
            </w:pPr>
            <w:r>
              <w:rPr>
                <w:rFonts w:ascii="Arial" w:cs="Arial" w:eastAsia="Arial" w:hAnsi="Arial"/>
                <w:sz w:val="16"/>
                <w:szCs w:val="16"/>
                <w:color w:val="auto"/>
              </w:rPr>
              <w:t>Prima AFP S.A</w:t>
            </w:r>
          </w:p>
        </w:tc>
        <w:tc>
          <w:tcPr>
            <w:tcW w:w="3500" w:type="dxa"/>
            <w:vAlign w:val="bottom"/>
          </w:tcPr>
          <w:p>
            <w:pPr>
              <w:jc w:val="right"/>
              <w:spacing w:after="0"/>
              <w:rPr>
                <w:sz w:val="20"/>
                <w:szCs w:val="20"/>
                <w:color w:val="auto"/>
              </w:rPr>
            </w:pPr>
            <w:r>
              <w:rPr>
                <w:rFonts w:ascii="Arial" w:cs="Arial" w:eastAsia="Arial" w:hAnsi="Arial"/>
                <w:sz w:val="16"/>
                <w:szCs w:val="16"/>
                <w:color w:val="auto"/>
              </w:rPr>
              <w:t>2014, 2016 to 2018</w:t>
            </w:r>
          </w:p>
        </w:tc>
      </w:tr>
      <w:tr>
        <w:trPr>
          <w:trHeight w:val="190"/>
        </w:trPr>
        <w:tc>
          <w:tcPr>
            <w:tcW w:w="5080" w:type="dxa"/>
            <w:vAlign w:val="bottom"/>
          </w:tcPr>
          <w:p>
            <w:pPr>
              <w:spacing w:after="0"/>
              <w:rPr>
                <w:sz w:val="20"/>
                <w:szCs w:val="20"/>
                <w:color w:val="auto"/>
              </w:rPr>
            </w:pPr>
            <w:r>
              <w:rPr>
                <w:rFonts w:ascii="Arial" w:cs="Arial" w:eastAsia="Arial" w:hAnsi="Arial"/>
                <w:sz w:val="16"/>
                <w:szCs w:val="16"/>
                <w:color w:val="auto"/>
              </w:rPr>
              <w:t>Pacífico Compañía de Seguros y Reaseguros</w:t>
            </w:r>
          </w:p>
        </w:tc>
        <w:tc>
          <w:tcPr>
            <w:tcW w:w="3500" w:type="dxa"/>
            <w:vAlign w:val="bottom"/>
          </w:tcPr>
          <w:p>
            <w:pPr>
              <w:jc w:val="right"/>
              <w:spacing w:after="0"/>
              <w:rPr>
                <w:sz w:val="20"/>
                <w:szCs w:val="20"/>
                <w:color w:val="auto"/>
              </w:rPr>
            </w:pPr>
            <w:r>
              <w:rPr>
                <w:rFonts w:ascii="Arial" w:cs="Arial" w:eastAsia="Arial" w:hAnsi="Arial"/>
                <w:sz w:val="16"/>
                <w:szCs w:val="16"/>
                <w:color w:val="auto"/>
              </w:rPr>
              <w:t>2014 to 2018</w:t>
            </w:r>
          </w:p>
        </w:tc>
      </w:tr>
      <w:tr>
        <w:trPr>
          <w:trHeight w:val="201"/>
        </w:trPr>
        <w:tc>
          <w:tcPr>
            <w:tcW w:w="5080" w:type="dxa"/>
            <w:vAlign w:val="bottom"/>
          </w:tcPr>
          <w:p>
            <w:pPr>
              <w:spacing w:after="0"/>
              <w:rPr>
                <w:sz w:val="20"/>
                <w:szCs w:val="20"/>
                <w:color w:val="auto"/>
              </w:rPr>
            </w:pPr>
            <w:r>
              <w:rPr>
                <w:rFonts w:ascii="Arial" w:cs="Arial" w:eastAsia="Arial" w:hAnsi="Arial"/>
                <w:sz w:val="16"/>
                <w:szCs w:val="16"/>
                <w:color w:val="auto"/>
              </w:rPr>
              <w:t>Pacífico Peruano Suiza</w:t>
            </w:r>
          </w:p>
        </w:tc>
        <w:tc>
          <w:tcPr>
            <w:tcW w:w="3500" w:type="dxa"/>
            <w:vAlign w:val="bottom"/>
          </w:tcPr>
          <w:p>
            <w:pPr>
              <w:jc w:val="right"/>
              <w:spacing w:after="0"/>
              <w:rPr>
                <w:sz w:val="20"/>
                <w:szCs w:val="20"/>
                <w:color w:val="auto"/>
              </w:rPr>
            </w:pPr>
            <w:r>
              <w:rPr>
                <w:rFonts w:ascii="Arial" w:cs="Arial" w:eastAsia="Arial" w:hAnsi="Arial"/>
                <w:sz w:val="16"/>
                <w:szCs w:val="16"/>
                <w:color w:val="auto"/>
              </w:rPr>
              <w:t>2014 to 2017</w:t>
            </w:r>
          </w:p>
        </w:tc>
      </w:tr>
    </w:tbl>
    <w:p>
      <w:pPr>
        <w:spacing w:after="0" w:line="179" w:lineRule="exact"/>
        <w:rPr>
          <w:sz w:val="20"/>
          <w:szCs w:val="20"/>
          <w:color w:val="auto"/>
        </w:rPr>
      </w:pPr>
    </w:p>
    <w:p>
      <w:pPr>
        <w:ind w:left="281"/>
        <w:spacing w:after="0" w:line="258" w:lineRule="auto"/>
        <w:rPr>
          <w:sz w:val="20"/>
          <w:szCs w:val="20"/>
          <w:color w:val="auto"/>
        </w:rPr>
      </w:pPr>
      <w:r>
        <w:rPr>
          <w:rFonts w:ascii="Arial" w:cs="Arial" w:eastAsia="Arial" w:hAnsi="Arial"/>
          <w:sz w:val="16"/>
          <w:szCs w:val="16"/>
          <w:color w:val="auto"/>
        </w:rPr>
        <w:t>On January 18, 2018, the Peruvian Tax Authority notified the initial Presentation and Requirement Letter for the examination of income tax returns of Banco de Crédito del Peru for the year 2013, a process that is still in process; this notification includes the obligations on Transfer Pricing for 2013, whose review has culminated without observations.</w:t>
      </w:r>
    </w:p>
    <w:p>
      <w:pPr>
        <w:spacing w:after="0" w:line="165" w:lineRule="exact"/>
        <w:rPr>
          <w:sz w:val="20"/>
          <w:szCs w:val="20"/>
          <w:color w:val="auto"/>
        </w:rPr>
      </w:pPr>
    </w:p>
    <w:p>
      <w:pPr>
        <w:ind w:left="281" w:right="40"/>
        <w:spacing w:after="0" w:line="254" w:lineRule="auto"/>
        <w:rPr>
          <w:sz w:val="20"/>
          <w:szCs w:val="20"/>
          <w:color w:val="auto"/>
        </w:rPr>
      </w:pPr>
      <w:r>
        <w:rPr>
          <w:rFonts w:ascii="Arial" w:cs="Arial" w:eastAsia="Arial" w:hAnsi="Arial"/>
          <w:sz w:val="16"/>
          <w:szCs w:val="16"/>
          <w:color w:val="auto"/>
        </w:rPr>
        <w:t>The Bolivian, Chilean and Colombian Tax Authorities have the power to review and, if applicable, make a new determination for the income tax calculated by the subsidiaries located in said countries in the previous 8 years, 3 years and 3 years, respectively, upon presentation of their Income Tax declarations. Additionally, in the case of Colombia, a period of 6 years was established for the taxpayers obliged to apply Transfer Prices or taxpayers who report tax losses. The annual income tax declarations pending examination by the overseas tax authorities are the following:</w:t>
      </w:r>
    </w:p>
    <w:p>
      <w:pPr>
        <w:spacing w:after="0" w:line="169" w:lineRule="exact"/>
        <w:rPr>
          <w:sz w:val="20"/>
          <w:szCs w:val="20"/>
          <w:color w:val="auto"/>
        </w:rPr>
      </w:pPr>
    </w:p>
    <w:tbl>
      <w:tblPr>
        <w:tblLayout w:type="fixed"/>
        <w:tblInd w:w="281" w:type="dxa"/>
        <w:tblCellMar>
          <w:top w:w="0" w:type="dxa"/>
          <w:left w:w="0" w:type="dxa"/>
          <w:bottom w:w="0" w:type="dxa"/>
          <w:right w:w="0" w:type="dxa"/>
        </w:tblCellMar>
      </w:tblPr>
      <w:tr>
        <w:trPr>
          <w:trHeight w:val="190"/>
        </w:trPr>
        <w:tc>
          <w:tcPr>
            <w:tcW w:w="4520" w:type="dxa"/>
            <w:vAlign w:val="bottom"/>
          </w:tcPr>
          <w:p>
            <w:pPr>
              <w:spacing w:after="0"/>
              <w:rPr>
                <w:sz w:val="20"/>
                <w:szCs w:val="20"/>
                <w:color w:val="auto"/>
              </w:rPr>
            </w:pPr>
            <w:r>
              <w:rPr>
                <w:rFonts w:ascii="Arial" w:cs="Arial" w:eastAsia="Arial" w:hAnsi="Arial"/>
                <w:sz w:val="16"/>
                <w:szCs w:val="16"/>
                <w:color w:val="auto"/>
              </w:rPr>
              <w:t>Banco de Crédito de Bolivia</w:t>
            </w:r>
          </w:p>
        </w:tc>
        <w:tc>
          <w:tcPr>
            <w:tcW w:w="4060" w:type="dxa"/>
            <w:vAlign w:val="bottom"/>
          </w:tcPr>
          <w:p>
            <w:pPr>
              <w:jc w:val="right"/>
              <w:spacing w:after="0"/>
              <w:rPr>
                <w:sz w:val="20"/>
                <w:szCs w:val="20"/>
                <w:color w:val="auto"/>
              </w:rPr>
            </w:pPr>
            <w:r>
              <w:rPr>
                <w:rFonts w:ascii="Arial" w:cs="Arial" w:eastAsia="Arial" w:hAnsi="Arial"/>
                <w:sz w:val="16"/>
                <w:szCs w:val="16"/>
                <w:color w:val="auto"/>
              </w:rPr>
              <w:t>2011, 2012, 2014 to 2018</w:t>
            </w:r>
          </w:p>
        </w:tc>
      </w:tr>
      <w:tr>
        <w:trPr>
          <w:trHeight w:val="190"/>
        </w:trPr>
        <w:tc>
          <w:tcPr>
            <w:tcW w:w="4520" w:type="dxa"/>
            <w:vAlign w:val="bottom"/>
          </w:tcPr>
          <w:p>
            <w:pPr>
              <w:spacing w:after="0"/>
              <w:rPr>
                <w:sz w:val="20"/>
                <w:szCs w:val="20"/>
                <w:color w:val="auto"/>
              </w:rPr>
            </w:pPr>
            <w:r>
              <w:rPr>
                <w:rFonts w:ascii="Arial" w:cs="Arial" w:eastAsia="Arial" w:hAnsi="Arial"/>
                <w:sz w:val="16"/>
                <w:szCs w:val="16"/>
                <w:color w:val="auto"/>
              </w:rPr>
              <w:t>Credicorp Capital Colombia</w:t>
            </w:r>
          </w:p>
        </w:tc>
        <w:tc>
          <w:tcPr>
            <w:tcW w:w="4060" w:type="dxa"/>
            <w:vAlign w:val="bottom"/>
          </w:tcPr>
          <w:p>
            <w:pPr>
              <w:jc w:val="right"/>
              <w:spacing w:after="0"/>
              <w:rPr>
                <w:sz w:val="20"/>
                <w:szCs w:val="20"/>
                <w:color w:val="auto"/>
              </w:rPr>
            </w:pPr>
            <w:r>
              <w:rPr>
                <w:rFonts w:ascii="Arial" w:cs="Arial" w:eastAsia="Arial" w:hAnsi="Arial"/>
                <w:sz w:val="16"/>
                <w:szCs w:val="16"/>
                <w:color w:val="auto"/>
              </w:rPr>
              <w:t>2016 to 2018</w:t>
            </w:r>
          </w:p>
        </w:tc>
      </w:tr>
      <w:tr>
        <w:trPr>
          <w:trHeight w:val="201"/>
        </w:trPr>
        <w:tc>
          <w:tcPr>
            <w:tcW w:w="4520" w:type="dxa"/>
            <w:vAlign w:val="bottom"/>
          </w:tcPr>
          <w:p>
            <w:pPr>
              <w:spacing w:after="0"/>
              <w:rPr>
                <w:sz w:val="20"/>
                <w:szCs w:val="20"/>
                <w:color w:val="auto"/>
              </w:rPr>
            </w:pPr>
            <w:r>
              <w:rPr>
                <w:rFonts w:ascii="Arial" w:cs="Arial" w:eastAsia="Arial" w:hAnsi="Arial"/>
                <w:sz w:val="16"/>
                <w:szCs w:val="16"/>
                <w:color w:val="auto"/>
              </w:rPr>
              <w:t>Credicorp Capital Holding Chile</w:t>
            </w:r>
          </w:p>
        </w:tc>
        <w:tc>
          <w:tcPr>
            <w:tcW w:w="4060" w:type="dxa"/>
            <w:vAlign w:val="bottom"/>
          </w:tcPr>
          <w:p>
            <w:pPr>
              <w:jc w:val="right"/>
              <w:spacing w:after="0"/>
              <w:rPr>
                <w:sz w:val="20"/>
                <w:szCs w:val="20"/>
                <w:color w:val="auto"/>
              </w:rPr>
            </w:pPr>
            <w:r>
              <w:rPr>
                <w:rFonts w:ascii="Arial" w:cs="Arial" w:eastAsia="Arial" w:hAnsi="Arial"/>
                <w:sz w:val="16"/>
                <w:szCs w:val="16"/>
                <w:color w:val="auto"/>
              </w:rPr>
              <w:t>2014 to 2018</w:t>
            </w:r>
          </w:p>
        </w:tc>
      </w:tr>
    </w:tbl>
    <w:p>
      <w:pPr>
        <w:spacing w:after="0" w:line="179" w:lineRule="exact"/>
        <w:rPr>
          <w:sz w:val="20"/>
          <w:szCs w:val="20"/>
          <w:color w:val="auto"/>
        </w:rPr>
      </w:pPr>
    </w:p>
    <w:p>
      <w:pPr>
        <w:ind w:left="281" w:right="40"/>
        <w:spacing w:after="0" w:line="302" w:lineRule="auto"/>
        <w:rPr>
          <w:sz w:val="20"/>
          <w:szCs w:val="20"/>
          <w:color w:val="auto"/>
        </w:rPr>
      </w:pPr>
      <w:r>
        <w:rPr>
          <w:rFonts w:ascii="Arial" w:cs="Arial" w:eastAsia="Arial" w:hAnsi="Arial"/>
          <w:sz w:val="14"/>
          <w:szCs w:val="14"/>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2018 and 2017.</w:t>
      </w:r>
    </w:p>
    <w:p>
      <w:pPr>
        <w:spacing w:after="0" w:line="32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5" w:right="239" w:bottom="1440" w:gutter="0" w:footer="0" w:header="0"/>
        </w:sectPr>
      </w:pPr>
    </w:p>
    <w:bookmarkStart w:id="114" w:name="page115"/>
    <w:bookmarkEnd w:id="114"/>
    <w:p>
      <w:pPr>
        <w:ind w:left="285" w:hanging="285"/>
        <w:spacing w:after="0"/>
        <w:tabs>
          <w:tab w:leader="none" w:pos="285"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PLANS</w:t>
      </w:r>
    </w:p>
    <w:p>
      <w:pPr>
        <w:spacing w:after="0" w:line="199" w:lineRule="exact"/>
        <w:rPr>
          <w:rFonts w:ascii="Arial" w:cs="Arial" w:eastAsia="Arial" w:hAnsi="Arial"/>
          <w:sz w:val="16"/>
          <w:szCs w:val="16"/>
          <w:b w:val="1"/>
          <w:bCs w:val="1"/>
          <w:color w:val="auto"/>
        </w:rPr>
      </w:pPr>
    </w:p>
    <w:p>
      <w:pPr>
        <w:ind w:left="285" w:right="60"/>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As indicated in Note 3(x), in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corresponds to 30 percent of the benefit.</w:t>
      </w:r>
    </w:p>
    <w:p>
      <w:pPr>
        <w:spacing w:after="0" w:line="165" w:lineRule="exact"/>
        <w:rPr>
          <w:rFonts w:ascii="Arial" w:cs="Arial" w:eastAsia="Arial" w:hAnsi="Arial"/>
          <w:sz w:val="16"/>
          <w:szCs w:val="16"/>
          <w:b w:val="1"/>
          <w:bCs w:val="1"/>
          <w:color w:val="auto"/>
        </w:rPr>
      </w:pPr>
    </w:p>
    <w:p>
      <w:pPr>
        <w:ind w:left="285" w:right="60"/>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At December 31, 2018, 2017 and 2016, the Group has granted 119,840, 140,812 and 140,498 Credicorp shares, of which 260,548, 276,011 and 277,436 shares were pending delivery as of December 31, 2018, 2017 and 2016, respectively. During those years, the recorded expense amounted to approximately S/65.5 million, S/62.0 million and S/73.9 million, respectively.</w:t>
      </w:r>
    </w:p>
    <w:p>
      <w:pPr>
        <w:spacing w:after="0" w:line="161" w:lineRule="exact"/>
        <w:rPr>
          <w:rFonts w:ascii="Arial" w:cs="Arial" w:eastAsia="Arial" w:hAnsi="Arial"/>
          <w:sz w:val="16"/>
          <w:szCs w:val="16"/>
          <w:b w:val="1"/>
          <w:bCs w:val="1"/>
          <w:color w:val="auto"/>
        </w:rPr>
      </w:pPr>
    </w:p>
    <w:p>
      <w:pPr>
        <w:ind w:left="285" w:hanging="285"/>
        <w:spacing w:after="0"/>
        <w:tabs>
          <w:tab w:leader="none" w:pos="285"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OFF-BALANCE SHEET ACCOUNTS</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7300" w:type="dxa"/>
            <w:vAlign w:val="bottom"/>
          </w:tcPr>
          <w:p>
            <w:pPr>
              <w:spacing w:after="0"/>
              <w:rPr>
                <w:sz w:val="17"/>
                <w:szCs w:val="17"/>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73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7"/>
                <w:szCs w:val="17"/>
                <w:color w:val="auto"/>
              </w:rPr>
            </w:pPr>
          </w:p>
        </w:tc>
      </w:tr>
      <w:tr>
        <w:trPr>
          <w:trHeight w:val="175"/>
        </w:trPr>
        <w:tc>
          <w:tcPr>
            <w:tcW w:w="7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Contingent credits – indirect loans (b), Note 7(a)</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7300" w:type="dxa"/>
            <w:vAlign w:val="bottom"/>
          </w:tcPr>
          <w:p>
            <w:pPr>
              <w:ind w:left="140"/>
              <w:spacing w:after="0"/>
              <w:rPr>
                <w:sz w:val="20"/>
                <w:szCs w:val="20"/>
                <w:color w:val="auto"/>
              </w:rPr>
            </w:pPr>
            <w:r>
              <w:rPr>
                <w:rFonts w:ascii="Arial" w:cs="Arial" w:eastAsia="Arial" w:hAnsi="Arial"/>
                <w:sz w:val="16"/>
                <w:szCs w:val="16"/>
                <w:color w:val="auto"/>
              </w:rPr>
              <w:t>Guarantees and standby letters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18,874,073</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17,688,087</w:t>
            </w:r>
          </w:p>
        </w:tc>
        <w:tc>
          <w:tcPr>
            <w:tcW w:w="80" w:type="dxa"/>
            <w:vAlign w:val="bottom"/>
          </w:tcPr>
          <w:p>
            <w:pPr>
              <w:spacing w:after="0"/>
              <w:rPr>
                <w:sz w:val="16"/>
                <w:szCs w:val="16"/>
                <w:color w:val="auto"/>
              </w:rPr>
            </w:pPr>
          </w:p>
        </w:tc>
      </w:tr>
      <w:tr>
        <w:trPr>
          <w:trHeight w:val="20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Import and export letters of credit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1,900,198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1,681,472</w:t>
            </w:r>
          </w:p>
        </w:tc>
        <w:tc>
          <w:tcPr>
            <w:tcW w:w="80" w:type="dxa"/>
            <w:vAlign w:val="bottom"/>
            <w:shd w:val="clear" w:color="auto" w:fill="CCEEFF"/>
          </w:tcPr>
          <w:p>
            <w:pPr>
              <w:spacing w:after="0"/>
              <w:rPr>
                <w:sz w:val="17"/>
                <w:szCs w:val="17"/>
                <w:color w:val="auto"/>
              </w:rPr>
            </w:pPr>
          </w:p>
        </w:tc>
      </w:tr>
      <w:tr>
        <w:trPr>
          <w:trHeight w:val="182"/>
        </w:trPr>
        <w:tc>
          <w:tcPr>
            <w:tcW w:w="7300" w:type="dxa"/>
            <w:vAlign w:val="bottom"/>
          </w:tcPr>
          <w:p>
            <w:pPr>
              <w:spacing w:after="0"/>
              <w:rPr>
                <w:sz w:val="15"/>
                <w:szCs w:val="15"/>
                <w:color w:val="auto"/>
              </w:rPr>
            </w:pPr>
          </w:p>
        </w:tc>
        <w:tc>
          <w:tcPr>
            <w:tcW w:w="10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20,774,271</w:t>
            </w:r>
          </w:p>
        </w:tc>
        <w:tc>
          <w:tcPr>
            <w:tcW w:w="180" w:type="dxa"/>
            <w:vAlign w:val="bottom"/>
          </w:tcPr>
          <w:p>
            <w:pPr>
              <w:spacing w:after="0"/>
              <w:rPr>
                <w:sz w:val="15"/>
                <w:szCs w:val="15"/>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19,369,559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7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1"/>
        </w:trPr>
        <w:tc>
          <w:tcPr>
            <w:tcW w:w="7300" w:type="dxa"/>
            <w:vAlign w:val="bottom"/>
          </w:tcPr>
          <w:p>
            <w:pPr>
              <w:spacing w:after="0"/>
              <w:rPr>
                <w:sz w:val="20"/>
                <w:szCs w:val="20"/>
                <w:color w:val="auto"/>
              </w:rPr>
            </w:pPr>
            <w:r>
              <w:rPr>
                <w:rFonts w:ascii="Arial" w:cs="Arial" w:eastAsia="Arial" w:hAnsi="Arial"/>
                <w:sz w:val="16"/>
                <w:szCs w:val="16"/>
                <w:color w:val="auto"/>
              </w:rPr>
              <w:t>Responsibilities under credit line agreements (c)</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74,234,033</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23,553,406</w:t>
            </w:r>
          </w:p>
        </w:tc>
        <w:tc>
          <w:tcPr>
            <w:tcW w:w="80" w:type="dxa"/>
            <w:vAlign w:val="bottom"/>
          </w:tcPr>
          <w:p>
            <w:pPr>
              <w:spacing w:after="0"/>
              <w:rPr>
                <w:sz w:val="17"/>
                <w:szCs w:val="17"/>
                <w:color w:val="auto"/>
              </w:rPr>
            </w:pPr>
          </w:p>
        </w:tc>
      </w:tr>
      <w:tr>
        <w:trPr>
          <w:trHeight w:val="182"/>
        </w:trPr>
        <w:tc>
          <w:tcPr>
            <w:tcW w:w="7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3"/>
        </w:trPr>
        <w:tc>
          <w:tcPr>
            <w:tcW w:w="7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95,008,304</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42,922,965</w:t>
            </w:r>
          </w:p>
        </w:tc>
        <w:tc>
          <w:tcPr>
            <w:tcW w:w="8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spacing w:after="0"/>
        <w:rPr>
          <w:sz w:val="20"/>
          <w:szCs w:val="20"/>
          <w:color w:val="auto"/>
        </w:rPr>
      </w:pPr>
      <w:r>
        <w:rPr>
          <w:rFonts w:ascii="Arial" w:cs="Arial" w:eastAsia="Arial" w:hAnsi="Arial"/>
          <w:sz w:val="16"/>
          <w:szCs w:val="16"/>
          <w:color w:val="auto"/>
        </w:rPr>
        <w:t>Reference values of operations with derivatives are recorded in off-balance sheet accounts in the committed currency, as shown in Note 12(b).</w:t>
      </w:r>
    </w:p>
    <w:p>
      <w:pPr>
        <w:spacing w:after="0" w:line="195" w:lineRule="exact"/>
        <w:rPr>
          <w:sz w:val="20"/>
          <w:szCs w:val="20"/>
          <w:color w:val="auto"/>
        </w:rPr>
      </w:pPr>
    </w:p>
    <w:p>
      <w:pPr>
        <w:ind w:left="565" w:right="20" w:hanging="281"/>
        <w:spacing w:after="0" w:line="269" w:lineRule="auto"/>
        <w:tabs>
          <w:tab w:leader="none" w:pos="5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56" w:lineRule="exact"/>
        <w:rPr>
          <w:rFonts w:ascii="Arial" w:cs="Arial" w:eastAsia="Arial" w:hAnsi="Arial"/>
          <w:sz w:val="16"/>
          <w:szCs w:val="16"/>
          <w:color w:val="auto"/>
        </w:rPr>
      </w:pPr>
    </w:p>
    <w:p>
      <w:pPr>
        <w:ind w:left="565" w:right="220"/>
        <w:spacing w:after="0" w:line="254" w:lineRule="auto"/>
        <w:rPr>
          <w:rFonts w:ascii="Arial" w:cs="Arial" w:eastAsia="Arial" w:hAnsi="Arial"/>
          <w:sz w:val="16"/>
          <w:szCs w:val="16"/>
          <w:color w:val="auto"/>
        </w:rPr>
      </w:pPr>
      <w:r>
        <w:rPr>
          <w:rFonts w:ascii="Arial" w:cs="Arial" w:eastAsia="Arial" w:hAnsi="Arial"/>
          <w:sz w:val="16"/>
          <w:szCs w:val="16"/>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69" w:lineRule="exact"/>
        <w:rPr>
          <w:rFonts w:ascii="Arial" w:cs="Arial" w:eastAsia="Arial" w:hAnsi="Arial"/>
          <w:sz w:val="16"/>
          <w:szCs w:val="16"/>
          <w:color w:val="auto"/>
        </w:rPr>
      </w:pPr>
    </w:p>
    <w:p>
      <w:pPr>
        <w:ind w:left="565" w:right="660"/>
        <w:spacing w:after="0" w:line="269" w:lineRule="auto"/>
        <w:rPr>
          <w:rFonts w:ascii="Arial" w:cs="Arial" w:eastAsia="Arial" w:hAnsi="Arial"/>
          <w:sz w:val="16"/>
          <w:szCs w:val="16"/>
          <w:color w:val="auto"/>
        </w:rPr>
      </w:pPr>
      <w:r>
        <w:rPr>
          <w:rFonts w:ascii="Arial" w:cs="Arial" w:eastAsia="Arial" w:hAnsi="Arial"/>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56" w:lineRule="exact"/>
        <w:rPr>
          <w:rFonts w:ascii="Arial" w:cs="Arial" w:eastAsia="Arial" w:hAnsi="Arial"/>
          <w:sz w:val="16"/>
          <w:szCs w:val="16"/>
          <w:color w:val="auto"/>
        </w:rPr>
      </w:pPr>
    </w:p>
    <w:p>
      <w:pPr>
        <w:ind w:left="565" w:hanging="281"/>
        <w:spacing w:after="0" w:line="269" w:lineRule="auto"/>
        <w:tabs>
          <w:tab w:leader="none" w:pos="5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Lines of credit include consumer loans and other consumer loan facilities (credit card receivables) granted to customers and are cancelable upon related notice to the customer.</w:t>
      </w:r>
    </w:p>
    <w:p>
      <w:pPr>
        <w:spacing w:after="0" w:line="346" w:lineRule="exact"/>
        <w:rPr>
          <w:rFonts w:ascii="Arial" w:cs="Arial" w:eastAsia="Arial" w:hAnsi="Arial"/>
          <w:sz w:val="16"/>
          <w:szCs w:val="16"/>
          <w:color w:val="auto"/>
        </w:rPr>
      </w:pPr>
    </w:p>
    <w:p>
      <w:pPr>
        <w:ind w:left="5605" w:hanging="91"/>
        <w:spacing w:after="0"/>
        <w:tabs>
          <w:tab w:leader="none" w:pos="560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0" w:right="2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5"/>
        </w:trPr>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21  INTEREST, SIMILAR INCOME AND SIMILAR EXPENSES</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8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This item consists of the following:</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100" w:type="dxa"/>
            <w:vAlign w:val="bottom"/>
            <w:gridSpan w:val="2"/>
          </w:tcPr>
          <w:p>
            <w:pPr>
              <w:jc w:val="center"/>
              <w:ind w:left="1781"/>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4"/>
              </w:rPr>
              <w:t>2016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2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and similar income</w:t>
            </w:r>
          </w:p>
        </w:tc>
        <w:tc>
          <w:tcPr>
            <w:tcW w:w="1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Interest on loans</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10,041,097</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9,546,454</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9,479,867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w w:val="94"/>
              </w:rPr>
              <w:t>Interest on investments at fair value through other comprehensive income</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954,288</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Interest on available-for-sale investments</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951,981</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828,004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Interest on investments at amortized cost</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211,102</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Interest on held-to-maturity investments</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234,380</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190,466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Interest on due from banks</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159,381</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88,359</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48,626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Interest on investments at fair value through profit or loss</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87,409</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113,484</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86,568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received</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24,390</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52,906</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51,831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Other interest and similar income</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44,967</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43,119</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87,693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8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11,522,634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11,030,683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10,773,055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and similar expense</w:t>
            </w:r>
          </w:p>
        </w:tc>
        <w:tc>
          <w:tcPr>
            <w:tcW w:w="1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Interest on deposits and obligations</w:t>
            </w:r>
          </w:p>
        </w:tc>
        <w:tc>
          <w:tcPr>
            <w:tcW w:w="3320" w:type="dxa"/>
            <w:vAlign w:val="bottom"/>
            <w:gridSpan w:val="3"/>
          </w:tcPr>
          <w:p>
            <w:pPr>
              <w:jc w:val="right"/>
              <w:ind w:right="140"/>
              <w:spacing w:after="0"/>
              <w:rPr>
                <w:sz w:val="20"/>
                <w:szCs w:val="20"/>
                <w:color w:val="auto"/>
              </w:rPr>
            </w:pPr>
            <w:r>
              <w:rPr>
                <w:rFonts w:ascii="Arial" w:cs="Arial" w:eastAsia="Arial" w:hAnsi="Arial"/>
                <w:sz w:val="16"/>
                <w:szCs w:val="16"/>
                <w:color w:val="auto"/>
              </w:rPr>
              <w:t>(1,202,025)</w:t>
            </w:r>
          </w:p>
        </w:tc>
        <w:tc>
          <w:tcPr>
            <w:tcW w:w="1420" w:type="dxa"/>
            <w:vAlign w:val="bottom"/>
            <w:gridSpan w:val="2"/>
          </w:tcPr>
          <w:p>
            <w:pPr>
              <w:jc w:val="right"/>
              <w:ind w:right="81"/>
              <w:spacing w:after="0"/>
              <w:rPr>
                <w:sz w:val="20"/>
                <w:szCs w:val="20"/>
                <w:color w:val="auto"/>
              </w:rPr>
            </w:pPr>
            <w:r>
              <w:rPr>
                <w:rFonts w:ascii="Arial" w:cs="Arial" w:eastAsia="Arial" w:hAnsi="Arial"/>
                <w:sz w:val="16"/>
                <w:szCs w:val="16"/>
                <w:color w:val="auto"/>
              </w:rPr>
              <w:t>(1,132,041)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(1,062,751)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Interest on bonds and notes issued</w:t>
            </w:r>
          </w:p>
        </w:tc>
        <w:tc>
          <w:tcPr>
            <w:tcW w:w="3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(911,006)</w:t>
            </w:r>
          </w:p>
        </w:tc>
        <w:tc>
          <w:tcPr>
            <w:tcW w:w="14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(835,255)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(805,351)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Interest on due to banks and correspondents</w:t>
            </w:r>
          </w:p>
        </w:tc>
        <w:tc>
          <w:tcPr>
            <w:tcW w:w="3320" w:type="dxa"/>
            <w:vAlign w:val="bottom"/>
            <w:gridSpan w:val="3"/>
          </w:tcPr>
          <w:p>
            <w:pPr>
              <w:jc w:val="right"/>
              <w:ind w:right="140"/>
              <w:spacing w:after="0"/>
              <w:rPr>
                <w:sz w:val="20"/>
                <w:szCs w:val="20"/>
                <w:color w:val="auto"/>
              </w:rPr>
            </w:pPr>
            <w:r>
              <w:rPr>
                <w:rFonts w:ascii="Arial" w:cs="Arial" w:eastAsia="Arial" w:hAnsi="Arial"/>
                <w:sz w:val="16"/>
                <w:szCs w:val="16"/>
                <w:color w:val="auto"/>
              </w:rPr>
              <w:t>(623,001)</w:t>
            </w:r>
          </w:p>
        </w:tc>
        <w:tc>
          <w:tcPr>
            <w:tcW w:w="1420" w:type="dxa"/>
            <w:vAlign w:val="bottom"/>
            <w:gridSpan w:val="2"/>
          </w:tcPr>
          <w:p>
            <w:pPr>
              <w:jc w:val="right"/>
              <w:ind w:right="81"/>
              <w:spacing w:after="0"/>
              <w:rPr>
                <w:sz w:val="20"/>
                <w:szCs w:val="20"/>
                <w:color w:val="auto"/>
              </w:rPr>
            </w:pPr>
            <w:r>
              <w:rPr>
                <w:rFonts w:ascii="Arial" w:cs="Arial" w:eastAsia="Arial" w:hAnsi="Arial"/>
                <w:sz w:val="16"/>
                <w:szCs w:val="16"/>
                <w:color w:val="auto"/>
              </w:rPr>
              <w:t>(763,436)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(822,514)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Other interest and similar expense</w:t>
            </w:r>
          </w:p>
        </w:tc>
        <w:tc>
          <w:tcPr>
            <w:tcW w:w="3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(297,497)</w:t>
            </w:r>
          </w:p>
        </w:tc>
        <w:tc>
          <w:tcPr>
            <w:tcW w:w="14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(228,464)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(224,098)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(3,033,529</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(2,959,196</w:t>
            </w:r>
          </w:p>
        </w:tc>
        <w:tc>
          <w:tcPr>
            <w:tcW w:w="220" w:type="dxa"/>
            <w:vAlign w:val="bottom"/>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(2,914,714</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22  COMMISSIONS AND FEES</w:t>
            </w:r>
          </w:p>
        </w:tc>
        <w:tc>
          <w:tcPr>
            <w:tcW w:w="1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22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8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This item consists of the following:</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100" w:type="dxa"/>
            <w:vAlign w:val="bottom"/>
            <w:gridSpan w:val="2"/>
          </w:tcPr>
          <w:p>
            <w:pPr>
              <w:jc w:val="center"/>
              <w:ind w:left="1781"/>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4"/>
              </w:rPr>
              <w:t>2016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320" w:type="dxa"/>
            <w:vAlign w:val="bottom"/>
            <w:gridSpan w:val="3"/>
          </w:tcPr>
          <w:p>
            <w:pPr>
              <w:spacing w:after="0"/>
              <w:rPr>
                <w:sz w:val="15"/>
                <w:szCs w:val="15"/>
                <w:color w:val="auto"/>
              </w:rPr>
            </w:pPr>
          </w:p>
        </w:tc>
        <w:tc>
          <w:tcPr>
            <w:tcW w:w="1420" w:type="dxa"/>
            <w:vAlign w:val="bottom"/>
            <w:gridSpan w:val="2"/>
          </w:tcPr>
          <w:p>
            <w:pPr>
              <w:spacing w:after="0"/>
              <w:rPr>
                <w:sz w:val="15"/>
                <w:szCs w:val="15"/>
                <w:color w:val="auto"/>
              </w:rPr>
            </w:pPr>
          </w:p>
        </w:tc>
        <w:tc>
          <w:tcPr>
            <w:tcW w:w="13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w w:val="99"/>
              </w:rPr>
              <w:t>Maintenance of accounts, transfers and credit and debit card services</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1,214,365</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1,251,935</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1,146,082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Funds and equity management</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644,038</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505,215</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467,558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Contingent loans and foreign trade fees</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360,798</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279,211</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260,704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Commissions for banking services</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270,784</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290,855</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202,863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Collection services</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234,754</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235,369</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331,885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Brokerage, securities and custody services</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108,333</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142,288</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166,581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Penalty commissions</w:t>
            </w:r>
          </w:p>
        </w:tc>
        <w:tc>
          <w:tcPr>
            <w:tcW w:w="3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71,049</w:t>
            </w: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49,350</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46,572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Others</w:t>
            </w:r>
          </w:p>
        </w:tc>
        <w:tc>
          <w:tcPr>
            <w:tcW w:w="3320" w:type="dxa"/>
            <w:vAlign w:val="bottom"/>
            <w:gridSpan w:val="3"/>
          </w:tcPr>
          <w:p>
            <w:pPr>
              <w:jc w:val="right"/>
              <w:ind w:right="180"/>
              <w:spacing w:after="0"/>
              <w:rPr>
                <w:sz w:val="20"/>
                <w:szCs w:val="20"/>
                <w:color w:val="auto"/>
              </w:rPr>
            </w:pPr>
            <w:r>
              <w:rPr>
                <w:rFonts w:ascii="Arial" w:cs="Arial" w:eastAsia="Arial" w:hAnsi="Arial"/>
                <w:sz w:val="16"/>
                <w:szCs w:val="16"/>
                <w:color w:val="auto"/>
              </w:rPr>
              <w:t>222,736</w:t>
            </w:r>
          </w:p>
        </w:tc>
        <w:tc>
          <w:tcPr>
            <w:tcW w:w="1420" w:type="dxa"/>
            <w:vAlign w:val="bottom"/>
            <w:gridSpan w:val="2"/>
          </w:tcPr>
          <w:p>
            <w:pPr>
              <w:jc w:val="right"/>
              <w:ind w:right="141"/>
              <w:spacing w:after="0"/>
              <w:rPr>
                <w:sz w:val="20"/>
                <w:szCs w:val="20"/>
                <w:color w:val="auto"/>
              </w:rPr>
            </w:pPr>
            <w:r>
              <w:rPr>
                <w:rFonts w:ascii="Arial" w:cs="Arial" w:eastAsia="Arial" w:hAnsi="Arial"/>
                <w:sz w:val="16"/>
                <w:szCs w:val="16"/>
                <w:color w:val="auto"/>
              </w:rPr>
              <w:t>157,185</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149,316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94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18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3,126,857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2,911,408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2,771,561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80" w:type="dxa"/>
            <w:vAlign w:val="bottom"/>
            <w:vMerge w:val="restart"/>
          </w:tcPr>
          <w:p>
            <w:pPr>
              <w:jc w:val="right"/>
              <w:ind w:right="1081"/>
              <w:spacing w:after="0"/>
              <w:rPr>
                <w:sz w:val="20"/>
                <w:szCs w:val="20"/>
                <w:color w:val="auto"/>
              </w:rPr>
            </w:pPr>
            <w:r>
              <w:rPr>
                <w:rFonts w:ascii="Arial" w:cs="Arial" w:eastAsia="Arial" w:hAnsi="Arial"/>
                <w:sz w:val="16"/>
                <w:szCs w:val="16"/>
                <w:color w:val="auto"/>
              </w:rPr>
              <w:t>- 109 -</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1" w:right="21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23  NET GAIN ON SECURITIES</w:t>
            </w:r>
          </w:p>
        </w:tc>
        <w:tc>
          <w:tcPr>
            <w:tcW w:w="1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This item consists of the following:</w:t>
            </w: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00" w:type="dxa"/>
            <w:vAlign w:val="bottom"/>
            <w:gridSpan w:val="2"/>
          </w:tcPr>
          <w:p>
            <w:pPr>
              <w:jc w:val="right"/>
              <w:ind w:right="38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4"/>
                <w:szCs w:val="24"/>
                <w:color w:val="auto"/>
              </w:rPr>
            </w:pPr>
          </w:p>
        </w:tc>
        <w:tc>
          <w:tcPr>
            <w:tcW w:w="1200" w:type="dxa"/>
            <w:vAlign w:val="bottom"/>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180" w:type="dxa"/>
            <w:vAlign w:val="bottom"/>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Net gain on the purchase and sale of securities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153,034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672,200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293,579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Net gain in associates</w:t>
            </w:r>
          </w:p>
        </w:tc>
        <w:tc>
          <w:tcPr>
            <w:tcW w:w="3220" w:type="dxa"/>
            <w:vAlign w:val="bottom"/>
            <w:gridSpan w:val="3"/>
          </w:tcPr>
          <w:p>
            <w:pPr>
              <w:jc w:val="right"/>
              <w:ind w:right="220"/>
              <w:spacing w:after="0"/>
              <w:rPr>
                <w:sz w:val="20"/>
                <w:szCs w:val="20"/>
                <w:color w:val="auto"/>
              </w:rPr>
            </w:pPr>
            <w:r>
              <w:rPr>
                <w:rFonts w:ascii="Arial" w:cs="Arial" w:eastAsia="Arial" w:hAnsi="Arial"/>
                <w:sz w:val="16"/>
                <w:szCs w:val="16"/>
                <w:color w:val="auto"/>
              </w:rPr>
              <w:t>72,254</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49,268</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41,444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Net gain on financial assets at fair value through profit or loss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15,552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40,314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20,117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2"/>
              </w:rPr>
              <w:t>Credit loss on investments at fair value through other comprehensive income</w:t>
            </w:r>
          </w:p>
        </w:tc>
        <w:tc>
          <w:tcPr>
            <w:tcW w:w="3220" w:type="dxa"/>
            <w:vAlign w:val="bottom"/>
            <w:gridSpan w:val="3"/>
          </w:tcPr>
          <w:p>
            <w:pPr>
              <w:jc w:val="right"/>
              <w:ind w:right="220"/>
              <w:spacing w:after="0"/>
              <w:rPr>
                <w:sz w:val="20"/>
                <w:szCs w:val="20"/>
                <w:color w:val="auto"/>
              </w:rPr>
            </w:pPr>
            <w:r>
              <w:rPr>
                <w:rFonts w:ascii="Arial" w:cs="Arial" w:eastAsia="Arial" w:hAnsi="Arial"/>
                <w:sz w:val="16"/>
                <w:szCs w:val="16"/>
                <w:color w:val="auto"/>
              </w:rPr>
              <w:t>1,909</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Credit loss on investments available-for-sale</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(14,459)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Others</w:t>
            </w:r>
          </w:p>
        </w:tc>
        <w:tc>
          <w:tcPr>
            <w:tcW w:w="3220" w:type="dxa"/>
            <w:vAlign w:val="bottom"/>
            <w:gridSpan w:val="3"/>
          </w:tcPr>
          <w:p>
            <w:pPr>
              <w:jc w:val="right"/>
              <w:ind w:right="220"/>
              <w:spacing w:after="0"/>
              <w:rPr>
                <w:sz w:val="20"/>
                <w:szCs w:val="20"/>
                <w:color w:val="auto"/>
              </w:rPr>
            </w:pPr>
            <w:r>
              <w:rPr>
                <w:rFonts w:ascii="Arial" w:cs="Arial" w:eastAsia="Arial" w:hAnsi="Arial"/>
                <w:sz w:val="16"/>
                <w:szCs w:val="16"/>
                <w:color w:val="auto"/>
              </w:rPr>
              <w:t>80</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(244)</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7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242,829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760,772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339,930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vMerge w:val="restart"/>
          </w:tcPr>
          <w:p>
            <w:pPr>
              <w:jc w:val="right"/>
              <w:ind w:right="1101"/>
              <w:spacing w:after="0"/>
              <w:rPr>
                <w:sz w:val="20"/>
                <w:szCs w:val="20"/>
                <w:color w:val="auto"/>
              </w:rPr>
            </w:pPr>
            <w:r>
              <w:rPr>
                <w:rFonts w:ascii="Arial" w:cs="Arial" w:eastAsia="Arial" w:hAnsi="Arial"/>
                <w:sz w:val="16"/>
                <w:szCs w:val="16"/>
                <w:color w:val="auto"/>
              </w:rPr>
              <w:t>- 110 -</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0" w:right="219" w:bottom="1440" w:gutter="0" w:footer="0" w:header="0"/>
        </w:sectPr>
      </w:pPr>
    </w:p>
    <w:bookmarkStart w:id="117" w:name="page118"/>
    <w:bookmarkEnd w:id="117"/>
    <w:p>
      <w:pPr>
        <w:ind w:left="285" w:hanging="285"/>
        <w:spacing w:after="0"/>
        <w:tabs>
          <w:tab w:leader="none" w:pos="285"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NET PREMIUMS EARNED</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91" w:lineRule="exact"/>
        <w:rPr>
          <w:sz w:val="20"/>
          <w:szCs w:val="20"/>
          <w:color w:val="auto"/>
        </w:rPr>
      </w:pPr>
    </w:p>
    <w:tbl>
      <w:tblPr>
        <w:tblLayout w:type="fixed"/>
        <w:tblInd w:w="565"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2"/>
          </w:tcPr>
          <w:p>
            <w:pPr>
              <w:jc w:val="center"/>
              <w:ind w:right="1"/>
              <w:spacing w:after="0"/>
              <w:rPr>
                <w:sz w:val="20"/>
                <w:szCs w:val="20"/>
                <w:color w:val="auto"/>
              </w:rPr>
            </w:pPr>
            <w:r>
              <w:rPr>
                <w:rFonts w:ascii="Arial" w:cs="Arial" w:eastAsia="Arial" w:hAnsi="Arial"/>
                <w:sz w:val="16"/>
                <w:szCs w:val="16"/>
                <w:b w:val="1"/>
                <w:bCs w:val="1"/>
                <w:color w:val="auto"/>
                <w:w w:val="87"/>
              </w:rPr>
              <w:t>Premiums ceded</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34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Assumed</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Technical reserve</w:t>
            </w: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Gross premiums</w:t>
            </w:r>
          </w:p>
        </w:tc>
        <w:tc>
          <w:tcPr>
            <w:tcW w:w="60" w:type="dxa"/>
            <w:vAlign w:val="bottom"/>
          </w:tcPr>
          <w:p>
            <w:pPr>
              <w:spacing w:after="0"/>
              <w:rPr>
                <w:sz w:val="16"/>
                <w:szCs w:val="16"/>
                <w:color w:val="auto"/>
              </w:rPr>
            </w:pPr>
          </w:p>
        </w:tc>
        <w:tc>
          <w:tcPr>
            <w:tcW w:w="14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7"/>
              </w:rPr>
              <w:t>to reinsurers and</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Net premiums</w:t>
            </w:r>
          </w:p>
        </w:tc>
      </w:tr>
      <w:tr>
        <w:trPr>
          <w:trHeight w:val="205"/>
        </w:trPr>
        <w:tc>
          <w:tcPr>
            <w:tcW w:w="434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premiums (*)</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adjustment</w:t>
            </w:r>
          </w:p>
        </w:tc>
        <w:tc>
          <w:tcPr>
            <w:tcW w:w="1160" w:type="dxa"/>
            <w:vAlign w:val="bottom"/>
          </w:tcPr>
          <w:p>
            <w:pPr>
              <w:jc w:val="right"/>
              <w:ind w:right="421"/>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co-insurers, net (**)</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earned</w:t>
            </w:r>
          </w:p>
        </w:tc>
      </w:tr>
      <w:tr>
        <w:trPr>
          <w:trHeight w:val="183"/>
        </w:trPr>
        <w:tc>
          <w:tcPr>
            <w:tcW w:w="4340" w:type="dxa"/>
            <w:vAlign w:val="bottom"/>
          </w:tcPr>
          <w:p>
            <w:pPr>
              <w:spacing w:after="0"/>
              <w:rPr>
                <w:sz w:val="15"/>
                <w:szCs w:val="15"/>
                <w:color w:val="auto"/>
              </w:rPr>
            </w:pPr>
          </w:p>
        </w:tc>
        <w:tc>
          <w:tcPr>
            <w:tcW w:w="1060" w:type="dxa"/>
            <w:vAlign w:val="bottom"/>
            <w:tcBorders>
              <w:top w:val="single" w:sz="8" w:color="auto"/>
            </w:tcBorders>
          </w:tcPr>
          <w:p>
            <w:pPr>
              <w:jc w:val="right"/>
              <w:ind w:right="221"/>
              <w:spacing w:after="0" w:line="183" w:lineRule="exact"/>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6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ind w:right="161"/>
              <w:spacing w:after="0" w:line="183"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5"/>
                <w:szCs w:val="15"/>
                <w:color w:val="auto"/>
              </w:rPr>
            </w:pPr>
          </w:p>
        </w:tc>
      </w:tr>
      <w:tr>
        <w:trPr>
          <w:trHeight w:val="190"/>
        </w:trPr>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2018</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4340" w:type="dxa"/>
            <w:vAlign w:val="bottom"/>
          </w:tcPr>
          <w:p>
            <w:pPr>
              <w:spacing w:after="0"/>
              <w:rPr>
                <w:sz w:val="20"/>
                <w:szCs w:val="20"/>
                <w:color w:val="auto"/>
              </w:rPr>
            </w:pPr>
            <w:r>
              <w:rPr>
                <w:rFonts w:ascii="Arial" w:cs="Arial" w:eastAsia="Arial" w:hAnsi="Arial"/>
                <w:sz w:val="16"/>
                <w:szCs w:val="16"/>
                <w:color w:val="auto"/>
              </w:rPr>
              <w:t>Life insurance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1,881,804</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(685,022)</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1,196,782</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(116,043)</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1,080,739</w:t>
            </w:r>
          </w:p>
        </w:tc>
      </w:tr>
      <w:tr>
        <w:trPr>
          <w:trHeight w:val="190"/>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468,316</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(11,069)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457,247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(10,257)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446,990</w:t>
            </w:r>
          </w:p>
        </w:tc>
      </w:tr>
      <w:tr>
        <w:trPr>
          <w:trHeight w:val="201"/>
        </w:trPr>
        <w:tc>
          <w:tcPr>
            <w:tcW w:w="4340" w:type="dxa"/>
            <w:vAlign w:val="bottom"/>
          </w:tcPr>
          <w:p>
            <w:pPr>
              <w:spacing w:after="0"/>
              <w:rPr>
                <w:sz w:val="20"/>
                <w:szCs w:val="20"/>
                <w:color w:val="auto"/>
              </w:rPr>
            </w:pPr>
            <w:r>
              <w:rPr>
                <w:rFonts w:ascii="Arial" w:cs="Arial" w:eastAsia="Arial" w:hAnsi="Arial"/>
                <w:sz w:val="16"/>
                <w:szCs w:val="16"/>
                <w:color w:val="auto"/>
              </w:rPr>
              <w:t>General insurance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996,456</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(52,051)</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944,405</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(371,346)</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573,059</w:t>
            </w:r>
          </w:p>
        </w:tc>
      </w:tr>
      <w:tr>
        <w:trPr>
          <w:trHeight w:val="19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3,346,576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(748,142</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2,598,434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(497,646</w:t>
            </w:r>
          </w:p>
        </w:tc>
        <w:tc>
          <w:tcPr>
            <w:tcW w:w="100" w:type="dxa"/>
            <w:vAlign w:val="bottom"/>
            <w:tcBorders>
              <w:top w:val="single" w:sz="8" w:color="CCEEFF"/>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2,100,788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6"/>
        </w:trPr>
        <w:tc>
          <w:tcPr>
            <w:tcW w:w="4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2017</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4340" w:type="dxa"/>
            <w:vAlign w:val="bottom"/>
          </w:tcPr>
          <w:p>
            <w:pPr>
              <w:spacing w:after="0"/>
              <w:rPr>
                <w:sz w:val="20"/>
                <w:szCs w:val="20"/>
                <w:color w:val="auto"/>
              </w:rPr>
            </w:pPr>
            <w:r>
              <w:rPr>
                <w:rFonts w:ascii="Arial" w:cs="Arial" w:eastAsia="Arial" w:hAnsi="Arial"/>
                <w:sz w:val="16"/>
                <w:szCs w:val="16"/>
                <w:color w:val="auto"/>
              </w:rPr>
              <w:t>Life insurance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1,567,774</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(618,259)</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949,515</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(108,378)</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841,137</w:t>
            </w:r>
          </w:p>
        </w:tc>
      </w:tr>
      <w:tr>
        <w:trPr>
          <w:trHeight w:val="190"/>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433,317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434,808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(13,568)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421,240</w:t>
            </w:r>
          </w:p>
        </w:tc>
      </w:tr>
      <w:tr>
        <w:trPr>
          <w:trHeight w:val="201"/>
        </w:trPr>
        <w:tc>
          <w:tcPr>
            <w:tcW w:w="4340" w:type="dxa"/>
            <w:vAlign w:val="bottom"/>
          </w:tcPr>
          <w:p>
            <w:pPr>
              <w:spacing w:after="0"/>
              <w:rPr>
                <w:sz w:val="20"/>
                <w:szCs w:val="20"/>
                <w:color w:val="auto"/>
              </w:rPr>
            </w:pPr>
            <w:r>
              <w:rPr>
                <w:rFonts w:ascii="Arial" w:cs="Arial" w:eastAsia="Arial" w:hAnsi="Arial"/>
                <w:sz w:val="16"/>
                <w:szCs w:val="16"/>
                <w:color w:val="auto"/>
              </w:rPr>
              <w:t>General insurance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936,316</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(12,496)</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923,820</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(377,857)</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545,963</w:t>
            </w:r>
          </w:p>
        </w:tc>
      </w:tr>
      <w:tr>
        <w:trPr>
          <w:trHeight w:val="19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2,937,407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(629,264</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2,308,143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(499,803</w:t>
            </w:r>
          </w:p>
        </w:tc>
        <w:tc>
          <w:tcPr>
            <w:tcW w:w="100" w:type="dxa"/>
            <w:vAlign w:val="bottom"/>
            <w:tcBorders>
              <w:top w:val="single" w:sz="8" w:color="CCEEFF"/>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1,808,340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6"/>
        </w:trPr>
        <w:tc>
          <w:tcPr>
            <w:tcW w:w="4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2016</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4340" w:type="dxa"/>
            <w:vAlign w:val="bottom"/>
          </w:tcPr>
          <w:p>
            <w:pPr>
              <w:spacing w:after="0"/>
              <w:rPr>
                <w:sz w:val="20"/>
                <w:szCs w:val="20"/>
                <w:color w:val="auto"/>
              </w:rPr>
            </w:pPr>
            <w:r>
              <w:rPr>
                <w:rFonts w:ascii="Arial" w:cs="Arial" w:eastAsia="Arial" w:hAnsi="Arial"/>
                <w:sz w:val="16"/>
                <w:szCs w:val="16"/>
                <w:color w:val="auto"/>
              </w:rPr>
              <w:t>Life insurance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1,360,387</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(484,072)</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876,315</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(37,725)</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838,590</w:t>
            </w:r>
          </w:p>
        </w:tc>
      </w:tr>
      <w:tr>
        <w:trPr>
          <w:trHeight w:val="190"/>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431,290</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(15,950)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415,340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405,329</w:t>
            </w:r>
          </w:p>
        </w:tc>
      </w:tr>
      <w:tr>
        <w:trPr>
          <w:trHeight w:val="201"/>
        </w:trPr>
        <w:tc>
          <w:tcPr>
            <w:tcW w:w="4340" w:type="dxa"/>
            <w:vAlign w:val="bottom"/>
          </w:tcPr>
          <w:p>
            <w:pPr>
              <w:spacing w:after="0"/>
              <w:rPr>
                <w:sz w:val="20"/>
                <w:szCs w:val="20"/>
                <w:color w:val="auto"/>
              </w:rPr>
            </w:pPr>
            <w:r>
              <w:rPr>
                <w:rFonts w:ascii="Arial" w:cs="Arial" w:eastAsia="Arial" w:hAnsi="Arial"/>
                <w:sz w:val="16"/>
                <w:szCs w:val="16"/>
                <w:color w:val="auto"/>
              </w:rPr>
              <w:t>General insurance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1,009,369</w:t>
            </w:r>
          </w:p>
        </w:tc>
        <w:tc>
          <w:tcPr>
            <w:tcW w:w="1180" w:type="dxa"/>
            <w:vAlign w:val="bottom"/>
          </w:tcPr>
          <w:p>
            <w:pPr>
              <w:jc w:val="right"/>
              <w:spacing w:after="0"/>
              <w:rPr>
                <w:sz w:val="20"/>
                <w:szCs w:val="20"/>
                <w:color w:val="auto"/>
              </w:rPr>
            </w:pPr>
            <w:r>
              <w:rPr>
                <w:rFonts w:ascii="Arial" w:cs="Arial" w:eastAsia="Arial" w:hAnsi="Arial"/>
                <w:sz w:val="16"/>
                <w:szCs w:val="16"/>
                <w:color w:val="auto"/>
              </w:rPr>
              <w:t>1,677</w:t>
            </w:r>
          </w:p>
        </w:tc>
        <w:tc>
          <w:tcPr>
            <w:tcW w:w="1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1,011,046</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(455,850)</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555,196</w:t>
            </w:r>
          </w:p>
        </w:tc>
      </w:tr>
      <w:tr>
        <w:trPr>
          <w:trHeight w:val="19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2,801,046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(498,345</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2,302,701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(503,586</w:t>
            </w:r>
          </w:p>
        </w:tc>
        <w:tc>
          <w:tcPr>
            <w:tcW w:w="100" w:type="dxa"/>
            <w:vAlign w:val="bottom"/>
            <w:tcBorders>
              <w:top w:val="single" w:sz="8" w:color="CCEEFF"/>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1,799,115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left="565" w:right="3020" w:firstLine="4"/>
        <w:spacing w:after="0" w:line="499" w:lineRule="auto"/>
        <w:tabs>
          <w:tab w:leader="none" w:pos="85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This item includes earned premiums, reinsurance premiums accepted and coinsurance premiums accepted and received. (**) “Premiums ceded to reinsurers and coinsurers, net” include:</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8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5"/>
                <w:szCs w:val="15"/>
                <w:color w:val="auto"/>
              </w:rPr>
            </w:pPr>
          </w:p>
        </w:tc>
        <w:tc>
          <w:tcPr>
            <w:tcW w:w="8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Premiums ceded for automatic contracts (mainly excess of loss), Note 9(b)</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(243,427)</w:t>
            </w: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(257,617)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(201,892)</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Premiums ceded for facultative contracts, Note 9(b)</w:t>
            </w:r>
          </w:p>
        </w:tc>
        <w:tc>
          <w:tcPr>
            <w:tcW w:w="1080" w:type="dxa"/>
            <w:vAlign w:val="bottom"/>
            <w:gridSpan w:val="2"/>
          </w:tcPr>
          <w:p>
            <w:pPr>
              <w:jc w:val="right"/>
              <w:ind w:right="61"/>
              <w:spacing w:after="0"/>
              <w:rPr>
                <w:sz w:val="20"/>
                <w:szCs w:val="20"/>
                <w:color w:val="auto"/>
              </w:rPr>
            </w:pPr>
            <w:r>
              <w:rPr>
                <w:rFonts w:ascii="Arial" w:cs="Arial" w:eastAsia="Arial" w:hAnsi="Arial"/>
                <w:sz w:val="16"/>
                <w:szCs w:val="16"/>
                <w:color w:val="auto"/>
              </w:rPr>
              <w:t>(288,928)</w:t>
            </w:r>
          </w:p>
        </w:tc>
        <w:tc>
          <w:tcPr>
            <w:tcW w:w="1040" w:type="dxa"/>
            <w:vAlign w:val="bottom"/>
            <w:gridSpan w:val="2"/>
          </w:tcPr>
          <w:p>
            <w:pPr>
              <w:jc w:val="right"/>
              <w:ind w:right="41"/>
              <w:spacing w:after="0"/>
              <w:rPr>
                <w:sz w:val="20"/>
                <w:szCs w:val="20"/>
                <w:color w:val="auto"/>
              </w:rPr>
            </w:pPr>
            <w:r>
              <w:rPr>
                <w:rFonts w:ascii="Arial" w:cs="Arial" w:eastAsia="Arial" w:hAnsi="Arial"/>
                <w:sz w:val="16"/>
                <w:szCs w:val="16"/>
                <w:color w:val="auto"/>
              </w:rPr>
              <w:t>(263,378)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(292,555)</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Annual variation for unearned premiums ceded reserves, Note 9(b)</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34,709</w:t>
            </w: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21,192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(497,646</w:t>
            </w:r>
          </w:p>
        </w:tc>
        <w:tc>
          <w:tcPr>
            <w:tcW w:w="200" w:type="dxa"/>
            <w:vAlign w:val="bottom"/>
          </w:tcPr>
          <w:p>
            <w:pPr>
              <w:jc w:val="right"/>
              <w:ind w:right="61"/>
              <w:spacing w:after="0" w:line="181" w:lineRule="exact"/>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(499,803</w:t>
            </w:r>
          </w:p>
        </w:tc>
        <w:tc>
          <w:tcPr>
            <w:tcW w:w="180" w:type="dxa"/>
            <w:vAlign w:val="bottom"/>
          </w:tcPr>
          <w:p>
            <w:pPr>
              <w:jc w:val="right"/>
              <w:ind w:right="41"/>
              <w:spacing w:after="0" w:line="181" w:lineRule="exact"/>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(503,586</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481"/>
              <w:spacing w:after="0"/>
              <w:rPr>
                <w:sz w:val="20"/>
                <w:szCs w:val="20"/>
                <w:color w:val="auto"/>
              </w:rPr>
            </w:pPr>
            <w:r>
              <w:rPr>
                <w:rFonts w:ascii="Arial" w:cs="Arial" w:eastAsia="Arial" w:hAnsi="Arial"/>
                <w:sz w:val="16"/>
                <w:szCs w:val="16"/>
                <w:color w:val="auto"/>
              </w:rPr>
              <w:t>- 111 -</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480" w:type="dxa"/>
            <w:vAlign w:val="bottom"/>
            <w:tcBorders>
              <w:bottom w:val="single" w:sz="8" w:color="auto"/>
            </w:tcBorders>
            <w:gridSpan w:val="2"/>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5"/>
          </w:cols>
          <w:pgMar w:left="235" w:top="810" w:right="219" w:bottom="1440" w:gutter="0" w:footer="0" w:header="0"/>
        </w:sectPr>
      </w:pPr>
    </w:p>
    <w:bookmarkStart w:id="118" w:name="page119"/>
    <w:bookmarkEnd w:id="118"/>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Gross premiums earned by insurance type and their participation in total gross premiums are described below:</w:t>
      </w:r>
    </w:p>
    <w:p>
      <w:pPr>
        <w:sectPr>
          <w:pgSz w:w="11900" w:h="16838" w:orient="portrait"/>
          <w:cols w:equalWidth="0" w:num="1">
            <w:col w:w="11160"/>
          </w:cols>
          <w:pgMar w:left="520" w:top="81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Life insurance (i)</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Health insurance (ii)</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General insurance (iii)</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720" w:type="dxa"/>
            <w:vAlign w:val="bottom"/>
            <w:tcBorders>
              <w:bottom w:val="single" w:sz="8" w:color="auto"/>
            </w:tcBorders>
          </w:tcPr>
          <w:p>
            <w:pPr>
              <w:spacing w:after="0"/>
              <w:rPr>
                <w:sz w:val="17"/>
                <w:szCs w:val="17"/>
                <w:color w:val="auto"/>
              </w:rPr>
            </w:pPr>
          </w:p>
        </w:tc>
      </w:tr>
      <w:tr>
        <w:trPr>
          <w:trHeight w:val="197"/>
        </w:trPr>
        <w:tc>
          <w:tcPr>
            <w:tcW w:w="140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S/(000)</w:t>
            </w:r>
          </w:p>
        </w:tc>
        <w:tc>
          <w:tcPr>
            <w:tcW w:w="740" w:type="dxa"/>
            <w:vAlign w:val="bottom"/>
          </w:tcPr>
          <w:p>
            <w:pPr>
              <w:jc w:val="right"/>
              <w:ind w:right="3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6"/>
                <w:szCs w:val="16"/>
                <w:b w:val="1"/>
                <w:bCs w:val="1"/>
                <w:color w:val="auto"/>
              </w:rPr>
              <w:t>S/(000)</w:t>
            </w:r>
          </w:p>
        </w:tc>
        <w:tc>
          <w:tcPr>
            <w:tcW w:w="720" w:type="dxa"/>
            <w:vAlign w:val="bottom"/>
          </w:tcPr>
          <w:p>
            <w:pPr>
              <w:jc w:val="right"/>
              <w:ind w:right="3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S/(000)</w:t>
            </w:r>
          </w:p>
        </w:tc>
        <w:tc>
          <w:tcPr>
            <w:tcW w:w="720" w:type="dxa"/>
            <w:vAlign w:val="bottom"/>
          </w:tcPr>
          <w:p>
            <w:pPr>
              <w:jc w:val="right"/>
              <w:ind w:right="321"/>
              <w:spacing w:after="0"/>
              <w:rPr>
                <w:sz w:val="20"/>
                <w:szCs w:val="20"/>
                <w:color w:val="auto"/>
              </w:rPr>
            </w:pPr>
            <w:r>
              <w:rPr>
                <w:rFonts w:ascii="Arial" w:cs="Arial" w:eastAsia="Arial" w:hAnsi="Arial"/>
                <w:sz w:val="16"/>
                <w:szCs w:val="16"/>
                <w:b w:val="1"/>
                <w:bCs w:val="1"/>
                <w:color w:val="auto"/>
              </w:rPr>
              <w:t>%</w:t>
            </w:r>
          </w:p>
        </w:tc>
      </w:tr>
      <w:tr>
        <w:trPr>
          <w:trHeight w:val="352"/>
        </w:trPr>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1,196,782</w:t>
            </w:r>
          </w:p>
        </w:tc>
        <w:tc>
          <w:tcPr>
            <w:tcW w:w="2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46.05</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949,515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41.14</w:t>
            </w:r>
          </w:p>
        </w:tc>
        <w:tc>
          <w:tcPr>
            <w:tcW w:w="2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876,315</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38.06</w:t>
            </w:r>
          </w:p>
        </w:tc>
      </w:tr>
      <w:tr>
        <w:trPr>
          <w:trHeight w:val="201"/>
        </w:trPr>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457,247</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17.60</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434,808</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18.84</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415,340</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18.04</w:t>
            </w:r>
          </w:p>
        </w:tc>
      </w:tr>
      <w:tr>
        <w:trPr>
          <w:trHeight w:val="202"/>
        </w:trPr>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944,405</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36.35</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923,820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40.02</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1,011,046</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43.90</w:t>
            </w:r>
          </w:p>
        </w:tc>
      </w:tr>
      <w:tr>
        <w:trPr>
          <w:trHeight w:val="194"/>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2,598,434</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2,308,143</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2,302,701</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-526415</wp:posOffset>
            </wp:positionV>
            <wp:extent cx="6751320" cy="1206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51320" cy="1206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-285115</wp:posOffset>
            </wp:positionV>
            <wp:extent cx="6751320"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51320" cy="12827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3280" w:space="720"/>
            <w:col w:w="7160"/>
          </w:cols>
          <w:pgMar w:left="520" w:top="814" w:right="219" w:bottom="1440" w:gutter="0" w:footer="0" w:header="0"/>
          <w:type w:val="continuous"/>
        </w:sectPr>
      </w:pPr>
    </w:p>
    <w:p>
      <w:pPr>
        <w:ind w:left="280"/>
        <w:spacing w:after="0"/>
        <w:tabs>
          <w:tab w:leader="none" w:pos="54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4"/>
          <w:szCs w:val="14"/>
          <w:color w:val="auto"/>
        </w:rPr>
        <w:t>The breakdown of life insurance gross premiums earned is as follows:</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5"/>
        </w:trPr>
        <w:tc>
          <w:tcPr>
            <w:tcW w:w="372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3720" w:type="dxa"/>
            <w:vAlign w:val="bottom"/>
          </w:tcPr>
          <w:p>
            <w:pPr>
              <w:spacing w:after="0"/>
              <w:rPr>
                <w:sz w:val="17"/>
                <w:szCs w:val="17"/>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S/(000)</w:t>
            </w:r>
          </w:p>
        </w:tc>
        <w:tc>
          <w:tcPr>
            <w:tcW w:w="740" w:type="dxa"/>
            <w:vAlign w:val="bottom"/>
          </w:tcPr>
          <w:p>
            <w:pPr>
              <w:jc w:val="right"/>
              <w:ind w:right="3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6"/>
                <w:szCs w:val="16"/>
                <w:b w:val="1"/>
                <w:bCs w:val="1"/>
                <w:color w:val="auto"/>
              </w:rPr>
              <w:t>S/(000)</w:t>
            </w:r>
          </w:p>
        </w:tc>
        <w:tc>
          <w:tcPr>
            <w:tcW w:w="720" w:type="dxa"/>
            <w:vAlign w:val="bottom"/>
          </w:tcPr>
          <w:p>
            <w:pPr>
              <w:jc w:val="right"/>
              <w:ind w:right="3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S/(000)</w:t>
            </w:r>
          </w:p>
        </w:tc>
        <w:tc>
          <w:tcPr>
            <w:tcW w:w="720" w:type="dxa"/>
            <w:vAlign w:val="bottom"/>
          </w:tcPr>
          <w:p>
            <w:pPr>
              <w:jc w:val="right"/>
              <w:ind w:right="32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Credit life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507,359</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42.40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436,443</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366,623</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41.83</w:t>
            </w:r>
          </w:p>
        </w:tc>
        <w:tc>
          <w:tcPr>
            <w:tcW w:w="80" w:type="dxa"/>
            <w:vAlign w:val="bottom"/>
            <w:shd w:val="clear" w:color="auto" w:fill="CCEEFF"/>
          </w:tcPr>
          <w:p>
            <w:pPr>
              <w:spacing w:after="0"/>
              <w:rPr>
                <w:sz w:val="16"/>
                <w:szCs w:val="16"/>
                <w:color w:val="auto"/>
              </w:rPr>
            </w:pPr>
          </w:p>
        </w:tc>
      </w:tr>
      <w:tr>
        <w:trPr>
          <w:trHeight w:val="190"/>
        </w:trPr>
        <w:tc>
          <w:tcPr>
            <w:tcW w:w="3720" w:type="dxa"/>
            <w:vAlign w:val="bottom"/>
          </w:tcPr>
          <w:p>
            <w:pPr>
              <w:spacing w:after="0"/>
              <w:rPr>
                <w:sz w:val="20"/>
                <w:szCs w:val="20"/>
                <w:color w:val="auto"/>
              </w:rPr>
            </w:pPr>
            <w:r>
              <w:rPr>
                <w:rFonts w:ascii="Arial" w:cs="Arial" w:eastAsia="Arial" w:hAnsi="Arial"/>
                <w:sz w:val="16"/>
                <w:szCs w:val="16"/>
                <w:color w:val="auto"/>
              </w:rPr>
              <w:t>Disability and survival (*)</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270,082</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22.57</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237,559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25.02</w:t>
            </w:r>
          </w:p>
        </w:tc>
        <w:tc>
          <w:tcPr>
            <w:tcW w:w="2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214,310</w:t>
            </w:r>
          </w:p>
        </w:tc>
        <w:tc>
          <w:tcPr>
            <w:tcW w:w="2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24.46</w:t>
            </w:r>
          </w:p>
        </w:tc>
        <w:tc>
          <w:tcPr>
            <w:tcW w:w="80" w:type="dxa"/>
            <w:vAlign w:val="bottom"/>
          </w:tcPr>
          <w:p>
            <w:pPr>
              <w:spacing w:after="0"/>
              <w:rPr>
                <w:sz w:val="16"/>
                <w:szCs w:val="16"/>
                <w:color w:val="auto"/>
              </w:rPr>
            </w:pPr>
          </w:p>
        </w:tc>
      </w:tr>
      <w:tr>
        <w:trPr>
          <w:trHeight w:val="190"/>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Individual life and personal accidents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258,639</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21.61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131,840</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147,949</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16.88</w:t>
            </w:r>
          </w:p>
        </w:tc>
        <w:tc>
          <w:tcPr>
            <w:tcW w:w="80" w:type="dxa"/>
            <w:vAlign w:val="bottom"/>
            <w:shd w:val="clear" w:color="auto" w:fill="CCEEFF"/>
          </w:tcPr>
          <w:p>
            <w:pPr>
              <w:spacing w:after="0"/>
              <w:rPr>
                <w:sz w:val="16"/>
                <w:szCs w:val="16"/>
                <w:color w:val="auto"/>
              </w:rPr>
            </w:pPr>
          </w:p>
        </w:tc>
      </w:tr>
      <w:tr>
        <w:trPr>
          <w:trHeight w:val="190"/>
        </w:trPr>
        <w:tc>
          <w:tcPr>
            <w:tcW w:w="3720" w:type="dxa"/>
            <w:vAlign w:val="bottom"/>
          </w:tcPr>
          <w:p>
            <w:pPr>
              <w:spacing w:after="0"/>
              <w:rPr>
                <w:sz w:val="20"/>
                <w:szCs w:val="20"/>
                <w:color w:val="auto"/>
              </w:rPr>
            </w:pPr>
            <w:r>
              <w:rPr>
                <w:rFonts w:ascii="Arial" w:cs="Arial" w:eastAsia="Arial" w:hAnsi="Arial"/>
                <w:sz w:val="16"/>
                <w:szCs w:val="16"/>
                <w:color w:val="auto"/>
              </w:rPr>
              <w:t>Group life</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113,118</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9.44</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117,580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118,634</w:t>
            </w:r>
          </w:p>
        </w:tc>
        <w:tc>
          <w:tcPr>
            <w:tcW w:w="2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13.54</w:t>
            </w:r>
          </w:p>
        </w:tc>
        <w:tc>
          <w:tcPr>
            <w:tcW w:w="80" w:type="dxa"/>
            <w:vAlign w:val="bottom"/>
          </w:tcPr>
          <w:p>
            <w:pPr>
              <w:spacing w:after="0"/>
              <w:rPr>
                <w:sz w:val="16"/>
                <w:szCs w:val="16"/>
                <w:color w:val="auto"/>
              </w:rPr>
            </w:pPr>
          </w:p>
        </w:tc>
      </w:tr>
      <w:tr>
        <w:trPr>
          <w:trHeight w:val="202"/>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Annuities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47,584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26,093</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28,799</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80" w:type="dxa"/>
            <w:vAlign w:val="bottom"/>
            <w:shd w:val="clear" w:color="auto" w:fill="CCEEFF"/>
          </w:tcPr>
          <w:p>
            <w:pPr>
              <w:spacing w:after="0"/>
              <w:rPr>
                <w:sz w:val="17"/>
                <w:szCs w:val="17"/>
                <w:color w:val="auto"/>
              </w:rPr>
            </w:pPr>
          </w:p>
        </w:tc>
      </w:tr>
      <w:tr>
        <w:trPr>
          <w:trHeight w:val="193"/>
        </w:trPr>
        <w:tc>
          <w:tcPr>
            <w:tcW w:w="3720" w:type="dxa"/>
            <w:vAlign w:val="bottom"/>
          </w:tcPr>
          <w:p>
            <w:pPr>
              <w:spacing w:after="0"/>
              <w:rPr>
                <w:sz w:val="20"/>
                <w:szCs w:val="20"/>
                <w:color w:val="auto"/>
              </w:rPr>
            </w:pPr>
            <w:r>
              <w:rPr>
                <w:rFonts w:ascii="Arial" w:cs="Arial" w:eastAsia="Arial" w:hAnsi="Arial"/>
                <w:sz w:val="16"/>
                <w:szCs w:val="16"/>
                <w:b w:val="1"/>
                <w:bCs w:val="1"/>
                <w:color w:val="auto"/>
              </w:rPr>
              <w:t>Total life insurance gross premiums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1,196,782</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949,515</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876,315</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3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0" w:right="4320" w:firstLine="8"/>
        <w:spacing w:after="0" w:line="527" w:lineRule="auto"/>
        <w:tabs>
          <w:tab w:leader="none" w:pos="845" w:val="left"/>
        </w:tabs>
        <w:numPr>
          <w:ilvl w:val="1"/>
          <w:numId w:val="136"/>
        </w:numPr>
        <w:rPr>
          <w:rFonts w:ascii="Arial" w:cs="Arial" w:eastAsia="Arial" w:hAnsi="Arial"/>
          <w:sz w:val="15"/>
          <w:szCs w:val="15"/>
          <w:color w:val="auto"/>
        </w:rPr>
      </w:pPr>
      <w:r>
        <w:rPr>
          <w:rFonts w:ascii="Arial" w:cs="Arial" w:eastAsia="Arial" w:hAnsi="Arial"/>
          <w:sz w:val="15"/>
          <w:szCs w:val="15"/>
          <w:color w:val="auto"/>
        </w:rPr>
        <w:t>This item includes Complementary Work Risk Insurance (“SCTR” from its Spanish acronym). (**) Individual life insurance premiums include Investment Link insurance contracts.</w:t>
      </w:r>
    </w:p>
    <w:p>
      <w:pPr>
        <w:spacing w:after="0" w:line="1" w:lineRule="exact"/>
        <w:rPr>
          <w:rFonts w:ascii="Arial" w:cs="Arial" w:eastAsia="Arial" w:hAnsi="Arial"/>
          <w:sz w:val="15"/>
          <w:szCs w:val="15"/>
          <w:color w:val="auto"/>
        </w:rPr>
      </w:pPr>
    </w:p>
    <w:p>
      <w:pPr>
        <w:jc w:val="both"/>
        <w:ind w:left="560" w:right="20" w:hanging="276"/>
        <w:spacing w:after="0" w:line="258" w:lineRule="auto"/>
        <w:tabs>
          <w:tab w:leader="none" w:pos="5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Health insurance gross premium includes medical assistance which amounts to S/420 million at December 31, 2018 (S/386.3 y S/371.2 million at December 31, 2017 and 2016, respectively) and represents 91.84 percent of this line of business at December 31, 2018 (88.83 y 89.38 percent at December 31, 2017 and 2016, respectively).</w:t>
      </w:r>
    </w:p>
    <w:p>
      <w:pPr>
        <w:spacing w:after="0" w:line="165" w:lineRule="exact"/>
        <w:rPr>
          <w:rFonts w:ascii="Arial" w:cs="Arial" w:eastAsia="Arial" w:hAnsi="Arial"/>
          <w:sz w:val="16"/>
          <w:szCs w:val="16"/>
          <w:color w:val="auto"/>
        </w:rPr>
      </w:pPr>
    </w:p>
    <w:p>
      <w:pPr>
        <w:ind w:left="560" w:hanging="276"/>
        <w:spacing w:after="0"/>
        <w:tabs>
          <w:tab w:leader="none" w:pos="5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General insurance gross premiums consists of the following:</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2018</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S/(000)</w:t>
            </w:r>
          </w:p>
        </w:tc>
        <w:tc>
          <w:tcPr>
            <w:tcW w:w="70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S/(000)</w:t>
            </w:r>
          </w:p>
        </w:tc>
        <w:tc>
          <w:tcPr>
            <w:tcW w:w="72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S/(000)</w:t>
            </w:r>
          </w:p>
        </w:tc>
        <w:tc>
          <w:tcPr>
            <w:tcW w:w="70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Automobile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333,400</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35.30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308,910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33.44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336,068</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Fire and allied lines</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245,632</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26.01</w:t>
            </w:r>
          </w:p>
        </w:tc>
        <w:tc>
          <w:tcPr>
            <w:tcW w:w="940" w:type="dxa"/>
            <w:vAlign w:val="bottom"/>
          </w:tcPr>
          <w:p>
            <w:pPr>
              <w:jc w:val="right"/>
              <w:spacing w:after="0"/>
              <w:rPr>
                <w:sz w:val="20"/>
                <w:szCs w:val="20"/>
                <w:color w:val="auto"/>
              </w:rPr>
            </w:pPr>
            <w:r>
              <w:rPr>
                <w:rFonts w:ascii="Arial" w:cs="Arial" w:eastAsia="Arial" w:hAnsi="Arial"/>
                <w:sz w:val="16"/>
                <w:szCs w:val="16"/>
                <w:color w:val="auto"/>
              </w:rPr>
              <w:t>244,474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26.46</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279,192</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Theft and robbery</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89,332</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81,699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79,593</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Technical lines (*)</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63,141</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6.69</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62,973</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6.82</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70,926</w:t>
            </w:r>
          </w:p>
        </w:tc>
        <w:tc>
          <w:tcPr>
            <w:tcW w:w="2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Third party liability</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48,482</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44,536</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43,028</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Transport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48,379</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5.12</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46,534</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5.04</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51,702</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SOAT (Mandatory automobile line)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30,659</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24,573</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20,830</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Marine Hull</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26,924</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2.85</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27,317</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2.96</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27,954</w:t>
            </w:r>
          </w:p>
        </w:tc>
        <w:tc>
          <w:tcPr>
            <w:tcW w:w="2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Aviation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16,090</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25,185</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55,149</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Others</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42,366</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4.49</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57,619</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6.23</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46,604</w:t>
            </w:r>
          </w:p>
        </w:tc>
        <w:tc>
          <w:tcPr>
            <w:tcW w:w="2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944,405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923,820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1,011,046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860" w:hanging="292"/>
        <w:spacing w:after="0" w:line="269" w:lineRule="auto"/>
        <w:tabs>
          <w:tab w:leader="none" w:pos="8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Technical lines include Contractor’s All Risk (CAR), Machinery breakdown, All Risk (EAR), Electronic equipment (EE), All Risk Contractor’s Equipment (ARCE).</w:t>
      </w:r>
    </w:p>
    <w:p>
      <w:pPr>
        <w:spacing w:after="0" w:line="346" w:lineRule="exact"/>
        <w:rPr>
          <w:rFonts w:ascii="Arial" w:cs="Arial" w:eastAsia="Arial" w:hAnsi="Arial"/>
          <w:sz w:val="16"/>
          <w:szCs w:val="16"/>
          <w:color w:val="auto"/>
        </w:rPr>
      </w:pPr>
    </w:p>
    <w:p>
      <w:pPr>
        <w:ind w:left="5320" w:hanging="88"/>
        <w:spacing w:after="0"/>
        <w:tabs>
          <w:tab w:leader="none" w:pos="53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0"/>
          </w:cols>
          <w:pgMar w:left="520" w:top="814" w:right="219" w:bottom="1440" w:gutter="0" w:footer="0" w:header="0"/>
          <w:type w:val="continuous"/>
        </w:sectPr>
      </w:pPr>
    </w:p>
    <w:bookmarkStart w:id="119" w:name="page120"/>
    <w:bookmarkEnd w:id="119"/>
    <w:p>
      <w:pPr>
        <w:ind w:left="285" w:right="4540" w:hanging="285"/>
        <w:spacing w:after="0" w:line="502" w:lineRule="auto"/>
        <w:tabs>
          <w:tab w:leader="none" w:pos="285"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CLAIMS INCURRED FOR LIFE, GENERAL AND HEALTH INSURANCE CONTRACTS </w:t>
      </w:r>
      <w:r>
        <w:rPr>
          <w:rFonts w:ascii="Arial" w:cs="Arial" w:eastAsia="Arial" w:hAnsi="Arial"/>
          <w:sz w:val="16"/>
          <w:szCs w:val="16"/>
          <w:color w:val="auto"/>
        </w:rPr>
        <w:t>This item consists of the following:</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gridSpan w:val="2"/>
          </w:tcPr>
          <w:p>
            <w:pPr>
              <w:jc w:val="center"/>
              <w:ind w:right="220"/>
              <w:spacing w:after="0" w:line="166" w:lineRule="exact"/>
              <w:rPr>
                <w:sz w:val="20"/>
                <w:szCs w:val="20"/>
                <w:color w:val="auto"/>
              </w:rPr>
            </w:pPr>
            <w:r>
              <w:rPr>
                <w:rFonts w:ascii="Arial" w:cs="Arial" w:eastAsia="Arial" w:hAnsi="Arial"/>
                <w:sz w:val="16"/>
                <w:szCs w:val="16"/>
                <w:b w:val="1"/>
                <w:bCs w:val="1"/>
                <w:color w:val="auto"/>
                <w:w w:val="91"/>
              </w:rPr>
              <w:t>Life</w:t>
            </w:r>
          </w:p>
        </w:tc>
        <w:tc>
          <w:tcPr>
            <w:tcW w:w="1360" w:type="dxa"/>
            <w:vAlign w:val="bottom"/>
            <w:gridSpan w:val="3"/>
          </w:tcPr>
          <w:p>
            <w:pPr>
              <w:jc w:val="center"/>
              <w:ind w:right="300"/>
              <w:spacing w:after="0" w:line="166" w:lineRule="exact"/>
              <w:rPr>
                <w:sz w:val="20"/>
                <w:szCs w:val="20"/>
                <w:color w:val="auto"/>
              </w:rPr>
            </w:pPr>
            <w:r>
              <w:rPr>
                <w:rFonts w:ascii="Arial" w:cs="Arial" w:eastAsia="Arial" w:hAnsi="Arial"/>
                <w:sz w:val="16"/>
                <w:szCs w:val="16"/>
                <w:b w:val="1"/>
                <w:bCs w:val="1"/>
                <w:color w:val="auto"/>
                <w:w w:val="90"/>
              </w:rPr>
              <w:t>General</w:t>
            </w:r>
          </w:p>
        </w:tc>
        <w:tc>
          <w:tcPr>
            <w:tcW w:w="1140" w:type="dxa"/>
            <w:vAlign w:val="bottom"/>
            <w:gridSpan w:val="2"/>
          </w:tcPr>
          <w:p>
            <w:pPr>
              <w:jc w:val="center"/>
              <w:ind w:right="280"/>
              <w:spacing w:after="0" w:line="166" w:lineRule="exact"/>
              <w:rPr>
                <w:sz w:val="20"/>
                <w:szCs w:val="20"/>
                <w:color w:val="auto"/>
              </w:rPr>
            </w:pPr>
            <w:r>
              <w:rPr>
                <w:rFonts w:ascii="Arial" w:cs="Arial" w:eastAsia="Arial" w:hAnsi="Arial"/>
                <w:sz w:val="16"/>
                <w:szCs w:val="16"/>
                <w:b w:val="1"/>
                <w:bCs w:val="1"/>
                <w:color w:val="auto"/>
                <w:w w:val="93"/>
              </w:rPr>
              <w:t>Health</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7"/>
              </w:rPr>
              <w:t>insurance</w:t>
            </w: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insurance</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Gross claims, Note 15(b)</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737,982</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562,440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307,182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1,607,604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Ceded claims, Note 9(b)</w:t>
            </w:r>
          </w:p>
        </w:tc>
        <w:tc>
          <w:tcPr>
            <w:tcW w:w="4260" w:type="dxa"/>
            <w:vAlign w:val="bottom"/>
            <w:gridSpan w:val="3"/>
          </w:tcPr>
          <w:p>
            <w:pPr>
              <w:jc w:val="right"/>
              <w:ind w:right="180"/>
              <w:spacing w:after="0"/>
              <w:rPr>
                <w:sz w:val="20"/>
                <w:szCs w:val="20"/>
                <w:color w:val="auto"/>
              </w:rPr>
            </w:pPr>
            <w:r>
              <w:rPr>
                <w:rFonts w:ascii="Arial" w:cs="Arial" w:eastAsia="Arial" w:hAnsi="Arial"/>
                <w:sz w:val="16"/>
                <w:szCs w:val="16"/>
                <w:color w:val="auto"/>
              </w:rPr>
              <w:t>(101,115)</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(257,072)</w:t>
            </w:r>
          </w:p>
        </w:tc>
        <w:tc>
          <w:tcPr>
            <w:tcW w:w="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(9,782)</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(367,969)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insurance claims</w:t>
            </w:r>
          </w:p>
        </w:tc>
        <w:tc>
          <w:tcPr>
            <w:tcW w:w="29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636,867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305,368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297,400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1,239,635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gridSpan w:val="2"/>
          </w:tcPr>
          <w:p>
            <w:pPr>
              <w:jc w:val="center"/>
              <w:ind w:right="220"/>
              <w:spacing w:after="0" w:line="166" w:lineRule="exact"/>
              <w:rPr>
                <w:sz w:val="20"/>
                <w:szCs w:val="20"/>
                <w:color w:val="auto"/>
              </w:rPr>
            </w:pPr>
            <w:r>
              <w:rPr>
                <w:rFonts w:ascii="Arial" w:cs="Arial" w:eastAsia="Arial" w:hAnsi="Arial"/>
                <w:sz w:val="16"/>
                <w:szCs w:val="16"/>
                <w:b w:val="1"/>
                <w:bCs w:val="1"/>
                <w:color w:val="auto"/>
                <w:w w:val="91"/>
              </w:rPr>
              <w:t>Life</w:t>
            </w:r>
          </w:p>
        </w:tc>
        <w:tc>
          <w:tcPr>
            <w:tcW w:w="1360" w:type="dxa"/>
            <w:vAlign w:val="bottom"/>
            <w:gridSpan w:val="3"/>
          </w:tcPr>
          <w:p>
            <w:pPr>
              <w:jc w:val="center"/>
              <w:ind w:right="300"/>
              <w:spacing w:after="0" w:line="166" w:lineRule="exact"/>
              <w:rPr>
                <w:sz w:val="20"/>
                <w:szCs w:val="20"/>
                <w:color w:val="auto"/>
              </w:rPr>
            </w:pPr>
            <w:r>
              <w:rPr>
                <w:rFonts w:ascii="Arial" w:cs="Arial" w:eastAsia="Arial" w:hAnsi="Arial"/>
                <w:sz w:val="16"/>
                <w:szCs w:val="16"/>
                <w:b w:val="1"/>
                <w:bCs w:val="1"/>
                <w:color w:val="auto"/>
                <w:w w:val="90"/>
              </w:rPr>
              <w:t>General</w:t>
            </w:r>
          </w:p>
        </w:tc>
        <w:tc>
          <w:tcPr>
            <w:tcW w:w="1140" w:type="dxa"/>
            <w:vAlign w:val="bottom"/>
            <w:gridSpan w:val="2"/>
          </w:tcPr>
          <w:p>
            <w:pPr>
              <w:jc w:val="center"/>
              <w:ind w:right="280"/>
              <w:spacing w:after="0" w:line="166" w:lineRule="exact"/>
              <w:rPr>
                <w:sz w:val="20"/>
                <w:szCs w:val="20"/>
                <w:color w:val="auto"/>
              </w:rPr>
            </w:pPr>
            <w:r>
              <w:rPr>
                <w:rFonts w:ascii="Arial" w:cs="Arial" w:eastAsia="Arial" w:hAnsi="Arial"/>
                <w:sz w:val="16"/>
                <w:szCs w:val="16"/>
                <w:b w:val="1"/>
                <w:bCs w:val="1"/>
                <w:color w:val="auto"/>
                <w:w w:val="93"/>
              </w:rPr>
              <w:t>Health</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7"/>
              </w:rPr>
              <w:t>insurance</w:t>
            </w: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insurance</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40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Gross claims, Note 15(b)</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646,026</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661,108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294,557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1,601,691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Ceded claims, Note 9(b)</w:t>
            </w:r>
          </w:p>
        </w:tc>
        <w:tc>
          <w:tcPr>
            <w:tcW w:w="4260" w:type="dxa"/>
            <w:vAlign w:val="bottom"/>
            <w:gridSpan w:val="3"/>
          </w:tcPr>
          <w:p>
            <w:pPr>
              <w:jc w:val="right"/>
              <w:ind w:right="180"/>
              <w:spacing w:after="0"/>
              <w:rPr>
                <w:sz w:val="20"/>
                <w:szCs w:val="20"/>
                <w:color w:val="auto"/>
              </w:rPr>
            </w:pPr>
            <w:r>
              <w:rPr>
                <w:rFonts w:ascii="Arial" w:cs="Arial" w:eastAsia="Arial" w:hAnsi="Arial"/>
                <w:sz w:val="16"/>
                <w:szCs w:val="16"/>
                <w:color w:val="auto"/>
              </w:rPr>
              <w:t>(79,845)</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(391,263)</w:t>
            </w:r>
          </w:p>
        </w:tc>
        <w:tc>
          <w:tcPr>
            <w:tcW w:w="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(12,279)</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(483,387)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insurance claims</w:t>
            </w:r>
          </w:p>
        </w:tc>
        <w:tc>
          <w:tcPr>
            <w:tcW w:w="29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566,181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269,845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282,278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1,118,304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gridSpan w:val="2"/>
          </w:tcPr>
          <w:p>
            <w:pPr>
              <w:jc w:val="center"/>
              <w:ind w:right="220"/>
              <w:spacing w:after="0" w:line="166" w:lineRule="exact"/>
              <w:rPr>
                <w:sz w:val="20"/>
                <w:szCs w:val="20"/>
                <w:color w:val="auto"/>
              </w:rPr>
            </w:pPr>
            <w:r>
              <w:rPr>
                <w:rFonts w:ascii="Arial" w:cs="Arial" w:eastAsia="Arial" w:hAnsi="Arial"/>
                <w:sz w:val="16"/>
                <w:szCs w:val="16"/>
                <w:b w:val="1"/>
                <w:bCs w:val="1"/>
                <w:color w:val="auto"/>
                <w:w w:val="91"/>
              </w:rPr>
              <w:t>Life</w:t>
            </w:r>
          </w:p>
        </w:tc>
        <w:tc>
          <w:tcPr>
            <w:tcW w:w="1360" w:type="dxa"/>
            <w:vAlign w:val="bottom"/>
            <w:gridSpan w:val="3"/>
          </w:tcPr>
          <w:p>
            <w:pPr>
              <w:jc w:val="center"/>
              <w:ind w:right="300"/>
              <w:spacing w:after="0" w:line="166" w:lineRule="exact"/>
              <w:rPr>
                <w:sz w:val="20"/>
                <w:szCs w:val="20"/>
                <w:color w:val="auto"/>
              </w:rPr>
            </w:pPr>
            <w:r>
              <w:rPr>
                <w:rFonts w:ascii="Arial" w:cs="Arial" w:eastAsia="Arial" w:hAnsi="Arial"/>
                <w:sz w:val="16"/>
                <w:szCs w:val="16"/>
                <w:b w:val="1"/>
                <w:bCs w:val="1"/>
                <w:color w:val="auto"/>
                <w:w w:val="90"/>
              </w:rPr>
              <w:t>General</w:t>
            </w:r>
          </w:p>
        </w:tc>
        <w:tc>
          <w:tcPr>
            <w:tcW w:w="1140" w:type="dxa"/>
            <w:vAlign w:val="bottom"/>
            <w:gridSpan w:val="2"/>
          </w:tcPr>
          <w:p>
            <w:pPr>
              <w:jc w:val="center"/>
              <w:ind w:right="280"/>
              <w:spacing w:after="0" w:line="166" w:lineRule="exact"/>
              <w:rPr>
                <w:sz w:val="20"/>
                <w:szCs w:val="20"/>
                <w:color w:val="auto"/>
              </w:rPr>
            </w:pPr>
            <w:r>
              <w:rPr>
                <w:rFonts w:ascii="Arial" w:cs="Arial" w:eastAsia="Arial" w:hAnsi="Arial"/>
                <w:sz w:val="16"/>
                <w:szCs w:val="16"/>
                <w:b w:val="1"/>
                <w:bCs w:val="1"/>
                <w:color w:val="auto"/>
                <w:w w:val="93"/>
              </w:rPr>
              <w:t>Health</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7"/>
              </w:rPr>
              <w:t>insurance</w:t>
            </w: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insurance</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40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Gross claims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618,274</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351,227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274,902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1,244,403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Ceded claims, Note 9(b)</w:t>
            </w:r>
          </w:p>
        </w:tc>
        <w:tc>
          <w:tcPr>
            <w:tcW w:w="4260" w:type="dxa"/>
            <w:vAlign w:val="bottom"/>
            <w:gridSpan w:val="3"/>
          </w:tcPr>
          <w:p>
            <w:pPr>
              <w:jc w:val="right"/>
              <w:ind w:right="180"/>
              <w:spacing w:after="0"/>
              <w:rPr>
                <w:sz w:val="20"/>
                <w:szCs w:val="20"/>
                <w:color w:val="auto"/>
              </w:rPr>
            </w:pPr>
            <w:r>
              <w:rPr>
                <w:rFonts w:ascii="Arial" w:cs="Arial" w:eastAsia="Arial" w:hAnsi="Arial"/>
                <w:sz w:val="16"/>
                <w:szCs w:val="16"/>
                <w:color w:val="auto"/>
              </w:rPr>
              <w:t>(28,128)</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(106,450)</w:t>
            </w:r>
          </w:p>
        </w:tc>
        <w:tc>
          <w:tcPr>
            <w:tcW w:w="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(10,920)</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(145,498)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insurance claims</w:t>
            </w:r>
          </w:p>
        </w:tc>
        <w:tc>
          <w:tcPr>
            <w:tcW w:w="29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590,146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244,777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263,982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1,098,905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980" w:type="dxa"/>
            <w:vAlign w:val="bottom"/>
            <w:vMerge w:val="restart"/>
          </w:tcPr>
          <w:p>
            <w:pPr>
              <w:jc w:val="right"/>
              <w:ind w:right="521"/>
              <w:spacing w:after="0"/>
              <w:rPr>
                <w:sz w:val="20"/>
                <w:szCs w:val="20"/>
                <w:color w:val="auto"/>
              </w:rPr>
            </w:pPr>
            <w:r>
              <w:rPr>
                <w:rFonts w:ascii="Arial" w:cs="Arial" w:eastAsia="Arial" w:hAnsi="Arial"/>
                <w:sz w:val="16"/>
                <w:szCs w:val="16"/>
                <w:color w:val="auto"/>
              </w:rPr>
              <w:t>- 113 -</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5"/>
          </w:cols>
          <w:pgMar w:left="235" w:top="810" w:right="219" w:bottom="1440" w:gutter="0" w:footer="0" w:header="0"/>
        </w:sectPr>
      </w:pPr>
    </w:p>
    <w:bookmarkStart w:id="120" w:name="page121"/>
    <w:bookmarkEnd w:id="120"/>
    <w:p>
      <w:pPr>
        <w:ind w:left="285" w:right="8120" w:hanging="285"/>
        <w:spacing w:after="0" w:line="536" w:lineRule="auto"/>
        <w:tabs>
          <w:tab w:leader="none" w:pos="285" w:val="left"/>
        </w:tabs>
        <w:numPr>
          <w:ilvl w:val="0"/>
          <w:numId w:val="1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SALARIES AND EMPLOYEES BENEFITS </w:t>
      </w:r>
      <w:r>
        <w:rPr>
          <w:rFonts w:ascii="Arial" w:cs="Arial" w:eastAsia="Arial" w:hAnsi="Arial"/>
          <w:sz w:val="15"/>
          <w:szCs w:val="15"/>
          <w:color w:val="auto"/>
        </w:rPr>
        <w:t>This item consists of the following:</w:t>
      </w:r>
    </w:p>
    <w:tbl>
      <w:tblPr>
        <w:tblLayout w:type="fixed"/>
        <w:tblInd w:w="5"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Salaries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1,738,913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1,662,327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1,622,065</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Vacations, medical assistance and others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377,927</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361,511</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316,345</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Bonuses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248,704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237,192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233,163</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Workers’ profit sharing</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228,786</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220,967</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194,851</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Social security</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184,489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205,714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172,090</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Additional participation</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233,146</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188,870</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200,120</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Severance indemnities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142,363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132,396</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130,179</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Share-based payment plans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65,547</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62,043</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73,930</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3,219,875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3,071,020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2,942,743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27  ADMINISTRATIVE EXPENSES</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1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80" w:type="dxa"/>
            <w:vAlign w:val="bottom"/>
          </w:tcPr>
          <w:p>
            <w:pPr>
              <w:spacing w:after="0"/>
              <w:rPr>
                <w:sz w:val="24"/>
                <w:szCs w:val="24"/>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This item consists of the following:</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1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Repair and maintenance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442,802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414,784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423,219</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Publicity</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336,203</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304,119</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300,401</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Taxes and contributions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285,551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259,523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270,932</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Rental</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226,388</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230,257</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226,301</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Consulting and professional fees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223,239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206,224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183,751</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Transport and communications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176,623</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176,273</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188,444</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Sundry supplies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54,742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49,935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45,878</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Services by third-party and others (*)</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584,496</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517,708</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455,752</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2,330,044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2,158,823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2,094,678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5" w:hanging="281"/>
        <w:spacing w:after="0" w:line="269" w:lineRule="auto"/>
        <w:tabs>
          <w:tab w:leader="none" w:pos="56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balance consists mainly of security and protection services, cleaning service, representation expenses, electricity and water utilities, insurance expenses, subscription expenses, BCP agent commission expenses.</w:t>
      </w:r>
    </w:p>
    <w:p>
      <w:pPr>
        <w:spacing w:after="0" w:line="346" w:lineRule="exact"/>
        <w:rPr>
          <w:rFonts w:ascii="Arial" w:cs="Arial" w:eastAsia="Arial" w:hAnsi="Arial"/>
          <w:sz w:val="16"/>
          <w:szCs w:val="16"/>
          <w:color w:val="auto"/>
        </w:rPr>
      </w:pPr>
    </w:p>
    <w:p>
      <w:pPr>
        <w:ind w:left="5605" w:hanging="88"/>
        <w:spacing w:after="0"/>
        <w:tabs>
          <w:tab w:leader="none" w:pos="560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5"/>
          </w:cols>
          <w:pgMar w:left="235" w:top="810"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5"/>
        </w:trPr>
        <w:tc>
          <w:tcPr>
            <w:tcW w:w="7240" w:type="dxa"/>
            <w:vAlign w:val="bottom"/>
            <w:gridSpan w:val="2"/>
          </w:tcPr>
          <w:p>
            <w:pPr>
              <w:jc w:val="center"/>
              <w:ind w:right="4361"/>
              <w:spacing w:after="0"/>
              <w:rPr>
                <w:sz w:val="20"/>
                <w:szCs w:val="20"/>
                <w:color w:val="auto"/>
              </w:rPr>
            </w:pPr>
            <w:r>
              <w:rPr>
                <w:rFonts w:ascii="Arial" w:cs="Arial" w:eastAsia="Arial" w:hAnsi="Arial"/>
                <w:sz w:val="16"/>
                <w:szCs w:val="16"/>
                <w:b w:val="1"/>
                <w:bCs w:val="1"/>
                <w:color w:val="auto"/>
                <w:w w:val="99"/>
              </w:rPr>
              <w:t>28  OTHER INCOME AND EXPENSES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9"/>
        </w:trPr>
        <w:tc>
          <w:tcPr>
            <w:tcW w:w="7240" w:type="dxa"/>
            <w:vAlign w:val="bottom"/>
            <w:gridSpan w:val="2"/>
          </w:tcPr>
          <w:p>
            <w:pPr>
              <w:jc w:val="center"/>
              <w:ind w:right="4361"/>
              <w:spacing w:after="0"/>
              <w:rPr>
                <w:sz w:val="20"/>
                <w:szCs w:val="20"/>
                <w:color w:val="auto"/>
              </w:rPr>
            </w:pPr>
            <w:r>
              <w:rPr>
                <w:rFonts w:ascii="Arial" w:cs="Arial" w:eastAsia="Arial" w:hAnsi="Arial"/>
                <w:sz w:val="16"/>
                <w:szCs w:val="16"/>
                <w:color w:val="auto"/>
                <w:w w:val="92"/>
              </w:rPr>
              <w:t>This item consists of the following:</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5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6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Income from premiums commissions and technical insurance income</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121,675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127,729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136,919</w:t>
            </w:r>
          </w:p>
        </w:tc>
        <w:tc>
          <w:tcPr>
            <w:tcW w:w="10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Rental income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35,941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43,118</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37,324</w:t>
            </w:r>
          </w:p>
        </w:tc>
      </w:tr>
      <w:tr>
        <w:trPr>
          <w:trHeight w:val="190"/>
        </w:trPr>
        <w:tc>
          <w:tcPr>
            <w:tcW w:w="56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Recoveries of other accounts receivable and other assets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79</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14,824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4,660</w:t>
            </w:r>
          </w:p>
        </w:tc>
        <w:tc>
          <w:tcPr>
            <w:tcW w:w="10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gain from sale of seized and recovered assets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16"/>
                <w:szCs w:val="16"/>
                <w:color w:val="auto"/>
              </w:rPr>
            </w:pPr>
          </w:p>
        </w:tc>
      </w:tr>
      <w:tr>
        <w:trPr>
          <w:trHeight w:val="201"/>
        </w:trPr>
        <w:tc>
          <w:tcPr>
            <w:tcW w:w="56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Others (*)</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237,862</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188,761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146,550</w:t>
            </w:r>
          </w:p>
        </w:tc>
        <w:tc>
          <w:tcPr>
            <w:tcW w:w="100" w:type="dxa"/>
            <w:vAlign w:val="bottom"/>
          </w:tcPr>
          <w:p>
            <w:pPr>
              <w:spacing w:after="0"/>
              <w:rPr>
                <w:sz w:val="17"/>
                <w:szCs w:val="17"/>
                <w:color w:val="auto"/>
              </w:rPr>
            </w:pPr>
          </w:p>
        </w:tc>
      </w:tr>
      <w:tr>
        <w:trPr>
          <w:trHeight w:val="182"/>
        </w:trPr>
        <w:tc>
          <w:tcPr>
            <w:tcW w:w="56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Total other income</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395,557</w:t>
            </w:r>
          </w:p>
        </w:tc>
        <w:tc>
          <w:tcPr>
            <w:tcW w:w="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376,926</w:t>
            </w: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326,830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382"/>
        </w:trPr>
        <w:tc>
          <w:tcPr>
            <w:tcW w:w="5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6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20" w:type="dxa"/>
            <w:vAlign w:val="bottom"/>
            <w:gridSpan w:val="2"/>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expenses</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Commissions for insurance activities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341,680</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277,878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272,949</w:t>
            </w:r>
          </w:p>
        </w:tc>
        <w:tc>
          <w:tcPr>
            <w:tcW w:w="10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Sundry technical insurance expenses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115,792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119,355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102,670</w:t>
            </w:r>
          </w:p>
        </w:tc>
        <w:tc>
          <w:tcPr>
            <w:tcW w:w="100" w:type="dxa"/>
            <w:vAlign w:val="bottom"/>
            <w:shd w:val="clear" w:color="auto" w:fill="CCEEFF"/>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Losses due to operational risk</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46,528</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55,477</w:t>
            </w: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rPr>
              <w:t>37,407</w:t>
            </w: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Expenses on improvements in building for rent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36,551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42,083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43,775</w:t>
            </w:r>
          </w:p>
        </w:tc>
      </w:tr>
      <w:tr>
        <w:trPr>
          <w:trHeight w:val="190"/>
        </w:trPr>
        <w:tc>
          <w:tcPr>
            <w:tcW w:w="56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Provision for sundry risks, Note 12(f)</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42,236</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29,023</w:t>
            </w: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rPr>
              <w:t>28,093</w:t>
            </w: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other accounts receivable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7,174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19,316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8,239</w:t>
            </w:r>
          </w:p>
        </w:tc>
        <w:tc>
          <w:tcPr>
            <w:tcW w:w="100" w:type="dxa"/>
            <w:vAlign w:val="bottom"/>
            <w:shd w:val="clear" w:color="auto" w:fill="CCEEFF"/>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Administrative and tax penalties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4,301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8,387</w:t>
            </w: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rPr>
              <w:t>16,374</w:t>
            </w:r>
          </w:p>
        </w:tc>
      </w:tr>
      <w:tr>
        <w:trPr>
          <w:trHeight w:val="190"/>
        </w:trPr>
        <w:tc>
          <w:tcPr>
            <w:tcW w:w="56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Put option write on non-controlling interests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11,890</w:t>
            </w:r>
          </w:p>
        </w:tc>
        <w:tc>
          <w:tcPr>
            <w:tcW w:w="100" w:type="dxa"/>
            <w:vAlign w:val="bottom"/>
            <w:shd w:val="clear" w:color="auto" w:fill="CCEEFF"/>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Net loss from sale adjudicated assets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3,411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6"/>
                <w:szCs w:val="16"/>
                <w:color w:val="auto"/>
              </w:rPr>
            </w:pPr>
          </w:p>
        </w:tc>
      </w:tr>
      <w:tr>
        <w:trPr>
          <w:trHeight w:val="202"/>
        </w:trPr>
        <w:tc>
          <w:tcPr>
            <w:tcW w:w="56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89,979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84,028</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86,252</w:t>
            </w:r>
          </w:p>
        </w:tc>
      </w:tr>
      <w:tr>
        <w:trPr>
          <w:trHeight w:val="182"/>
        </w:trPr>
        <w:tc>
          <w:tcPr>
            <w:tcW w:w="560" w:type="dxa"/>
            <w:vAlign w:val="bottom"/>
          </w:tcPr>
          <w:p>
            <w:pPr>
              <w:spacing w:after="0"/>
              <w:rPr>
                <w:sz w:val="15"/>
                <w:szCs w:val="15"/>
                <w:color w:val="auto"/>
              </w:rPr>
            </w:pPr>
          </w:p>
        </w:tc>
        <w:tc>
          <w:tcPr>
            <w:tcW w:w="6680" w:type="dxa"/>
            <w:vAlign w:val="bottom"/>
          </w:tcPr>
          <w:p>
            <w:pPr>
              <w:spacing w:after="0" w:line="181" w:lineRule="exact"/>
              <w:rPr>
                <w:sz w:val="20"/>
                <w:szCs w:val="20"/>
                <w:color w:val="auto"/>
              </w:rPr>
            </w:pPr>
            <w:r>
              <w:rPr>
                <w:rFonts w:ascii="Arial" w:cs="Arial" w:eastAsia="Arial" w:hAnsi="Arial"/>
                <w:sz w:val="16"/>
                <w:szCs w:val="16"/>
                <w:b w:val="1"/>
                <w:bCs w:val="1"/>
                <w:color w:val="auto"/>
              </w:rPr>
              <w:t>Total other expenses</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687,652</w:t>
            </w:r>
          </w:p>
        </w:tc>
        <w:tc>
          <w:tcPr>
            <w:tcW w:w="20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635,547</w:t>
            </w:r>
          </w:p>
        </w:tc>
        <w:tc>
          <w:tcPr>
            <w:tcW w:w="2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609,075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77" w:lineRule="exact"/>
        <w:rPr>
          <w:sz w:val="20"/>
          <w:szCs w:val="20"/>
          <w:color w:val="auto"/>
        </w:rPr>
      </w:pPr>
    </w:p>
    <w:p>
      <w:pPr>
        <w:ind w:left="560" w:right="20" w:hanging="281"/>
        <w:spacing w:after="0" w:line="258" w:lineRule="auto"/>
        <w:tabs>
          <w:tab w:leader="none" w:pos="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balance mainly comprises property sales, liquidation for sale of Credicorp shares, penalty for breach of contract, commissions for recovery in civil and judicial lawsuits of Personal Credits and Credit Card products; also, collection of commission for relocation, vehicle taxes, municipal property taxes, fines and penalties to clients related to the Leasing product.</w:t>
      </w:r>
    </w:p>
    <w:p>
      <w:pPr>
        <w:spacing w:after="0" w:line="354" w:lineRule="exact"/>
        <w:rPr>
          <w:rFonts w:ascii="Arial" w:cs="Arial" w:eastAsia="Arial" w:hAnsi="Arial"/>
          <w:sz w:val="16"/>
          <w:szCs w:val="16"/>
          <w:color w:val="auto"/>
        </w:rPr>
      </w:pPr>
    </w:p>
    <w:p>
      <w:pPr>
        <w:ind w:left="5600" w:hanging="88"/>
        <w:spacing w:after="0"/>
        <w:tabs>
          <w:tab w:leader="none" w:pos="56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320"/>
          </w:cols>
          <w:pgMar w:left="240" w:top="810" w:right="339" w:bottom="1440" w:gutter="0" w:footer="0" w:header="0"/>
        </w:sectPr>
      </w:pPr>
    </w:p>
    <w:bookmarkStart w:id="122" w:name="page123"/>
    <w:bookmarkEnd w:id="122"/>
    <w:p>
      <w:pPr>
        <w:ind w:left="285" w:hanging="285"/>
        <w:spacing w:after="0"/>
        <w:tabs>
          <w:tab w:leader="none" w:pos="285"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9" w:lineRule="exact"/>
        <w:rPr>
          <w:rFonts w:ascii="Arial" w:cs="Arial" w:eastAsia="Arial" w:hAnsi="Arial"/>
          <w:sz w:val="16"/>
          <w:szCs w:val="16"/>
          <w:b w:val="1"/>
          <w:bCs w:val="1"/>
          <w:color w:val="auto"/>
        </w:rPr>
      </w:pPr>
    </w:p>
    <w:p>
      <w:pPr>
        <w:ind w:left="285"/>
        <w:spacing w:after="0"/>
        <w:rPr>
          <w:rFonts w:ascii="Arial" w:cs="Arial" w:eastAsia="Arial" w:hAnsi="Arial"/>
          <w:sz w:val="16"/>
          <w:szCs w:val="16"/>
          <w:b w:val="1"/>
          <w:bCs w:val="1"/>
          <w:color w:val="auto"/>
        </w:rPr>
      </w:pPr>
      <w:r>
        <w:rPr>
          <w:rFonts w:ascii="Arial" w:cs="Arial" w:eastAsia="Arial" w:hAnsi="Arial"/>
          <w:sz w:val="16"/>
          <w:szCs w:val="16"/>
          <w:color w:val="auto"/>
        </w:rPr>
        <w:t>The net earnings per ordinary share were determined based on the net income attributable to equity holders of the Group as follows:</w:t>
      </w:r>
    </w:p>
    <w:p>
      <w:pPr>
        <w:spacing w:after="0" w:line="203" w:lineRule="exact"/>
        <w:rPr>
          <w:sz w:val="20"/>
          <w:szCs w:val="20"/>
          <w:color w:val="auto"/>
        </w:rPr>
      </w:pPr>
    </w:p>
    <w:tbl>
      <w:tblPr>
        <w:tblLayout w:type="fixed"/>
        <w:tblInd w:w="285" w:type="dxa"/>
        <w:tblCellMar>
          <w:top w:w="0" w:type="dxa"/>
          <w:left w:w="0" w:type="dxa"/>
          <w:bottom w:w="0" w:type="dxa"/>
          <w:right w:w="0" w:type="dxa"/>
        </w:tblCellMar>
      </w:tblPr>
      <w:tr>
        <w:trPr>
          <w:trHeight w:val="205"/>
        </w:trPr>
        <w:tc>
          <w:tcPr>
            <w:tcW w:w="6820" w:type="dxa"/>
            <w:vAlign w:val="bottom"/>
          </w:tcPr>
          <w:p>
            <w:pPr>
              <w:spacing w:after="0"/>
              <w:rPr>
                <w:sz w:val="17"/>
                <w:szCs w:val="17"/>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r>
      <w:tr>
        <w:trPr>
          <w:trHeight w:val="182"/>
        </w:trPr>
        <w:tc>
          <w:tcPr>
            <w:tcW w:w="6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2"/>
        </w:trPr>
        <w:tc>
          <w:tcPr>
            <w:tcW w:w="6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equity holders of Credicorp (in thousands of Soles)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3,983,865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4,091,753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3,514,582</w:t>
            </w:r>
          </w:p>
        </w:tc>
      </w:tr>
      <w:tr>
        <w:trPr>
          <w:trHeight w:val="182"/>
        </w:trPr>
        <w:tc>
          <w:tcPr>
            <w:tcW w:w="68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Number of stock</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6820" w:type="dxa"/>
            <w:vAlign w:val="bottom"/>
          </w:tcPr>
          <w:p>
            <w:pPr>
              <w:spacing w:after="0"/>
              <w:rPr>
                <w:sz w:val="20"/>
                <w:szCs w:val="20"/>
                <w:color w:val="auto"/>
              </w:rPr>
            </w:pPr>
            <w:r>
              <w:rPr>
                <w:rFonts w:ascii="Arial" w:cs="Arial" w:eastAsia="Arial" w:hAnsi="Arial"/>
                <w:sz w:val="16"/>
                <w:szCs w:val="16"/>
                <w:color w:val="auto"/>
              </w:rPr>
              <w:t>Ordinary stock, Note 17(a)</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94,382,317</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94,382,317</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94,382,317</w:t>
            </w:r>
          </w:p>
        </w:tc>
      </w:tr>
      <w:tr>
        <w:trPr>
          <w:trHeight w:val="190"/>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Less – opening balance of treasury stock</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(14,902,008)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(14,915,537)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(14,903,833)</w:t>
            </w:r>
          </w:p>
        </w:tc>
      </w:tr>
      <w:tr>
        <w:trPr>
          <w:trHeight w:val="201"/>
        </w:trPr>
        <w:tc>
          <w:tcPr>
            <w:tcW w:w="6820" w:type="dxa"/>
            <w:vAlign w:val="bottom"/>
          </w:tcPr>
          <w:p>
            <w:pPr>
              <w:spacing w:after="0"/>
              <w:rPr>
                <w:sz w:val="20"/>
                <w:szCs w:val="20"/>
                <w:color w:val="auto"/>
              </w:rPr>
            </w:pPr>
            <w:r>
              <w:rPr>
                <w:rFonts w:ascii="Arial" w:cs="Arial" w:eastAsia="Arial" w:hAnsi="Arial"/>
                <w:sz w:val="16"/>
                <w:szCs w:val="16"/>
                <w:color w:val="auto"/>
              </w:rPr>
              <w:t>(Acquisition) sale of treasury stock, net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(3,015)</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3,088</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(8,778)</w:t>
            </w:r>
          </w:p>
        </w:tc>
      </w:tr>
      <w:tr>
        <w:trPr>
          <w:trHeight w:val="182"/>
        </w:trPr>
        <w:tc>
          <w:tcPr>
            <w:tcW w:w="6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Weighted average number of ordinary shares for basic earnings</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79,477,294</w:t>
            </w:r>
          </w:p>
        </w:tc>
        <w:tc>
          <w:tcPr>
            <w:tcW w:w="2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79,469,868</w:t>
            </w: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79,469,706</w:t>
            </w:r>
          </w:p>
        </w:tc>
        <w:tc>
          <w:tcPr>
            <w:tcW w:w="120" w:type="dxa"/>
            <w:vAlign w:val="bottom"/>
            <w:tcBorders>
              <w:top w:val="single" w:sz="8" w:color="CCEEFF"/>
            </w:tcBorders>
            <w:shd w:val="clear" w:color="auto" w:fill="CCEEFF"/>
          </w:tcPr>
          <w:p>
            <w:pPr>
              <w:spacing w:after="0"/>
              <w:rPr>
                <w:sz w:val="15"/>
                <w:szCs w:val="15"/>
                <w:color w:val="auto"/>
              </w:rPr>
            </w:pPr>
          </w:p>
        </w:tc>
      </w:tr>
      <w:tr>
        <w:trPr>
          <w:trHeight w:val="201"/>
        </w:trPr>
        <w:tc>
          <w:tcPr>
            <w:tcW w:w="6820" w:type="dxa"/>
            <w:vAlign w:val="bottom"/>
          </w:tcPr>
          <w:p>
            <w:pPr>
              <w:spacing w:after="0"/>
              <w:rPr>
                <w:sz w:val="20"/>
                <w:szCs w:val="20"/>
                <w:color w:val="auto"/>
              </w:rPr>
            </w:pPr>
            <w:r>
              <w:rPr>
                <w:rFonts w:ascii="Arial" w:cs="Arial" w:eastAsia="Arial" w:hAnsi="Arial"/>
                <w:sz w:val="16"/>
                <w:szCs w:val="16"/>
                <w:color w:val="auto"/>
              </w:rPr>
              <w:t>Plus - dilution effect - stock awards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209,128</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220,296</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143,903</w:t>
            </w:r>
          </w:p>
        </w:tc>
      </w:tr>
      <w:tr>
        <w:trPr>
          <w:trHeight w:val="182"/>
        </w:trPr>
        <w:tc>
          <w:tcPr>
            <w:tcW w:w="682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Weighted average number of ordinary shares adjusted for the effect of dilution</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79,686,422</w:t>
            </w:r>
          </w:p>
        </w:tc>
        <w:tc>
          <w:tcPr>
            <w:tcW w:w="2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79,690,164</w:t>
            </w: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79,613,609</w:t>
            </w:r>
          </w:p>
        </w:tc>
        <w:tc>
          <w:tcPr>
            <w:tcW w:w="120" w:type="dxa"/>
            <w:vAlign w:val="bottom"/>
            <w:tcBorders>
              <w:top w:val="single" w:sz="8" w:color="CCEEFF"/>
            </w:tcBorders>
            <w:shd w:val="clear" w:color="auto" w:fill="CCEEFF"/>
          </w:tcPr>
          <w:p>
            <w:pPr>
              <w:spacing w:after="0"/>
              <w:rPr>
                <w:sz w:val="15"/>
                <w:szCs w:val="15"/>
                <w:color w:val="auto"/>
              </w:rPr>
            </w:pPr>
          </w:p>
        </w:tc>
      </w:tr>
      <w:tr>
        <w:trPr>
          <w:trHeight w:val="190"/>
        </w:trPr>
        <w:tc>
          <w:tcPr>
            <w:tcW w:w="6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 (in Soles)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50.13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51.49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44.23</w:t>
            </w:r>
          </w:p>
        </w:tc>
      </w:tr>
      <w:tr>
        <w:trPr>
          <w:trHeight w:val="201"/>
        </w:trPr>
        <w:tc>
          <w:tcPr>
            <w:tcW w:w="6820" w:type="dxa"/>
            <w:vAlign w:val="bottom"/>
          </w:tcPr>
          <w:p>
            <w:pPr>
              <w:spacing w:after="0"/>
              <w:rPr>
                <w:sz w:val="20"/>
                <w:szCs w:val="20"/>
                <w:color w:val="auto"/>
              </w:rPr>
            </w:pPr>
            <w:r>
              <w:rPr>
                <w:rFonts w:ascii="Arial" w:cs="Arial" w:eastAsia="Arial" w:hAnsi="Arial"/>
                <w:sz w:val="16"/>
                <w:szCs w:val="16"/>
                <w:color w:val="auto"/>
              </w:rPr>
              <w:t>Diluted earnings per share (in Soles)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49.99</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51.35</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44.15</w:t>
            </w:r>
          </w:p>
        </w:tc>
      </w:tr>
    </w:tbl>
    <w:p>
      <w:pPr>
        <w:spacing w:after="0" w:line="162" w:lineRule="exact"/>
        <w:rPr>
          <w:sz w:val="20"/>
          <w:szCs w:val="20"/>
          <w:color w:val="auto"/>
        </w:rPr>
      </w:pPr>
    </w:p>
    <w:p>
      <w:pPr>
        <w:ind w:left="285" w:hanging="285"/>
        <w:spacing w:after="0"/>
        <w:tabs>
          <w:tab w:leader="none" w:pos="285"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SEGMENTS</w:t>
      </w:r>
    </w:p>
    <w:p>
      <w:pPr>
        <w:spacing w:after="0" w:line="199" w:lineRule="exact"/>
        <w:rPr>
          <w:rFonts w:ascii="Arial" w:cs="Arial" w:eastAsia="Arial" w:hAnsi="Arial"/>
          <w:sz w:val="16"/>
          <w:szCs w:val="16"/>
          <w:b w:val="1"/>
          <w:bCs w:val="1"/>
          <w:color w:val="auto"/>
        </w:rPr>
      </w:pPr>
    </w:p>
    <w:p>
      <w:pPr>
        <w:ind w:left="285"/>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In the Credicorp Board of Directors meeting held on December 20, 2017, it was agreed to organize the Group’s subsidiaries into new business lines, grouping them according to the types of financial services provided and the sectors on which they are focused; with the objective of optimizing the management thereof. This change came into effect as from April 1, 2018, and the new business lines are:</w:t>
      </w:r>
    </w:p>
    <w:p>
      <w:pPr>
        <w:spacing w:after="0" w:line="165" w:lineRule="exact"/>
        <w:rPr>
          <w:rFonts w:ascii="Arial" w:cs="Arial" w:eastAsia="Arial" w:hAnsi="Arial"/>
          <w:sz w:val="16"/>
          <w:szCs w:val="16"/>
          <w:b w:val="1"/>
          <w:bCs w:val="1"/>
          <w:color w:val="auto"/>
        </w:rPr>
      </w:pPr>
    </w:p>
    <w:p>
      <w:pPr>
        <w:ind w:left="565" w:hanging="281"/>
        <w:spacing w:after="0"/>
        <w:tabs>
          <w:tab w:leader="none" w:pos="56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Universal Banking –</w:t>
      </w:r>
    </w:p>
    <w:p>
      <w:pPr>
        <w:spacing w:after="0" w:line="195" w:lineRule="exact"/>
        <w:rPr>
          <w:rFonts w:ascii="Arial" w:cs="Arial" w:eastAsia="Arial" w:hAnsi="Arial"/>
          <w:sz w:val="16"/>
          <w:szCs w:val="16"/>
          <w:color w:val="auto"/>
        </w:rPr>
      </w:pPr>
    </w:p>
    <w:p>
      <w:pPr>
        <w:ind w:left="565" w:right="300"/>
        <w:spacing w:after="0" w:line="254" w:lineRule="auto"/>
        <w:rPr>
          <w:rFonts w:ascii="Arial" w:cs="Arial" w:eastAsia="Arial" w:hAnsi="Arial"/>
          <w:sz w:val="16"/>
          <w:szCs w:val="16"/>
          <w:color w:val="auto"/>
        </w:rPr>
      </w:pPr>
      <w:r>
        <w:rPr>
          <w:rFonts w:ascii="Arial" w:cs="Arial" w:eastAsia="Arial" w:hAnsi="Arial"/>
          <w:sz w:val="16"/>
          <w:szCs w:val="16"/>
          <w:color w:val="auto"/>
        </w:rPr>
        <w:t>Includes the operations related to the granting of various credits and financial instruments to individuals and legal entities, from the segments of wholesale and retail banking, such as the obtaining of funds from the public through deposits and current accounts, obtaining of funding by means of initial public offerings and direct indebtedness with other financial institutions. This business line incorporates the results and balances of the Banco de Crédito del Perú (BCP) and Banco de Crédito de Bolivia (BCB).</w:t>
      </w:r>
    </w:p>
    <w:p>
      <w:pPr>
        <w:spacing w:after="0" w:line="169" w:lineRule="exact"/>
        <w:rPr>
          <w:rFonts w:ascii="Arial" w:cs="Arial" w:eastAsia="Arial" w:hAnsi="Arial"/>
          <w:sz w:val="16"/>
          <w:szCs w:val="16"/>
          <w:color w:val="auto"/>
        </w:rPr>
      </w:pPr>
    </w:p>
    <w:p>
      <w:pPr>
        <w:ind w:left="565" w:hanging="281"/>
        <w:spacing w:after="0"/>
        <w:tabs>
          <w:tab w:leader="none" w:pos="56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Insurance and Pensions –</w:t>
      </w:r>
    </w:p>
    <w:p>
      <w:pPr>
        <w:spacing w:after="0" w:line="195" w:lineRule="exact"/>
        <w:rPr>
          <w:rFonts w:ascii="Arial" w:cs="Arial" w:eastAsia="Arial" w:hAnsi="Arial"/>
          <w:sz w:val="16"/>
          <w:szCs w:val="16"/>
          <w:color w:val="auto"/>
        </w:rPr>
      </w:pPr>
    </w:p>
    <w:p>
      <w:pPr>
        <w:ind w:left="845" w:right="240" w:hanging="276"/>
        <w:spacing w:after="0" w:line="269" w:lineRule="auto"/>
        <w:tabs>
          <w:tab w:leader="none" w:pos="845" w:val="left"/>
        </w:tabs>
        <w:numPr>
          <w:ilvl w:val="2"/>
          <w:numId w:val="143"/>
        </w:numPr>
        <w:rPr>
          <w:rFonts w:ascii="Arial" w:cs="Arial" w:eastAsia="Arial" w:hAnsi="Arial"/>
          <w:sz w:val="16"/>
          <w:szCs w:val="16"/>
          <w:color w:val="auto"/>
        </w:rPr>
      </w:pPr>
      <w:r>
        <w:rPr>
          <w:rFonts w:ascii="Arial" w:cs="Arial" w:eastAsia="Arial" w:hAnsi="Arial"/>
          <w:sz w:val="16"/>
          <w:szCs w:val="16"/>
          <w:color w:val="auto"/>
        </w:rPr>
        <w:t>Insurance: includes, mainly, the issue of insurance policies to cover losses in commercial property, transport, marine vessels, automobiles, life, health and pensions, operations carried out through Pacífico Compañía de Seguros y Reaseguros.</w:t>
      </w:r>
    </w:p>
    <w:p>
      <w:pPr>
        <w:spacing w:after="0" w:line="156" w:lineRule="exact"/>
        <w:rPr>
          <w:rFonts w:ascii="Arial" w:cs="Arial" w:eastAsia="Arial" w:hAnsi="Arial"/>
          <w:sz w:val="16"/>
          <w:szCs w:val="16"/>
          <w:color w:val="auto"/>
        </w:rPr>
      </w:pPr>
    </w:p>
    <w:p>
      <w:pPr>
        <w:ind w:left="845" w:hanging="276"/>
        <w:spacing w:after="0"/>
        <w:tabs>
          <w:tab w:leader="none" w:pos="845" w:val="left"/>
        </w:tabs>
        <w:numPr>
          <w:ilvl w:val="2"/>
          <w:numId w:val="143"/>
        </w:numPr>
        <w:rPr>
          <w:rFonts w:ascii="Arial" w:cs="Arial" w:eastAsia="Arial" w:hAnsi="Arial"/>
          <w:sz w:val="16"/>
          <w:szCs w:val="16"/>
          <w:color w:val="auto"/>
        </w:rPr>
      </w:pPr>
      <w:r>
        <w:rPr>
          <w:rFonts w:ascii="Arial" w:cs="Arial" w:eastAsia="Arial" w:hAnsi="Arial"/>
          <w:sz w:val="16"/>
          <w:szCs w:val="16"/>
          <w:color w:val="auto"/>
        </w:rPr>
        <w:t>Pensions: provides Management Service of private pension funds to the affiliates, operation carried out from Prima AFP.</w:t>
      </w:r>
    </w:p>
    <w:p>
      <w:pPr>
        <w:spacing w:after="0" w:line="195" w:lineRule="exact"/>
        <w:rPr>
          <w:rFonts w:ascii="Arial" w:cs="Arial" w:eastAsia="Arial" w:hAnsi="Arial"/>
          <w:sz w:val="16"/>
          <w:szCs w:val="16"/>
          <w:color w:val="auto"/>
        </w:rPr>
      </w:pPr>
    </w:p>
    <w:p>
      <w:pPr>
        <w:ind w:left="565" w:hanging="281"/>
        <w:spacing w:after="0"/>
        <w:tabs>
          <w:tab w:leader="none" w:pos="56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Microfinance –</w:t>
      </w:r>
    </w:p>
    <w:p>
      <w:pPr>
        <w:spacing w:after="0" w:line="195" w:lineRule="exact"/>
        <w:rPr>
          <w:rFonts w:ascii="Arial" w:cs="Arial" w:eastAsia="Arial" w:hAnsi="Arial"/>
          <w:sz w:val="16"/>
          <w:szCs w:val="16"/>
          <w:color w:val="auto"/>
        </w:rPr>
      </w:pPr>
    </w:p>
    <w:p>
      <w:pPr>
        <w:ind w:left="565" w:right="120"/>
        <w:spacing w:after="0" w:line="269" w:lineRule="auto"/>
        <w:rPr>
          <w:rFonts w:ascii="Arial" w:cs="Arial" w:eastAsia="Arial" w:hAnsi="Arial"/>
          <w:sz w:val="16"/>
          <w:szCs w:val="16"/>
          <w:color w:val="auto"/>
        </w:rPr>
      </w:pPr>
      <w:r>
        <w:rPr>
          <w:rFonts w:ascii="Arial" w:cs="Arial" w:eastAsia="Arial" w:hAnsi="Arial"/>
          <w:sz w:val="16"/>
          <w:szCs w:val="16"/>
          <w:color w:val="auto"/>
        </w:rPr>
        <w:t>Includes the management of loans, credits, deposits and current accounts of the small and microenterprises: carried out through Mibanco, Banco de la Microempresa S.A. and Edyficar S.A.S. (Encumbra).</w:t>
      </w:r>
    </w:p>
    <w:p>
      <w:pPr>
        <w:spacing w:after="0" w:line="346" w:lineRule="exact"/>
        <w:rPr>
          <w:rFonts w:ascii="Arial" w:cs="Arial" w:eastAsia="Arial" w:hAnsi="Arial"/>
          <w:sz w:val="16"/>
          <w:szCs w:val="16"/>
          <w:color w:val="auto"/>
        </w:rPr>
      </w:pPr>
    </w:p>
    <w:p>
      <w:pPr>
        <w:ind w:left="5605" w:hanging="88"/>
        <w:spacing w:after="0"/>
        <w:tabs>
          <w:tab w:leader="none" w:pos="5605" w:val="left"/>
        </w:tabs>
        <w:numPr>
          <w:ilvl w:val="3"/>
          <w:numId w:val="143"/>
        </w:numPr>
        <w:rPr>
          <w:rFonts w:ascii="Arial" w:cs="Arial" w:eastAsia="Arial" w:hAnsi="Arial"/>
          <w:sz w:val="16"/>
          <w:szCs w:val="16"/>
          <w:color w:val="auto"/>
        </w:rPr>
      </w:pPr>
      <w:r>
        <w:rPr>
          <w:rFonts w:ascii="Arial" w:cs="Arial" w:eastAsia="Arial" w:hAnsi="Arial"/>
          <w:sz w:val="16"/>
          <w:szCs w:val="16"/>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5"/>
          </w:cols>
          <w:pgMar w:left="235" w:top="810" w:right="239" w:bottom="1440" w:gutter="0" w:footer="0" w:header="0"/>
        </w:sectPr>
      </w:pPr>
    </w:p>
    <w:bookmarkStart w:id="123" w:name="page124"/>
    <w:bookmarkEnd w:id="123"/>
    <w:p>
      <w:pPr>
        <w:ind w:left="281" w:hanging="281"/>
        <w:spacing w:after="0"/>
        <w:tabs>
          <w:tab w:leader="none" w:pos="28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Investment Banking and Wealth Management –</w:t>
      </w:r>
    </w:p>
    <w:p>
      <w:pPr>
        <w:spacing w:after="0" w:line="195" w:lineRule="exact"/>
        <w:rPr>
          <w:rFonts w:ascii="Arial" w:cs="Arial" w:eastAsia="Arial" w:hAnsi="Arial"/>
          <w:sz w:val="16"/>
          <w:szCs w:val="16"/>
          <w:color w:val="auto"/>
        </w:rPr>
      </w:pPr>
    </w:p>
    <w:p>
      <w:pPr>
        <w:ind w:left="281" w:right="320"/>
        <w:spacing w:after="0" w:line="258" w:lineRule="auto"/>
        <w:rPr>
          <w:rFonts w:ascii="Arial" w:cs="Arial" w:eastAsia="Arial" w:hAnsi="Arial"/>
          <w:sz w:val="16"/>
          <w:szCs w:val="16"/>
          <w:color w:val="auto"/>
        </w:rPr>
      </w:pPr>
      <w:r>
        <w:rPr>
          <w:rFonts w:ascii="Arial" w:cs="Arial" w:eastAsia="Arial" w:hAnsi="Arial"/>
          <w:sz w:val="16"/>
          <w:szCs w:val="16"/>
          <w:color w:val="auto"/>
        </w:rPr>
        <w:t>Brokerage service and investment management services offered to a broad and diverse clientele, which includes corporations, institutional investors, governments and foundations; also, the structuring and placement of issues in the primary market, as well as the execution and negotiation of transactions in the secondary market. Additionally, it structures securitization processes for corporate customers and manages mutual funds.</w:t>
      </w:r>
    </w:p>
    <w:p>
      <w:pPr>
        <w:spacing w:after="0" w:line="16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5"/>
          <w:szCs w:val="15"/>
          <w:color w:val="auto"/>
        </w:rPr>
        <w:t>All of these services are provided through Credicorp Capital Ltd. and subsidiaries; Atlantic Security Bank (ASB) and the Wealth Management team of BCP.</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color w:val="auto"/>
        </w:rPr>
        <w:t>Management of these business lines is designed to:</w:t>
      </w:r>
    </w:p>
    <w:p>
      <w:pPr>
        <w:spacing w:after="0" w:line="195" w:lineRule="exact"/>
        <w:rPr>
          <w:sz w:val="20"/>
          <w:szCs w:val="20"/>
          <w:color w:val="auto"/>
        </w:rPr>
      </w:pPr>
    </w:p>
    <w:p>
      <w:pPr>
        <w:ind w:left="281" w:hanging="281"/>
        <w:spacing w:after="0"/>
        <w:tabs>
          <w:tab w:leader="none" w:pos="2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Promote the joint action of our businesses in order to take advantage of the synergies which resulting from the diversification of our portfolio.</w:t>
      </w:r>
    </w:p>
    <w:p>
      <w:pPr>
        <w:spacing w:after="0" w:line="195" w:lineRule="exact"/>
        <w:rPr>
          <w:rFonts w:ascii="Arial" w:cs="Arial" w:eastAsia="Arial" w:hAnsi="Arial"/>
          <w:sz w:val="16"/>
          <w:szCs w:val="16"/>
          <w:color w:val="auto"/>
        </w:rPr>
      </w:pPr>
    </w:p>
    <w:p>
      <w:pPr>
        <w:ind w:left="281" w:right="160" w:hanging="281"/>
        <w:spacing w:after="0" w:line="269" w:lineRule="auto"/>
        <w:tabs>
          <w:tab w:leader="none" w:pos="2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Strengthening our leadership in the financial sector through our growth in new businesses, and the establishment of an investment banking platform available not only to the corporate world, but also to the retail segment, especially to the Small and Medium Enterprise (SME) and Consumer sectors.</w:t>
      </w:r>
    </w:p>
    <w:p>
      <w:pPr>
        <w:spacing w:after="0" w:line="156" w:lineRule="exact"/>
        <w:rPr>
          <w:rFonts w:ascii="Arial" w:cs="Arial" w:eastAsia="Arial" w:hAnsi="Arial"/>
          <w:sz w:val="16"/>
          <w:szCs w:val="16"/>
          <w:color w:val="auto"/>
        </w:rPr>
      </w:pPr>
    </w:p>
    <w:p>
      <w:pPr>
        <w:ind w:left="281" w:hanging="281"/>
        <w:spacing w:after="0"/>
        <w:tabs>
          <w:tab w:leader="none" w:pos="2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Improve the ongoing search to bring to adapt our business models, processes and procedures into line with best practices worldwide.</w:t>
      </w:r>
    </w:p>
    <w:p>
      <w:pPr>
        <w:spacing w:after="0" w:line="195" w:lineRule="exact"/>
        <w:rPr>
          <w:rFonts w:ascii="Arial" w:cs="Arial" w:eastAsia="Arial" w:hAnsi="Arial"/>
          <w:sz w:val="16"/>
          <w:szCs w:val="16"/>
          <w:color w:val="auto"/>
        </w:rPr>
      </w:pPr>
    </w:p>
    <w:p>
      <w:pPr>
        <w:ind w:left="281" w:right="120"/>
        <w:spacing w:after="0" w:line="254" w:lineRule="auto"/>
        <w:rPr>
          <w:rFonts w:ascii="Arial" w:cs="Arial" w:eastAsia="Arial" w:hAnsi="Arial"/>
          <w:sz w:val="16"/>
          <w:szCs w:val="16"/>
          <w:color w:val="auto"/>
        </w:rPr>
      </w:pPr>
      <w:r>
        <w:rPr>
          <w:rFonts w:ascii="Arial" w:cs="Arial" w:eastAsia="Arial" w:hAnsi="Arial"/>
          <w:sz w:val="16"/>
          <w:szCs w:val="16"/>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the operating profits or losses, and is measured consistently with the operating profits and losses presented in the consolidated statement of income.</w:t>
      </w:r>
    </w:p>
    <w:p>
      <w:pPr>
        <w:spacing w:after="0" w:line="169" w:lineRule="exact"/>
        <w:rPr>
          <w:rFonts w:ascii="Arial" w:cs="Arial" w:eastAsia="Arial" w:hAnsi="Arial"/>
          <w:sz w:val="16"/>
          <w:szCs w:val="16"/>
          <w:color w:val="auto"/>
        </w:rPr>
      </w:pPr>
    </w:p>
    <w:p>
      <w:pPr>
        <w:jc w:val="both"/>
        <w:ind w:left="281" w:right="100"/>
        <w:spacing w:after="0" w:line="258" w:lineRule="auto"/>
        <w:rPr>
          <w:rFonts w:ascii="Arial" w:cs="Arial" w:eastAsia="Arial" w:hAnsi="Arial"/>
          <w:sz w:val="16"/>
          <w:szCs w:val="16"/>
          <w:color w:val="auto"/>
        </w:rPr>
      </w:pPr>
      <w:r>
        <w:rPr>
          <w:rFonts w:ascii="Arial" w:cs="Arial" w:eastAsia="Arial" w:hAnsi="Arial"/>
          <w:sz w:val="16"/>
          <w:szCs w:val="16"/>
          <w:color w:val="auto"/>
        </w:rPr>
        <w:t>Financial information by segment is prepared subject to the minimum controls necessary and on a uniform basis, with coherent grouping according to the type of activity and customer. The transfer prices used for determining income and expenses generated among the operating segments are similar to the prices that would be applicable to transactions carried out at arm’s length.</w:t>
      </w:r>
    </w:p>
    <w:p>
      <w:pPr>
        <w:spacing w:after="0" w:line="165"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None of the income derives from transactions carried out with a single customer or counterparty which is equal to or greater than 10 per cent or more of the total income of the Group at December 31, 2018, 2017 and 2016.</w:t>
      </w:r>
    </w:p>
    <w:p>
      <w:pPr>
        <w:spacing w:after="0" w:line="156" w:lineRule="exact"/>
        <w:rPr>
          <w:rFonts w:ascii="Arial" w:cs="Arial" w:eastAsia="Arial" w:hAnsi="Arial"/>
          <w:sz w:val="16"/>
          <w:szCs w:val="16"/>
          <w:color w:val="auto"/>
        </w:rPr>
      </w:pPr>
    </w:p>
    <w:p>
      <w:pPr>
        <w:ind w:left="281" w:right="720"/>
        <w:spacing w:after="0" w:line="269" w:lineRule="auto"/>
        <w:rPr>
          <w:rFonts w:ascii="Arial" w:cs="Arial" w:eastAsia="Arial" w:hAnsi="Arial"/>
          <w:sz w:val="16"/>
          <w:szCs w:val="16"/>
          <w:color w:val="auto"/>
        </w:rPr>
      </w:pPr>
      <w:r>
        <w:rPr>
          <w:rFonts w:ascii="Arial" w:cs="Arial" w:eastAsia="Arial" w:hAnsi="Arial"/>
          <w:sz w:val="16"/>
          <w:szCs w:val="16"/>
          <w:color w:val="auto"/>
        </w:rPr>
        <w:t>The information presented at December 31, 2017 and 2016, and for the years then ended, has been restated, according to the new definition of business lines for comparison purposes.</w:t>
      </w:r>
    </w:p>
    <w:p>
      <w:pPr>
        <w:spacing w:after="0" w:line="346" w:lineRule="exact"/>
        <w:rPr>
          <w:rFonts w:ascii="Arial" w:cs="Arial" w:eastAsia="Arial" w:hAnsi="Arial"/>
          <w:sz w:val="16"/>
          <w:szCs w:val="16"/>
          <w:color w:val="auto"/>
        </w:rPr>
      </w:pPr>
    </w:p>
    <w:p>
      <w:pPr>
        <w:ind w:left="5321" w:hanging="88"/>
        <w:spacing w:after="0"/>
        <w:tabs>
          <w:tab w:leader="none" w:pos="532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5" w:right="259" w:bottom="1440" w:gutter="0" w:footer="0" w:header="0"/>
        </w:sectPr>
      </w:pPr>
    </w:p>
    <w:bookmarkStart w:id="124" w:name="page125"/>
    <w:bookmarkEnd w:id="124"/>
    <w:p>
      <w:pPr>
        <w:ind w:left="281" w:right="140" w:hanging="281"/>
        <w:spacing w:after="0" w:line="269" w:lineRule="auto"/>
        <w:tabs>
          <w:tab w:leader="none" w:pos="28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table below shows (in millions of soles) a breakdown of the Group’s total income, operating income and non-current assets; classified by location of customers and assets, respectively for the years ended December 31, 2018, 2017 and 2016:</w:t>
      </w:r>
    </w:p>
    <w:p>
      <w:pPr>
        <w:spacing w:after="0" w:line="161"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Income (*)</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7"/>
              </w:rPr>
              <w:t>Net interest,</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ind w:right="158"/>
              <w:spacing w:after="0"/>
              <w:rPr>
                <w:sz w:val="20"/>
                <w:szCs w:val="20"/>
                <w:color w:val="auto"/>
              </w:rPr>
            </w:pPr>
            <w:r>
              <w:rPr>
                <w:rFonts w:ascii="Arial" w:cs="Arial" w:eastAsia="Arial" w:hAnsi="Arial"/>
                <w:sz w:val="13"/>
                <w:szCs w:val="13"/>
                <w:b w:val="1"/>
                <w:bCs w:val="1"/>
                <w:color w:val="auto"/>
                <w:w w:val="87"/>
              </w:rPr>
              <w:t>Provision for</w:t>
            </w: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900" w:type="dxa"/>
            <w:vAlign w:val="bottom"/>
            <w:gridSpan w:val="2"/>
            <w:vMerge w:val="continue"/>
          </w:tcPr>
          <w:p>
            <w:pPr>
              <w:spacing w:after="0"/>
              <w:rPr>
                <w:sz w:val="11"/>
                <w:szCs w:val="11"/>
                <w:color w:val="auto"/>
              </w:rPr>
            </w:pPr>
          </w:p>
        </w:tc>
        <w:tc>
          <w:tcPr>
            <w:tcW w:w="86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6"/>
              </w:rPr>
              <w:t>Depreciation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expenditures,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From other</w:t>
            </w:r>
          </w:p>
        </w:tc>
        <w:tc>
          <w:tcPr>
            <w:tcW w:w="60" w:type="dxa"/>
            <w:vAlign w:val="bottom"/>
          </w:tcPr>
          <w:p>
            <w:pPr>
              <w:spacing w:after="0"/>
              <w:rPr>
                <w:sz w:val="11"/>
                <w:szCs w:val="11"/>
                <w:color w:val="auto"/>
              </w:rPr>
            </w:pPr>
          </w:p>
        </w:tc>
        <w:tc>
          <w:tcPr>
            <w:tcW w:w="8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0"/>
              </w:rPr>
              <w:t>similar</w:t>
            </w: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178"/>
              <w:spacing w:after="0" w:line="131" w:lineRule="exact"/>
              <w:rPr>
                <w:sz w:val="20"/>
                <w:szCs w:val="20"/>
                <w:color w:val="auto"/>
              </w:rPr>
            </w:pPr>
            <w:r>
              <w:rPr>
                <w:rFonts w:ascii="Arial" w:cs="Arial" w:eastAsia="Arial" w:hAnsi="Arial"/>
                <w:sz w:val="13"/>
                <w:szCs w:val="13"/>
                <w:b w:val="1"/>
                <w:bCs w:val="1"/>
                <w:color w:val="auto"/>
                <w:w w:val="80"/>
              </w:rPr>
              <w:t>credit losses</w:t>
            </w:r>
          </w:p>
        </w:tc>
        <w:tc>
          <w:tcPr>
            <w:tcW w:w="860" w:type="dxa"/>
            <w:vAlign w:val="bottom"/>
            <w:gridSpan w:val="2"/>
            <w:vMerge w:val="continue"/>
          </w:tcPr>
          <w:p>
            <w:pPr>
              <w:spacing w:after="0"/>
              <w:rPr>
                <w:sz w:val="11"/>
                <w:szCs w:val="11"/>
                <w:color w:val="auto"/>
              </w:rPr>
            </w:pPr>
          </w:p>
        </w:tc>
        <w:tc>
          <w:tcPr>
            <w:tcW w:w="720" w:type="dxa"/>
            <w:vAlign w:val="bottom"/>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87"/>
              </w:rPr>
              <w:t>Income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intangible</w:t>
            </w: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1"/>
                <w:szCs w:val="1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3"/>
              </w:rPr>
              <w:t>External</w:t>
            </w: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5"/>
              </w:rPr>
              <w:t>income and</w:t>
            </w:r>
          </w:p>
        </w:tc>
        <w:tc>
          <w:tcPr>
            <w:tcW w:w="7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income,</w:t>
            </w:r>
          </w:p>
        </w:tc>
        <w:tc>
          <w:tcPr>
            <w:tcW w:w="900" w:type="dxa"/>
            <w:vAlign w:val="bottom"/>
            <w:gridSpan w:val="2"/>
          </w:tcPr>
          <w:p>
            <w:pPr>
              <w:jc w:val="center"/>
              <w:ind w:right="178"/>
              <w:spacing w:after="0" w:line="131" w:lineRule="exact"/>
              <w:rPr>
                <w:sz w:val="20"/>
                <w:szCs w:val="20"/>
                <w:color w:val="auto"/>
              </w:rPr>
            </w:pPr>
            <w:r>
              <w:rPr>
                <w:rFonts w:ascii="Arial" w:cs="Arial" w:eastAsia="Arial" w:hAnsi="Arial"/>
                <w:sz w:val="13"/>
                <w:szCs w:val="13"/>
                <w:b w:val="1"/>
                <w:bCs w:val="1"/>
                <w:color w:val="auto"/>
                <w:w w:val="86"/>
              </w:rPr>
              <w:t>on loan</w:t>
            </w:r>
          </w:p>
        </w:tc>
        <w:tc>
          <w:tcPr>
            <w:tcW w:w="860" w:type="dxa"/>
            <w:vAlign w:val="bottom"/>
            <w:gridSpan w:val="2"/>
          </w:tcPr>
          <w:p>
            <w:pPr>
              <w:jc w:val="center"/>
              <w:ind w:right="138"/>
              <w:spacing w:after="0" w:line="131" w:lineRule="exact"/>
              <w:rPr>
                <w:sz w:val="20"/>
                <w:szCs w:val="20"/>
                <w:color w:val="auto"/>
              </w:rPr>
            </w:pPr>
            <w:r>
              <w:rPr>
                <w:rFonts w:ascii="Arial" w:cs="Arial" w:eastAsia="Arial" w:hAnsi="Arial"/>
                <w:sz w:val="13"/>
                <w:szCs w:val="13"/>
                <w:b w:val="1"/>
                <w:bCs w:val="1"/>
                <w:color w:val="auto"/>
                <w:w w:val="86"/>
              </w:rPr>
              <w:t>and</w:t>
            </w:r>
          </w:p>
        </w:tc>
        <w:tc>
          <w:tcPr>
            <w:tcW w:w="720" w:type="dxa"/>
            <w:vAlign w:val="bottom"/>
            <w:gridSpan w:val="2"/>
            <w:vMerge w:val="continue"/>
          </w:tcPr>
          <w:p>
            <w:pPr>
              <w:spacing w:after="0"/>
              <w:rPr>
                <w:sz w:val="11"/>
                <w:szCs w:val="11"/>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6"/>
              </w:rPr>
              <w:t>Net profit</w:t>
            </w: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78"/>
              </w:rPr>
              <w:t>assets</w:t>
            </w:r>
          </w:p>
        </w:tc>
        <w:tc>
          <w:tcPr>
            <w:tcW w:w="7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segments (**)</w:t>
            </w:r>
          </w:p>
        </w:tc>
        <w:tc>
          <w:tcPr>
            <w:tcW w:w="6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7"/>
              </w:rPr>
              <w:t>expenses</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net (***)</w:t>
            </w:r>
          </w:p>
        </w:tc>
        <w:tc>
          <w:tcPr>
            <w:tcW w:w="90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7"/>
              </w:rPr>
              <w:t>portfolio</w:t>
            </w:r>
          </w:p>
        </w:tc>
        <w:tc>
          <w:tcPr>
            <w:tcW w:w="8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7"/>
              </w:rPr>
              <w:t>amortization</w:t>
            </w:r>
          </w:p>
        </w:tc>
        <w:tc>
          <w:tcPr>
            <w:tcW w:w="72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95"/>
              </w:rPr>
              <w:t>tax</w:t>
            </w:r>
          </w:p>
        </w:tc>
        <w:tc>
          <w:tcPr>
            <w:tcW w:w="720" w:type="dxa"/>
            <w:vAlign w:val="bottom"/>
            <w:gridSpan w:val="2"/>
            <w:vMerge w:val="continue"/>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and goodwill</w:t>
            </w: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8"/>
              </w:rPr>
              <w:t>assets</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22"/>
        </w:trPr>
        <w:tc>
          <w:tcPr>
            <w:tcW w:w="20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3"/>
                <w:szCs w:val="13"/>
                <w:color w:val="auto"/>
              </w:rPr>
              <w:t>Universal Banking</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Banco de Crédito del Perú</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10,757</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381</w:t>
            </w:r>
          </w:p>
        </w:tc>
        <w:tc>
          <w:tcPr>
            <w:tcW w:w="120" w:type="dxa"/>
            <w:vAlign w:val="bottom"/>
          </w:tcPr>
          <w:p>
            <w:pPr>
              <w:spacing w:after="0"/>
              <w:rPr>
                <w:sz w:val="11"/>
                <w:szCs w:val="11"/>
                <w:color w:val="auto"/>
              </w:rPr>
            </w:pPr>
          </w:p>
        </w:tc>
        <w:tc>
          <w:tcPr>
            <w:tcW w:w="90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5,616</w:t>
            </w:r>
          </w:p>
        </w:tc>
        <w:tc>
          <w:tcPr>
            <w:tcW w:w="7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3,275</w:t>
            </w:r>
          </w:p>
        </w:tc>
        <w:tc>
          <w:tcPr>
            <w:tcW w:w="9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(1,046)</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(277)</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(1,137)</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2,925</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397</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132,880</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117,803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Banco de Crédito de Bolivia</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686</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309</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124</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(52)</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(12)</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(45)</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80</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45</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9,957</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9,266</w:t>
            </w:r>
          </w:p>
        </w:tc>
        <w:tc>
          <w:tcPr>
            <w:tcW w:w="0" w:type="dxa"/>
            <w:vAlign w:val="bottom"/>
          </w:tcPr>
          <w:p>
            <w:pPr>
              <w:spacing w:after="0"/>
              <w:rPr>
                <w:sz w:val="1"/>
                <w:szCs w:val="1"/>
                <w:color w:val="auto"/>
              </w:rPr>
            </w:pPr>
          </w:p>
        </w:tc>
      </w:tr>
      <w:tr>
        <w:trPr>
          <w:trHeight w:val="130"/>
        </w:trPr>
        <w:tc>
          <w:tcPr>
            <w:tcW w:w="2100" w:type="dxa"/>
            <w:vAlign w:val="bottom"/>
            <w:gridSpan w:val="2"/>
          </w:tcPr>
          <w:p>
            <w:pPr>
              <w:spacing w:after="0" w:line="131" w:lineRule="exact"/>
              <w:rPr>
                <w:sz w:val="20"/>
                <w:szCs w:val="20"/>
                <w:color w:val="auto"/>
              </w:rPr>
            </w:pPr>
            <w:r>
              <w:rPr>
                <w:rFonts w:ascii="Arial" w:cs="Arial" w:eastAsia="Arial" w:hAnsi="Arial"/>
                <w:sz w:val="13"/>
                <w:szCs w:val="13"/>
                <w:color w:val="auto"/>
              </w:rPr>
              <w:t>Insurance and Pension funds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Insurance</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2,861</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446</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1,181</w:t>
            </w: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(51)</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(4)</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351</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85</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12,224</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9,591</w:t>
            </w: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Pension funds</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371</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72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371</w:t>
            </w:r>
          </w:p>
        </w:tc>
        <w:tc>
          <w:tcPr>
            <w:tcW w:w="200" w:type="dxa"/>
            <w:vAlign w:val="bottom"/>
          </w:tcPr>
          <w:p>
            <w:pPr>
              <w:spacing w:after="0"/>
              <w:rPr>
                <w:sz w:val="11"/>
                <w:szCs w:val="11"/>
                <w:color w:val="auto"/>
              </w:rPr>
            </w:pPr>
          </w:p>
        </w:tc>
        <w:tc>
          <w:tcPr>
            <w:tcW w:w="90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(18)</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(58)</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141</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9</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875</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241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Microfinance</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Mibanco</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2,468</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88</w:t>
            </w:r>
          </w:p>
        </w:tc>
        <w:tc>
          <w:tcPr>
            <w:tcW w:w="120" w:type="dxa"/>
            <w:vAlign w:val="bottom"/>
          </w:tcPr>
          <w:p>
            <w:pPr>
              <w:spacing w:after="0"/>
              <w:rPr>
                <w:sz w:val="11"/>
                <w:szCs w:val="11"/>
                <w:color w:val="auto"/>
              </w:rPr>
            </w:pPr>
          </w:p>
        </w:tc>
        <w:tc>
          <w:tcPr>
            <w:tcW w:w="90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1,956</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156</w:t>
            </w:r>
          </w:p>
        </w:tc>
        <w:tc>
          <w:tcPr>
            <w:tcW w:w="200" w:type="dxa"/>
            <w:vAlign w:val="bottom"/>
          </w:tcPr>
          <w:p>
            <w:pPr>
              <w:spacing w:after="0"/>
              <w:rPr>
                <w:sz w:val="11"/>
                <w:szCs w:val="11"/>
                <w:color w:val="auto"/>
              </w:rPr>
            </w:pPr>
          </w:p>
        </w:tc>
        <w:tc>
          <w:tcPr>
            <w:tcW w:w="9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(430)</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(49)</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(193)</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461</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50</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13,220</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11,322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Edyficas S.A.S.</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44</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(4)</w:t>
            </w: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(4)</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6</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119</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100" w:type="dxa"/>
            <w:vAlign w:val="bottom"/>
            <w:gridSpan w:val="2"/>
          </w:tcPr>
          <w:p>
            <w:pPr>
              <w:spacing w:after="0" w:line="114" w:lineRule="exact"/>
              <w:rPr>
                <w:sz w:val="20"/>
                <w:szCs w:val="20"/>
                <w:color w:val="auto"/>
              </w:rPr>
            </w:pPr>
            <w:r>
              <w:rPr>
                <w:rFonts w:ascii="Arial" w:cs="Arial" w:eastAsia="Arial" w:hAnsi="Arial"/>
                <w:sz w:val="13"/>
                <w:szCs w:val="13"/>
                <w:color w:val="auto"/>
              </w:rPr>
              <w:t>Investment Banking and Wealth</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1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Management</w:t>
            </w:r>
          </w:p>
        </w:tc>
        <w:tc>
          <w:tcPr>
            <w:tcW w:w="7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886</w:t>
            </w:r>
          </w:p>
        </w:tc>
        <w:tc>
          <w:tcPr>
            <w:tcW w:w="8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(14)</w:t>
            </w: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98</w:t>
            </w:r>
          </w:p>
        </w:tc>
        <w:tc>
          <w:tcPr>
            <w:tcW w:w="1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634</w:t>
            </w:r>
          </w:p>
        </w:tc>
        <w:tc>
          <w:tcPr>
            <w:tcW w:w="200" w:type="dxa"/>
            <w:vAlign w:val="bottom"/>
          </w:tcPr>
          <w:p>
            <w:pPr>
              <w:spacing w:after="0"/>
              <w:rPr>
                <w:sz w:val="12"/>
                <w:szCs w:val="12"/>
                <w:color w:val="auto"/>
              </w:rPr>
            </w:pPr>
          </w:p>
        </w:tc>
        <w:tc>
          <w:tcPr>
            <w:tcW w:w="900" w:type="dxa"/>
            <w:vAlign w:val="bottom"/>
            <w:gridSpan w:val="2"/>
          </w:tcPr>
          <w:p>
            <w:pPr>
              <w:jc w:val="right"/>
              <w:ind w:right="158"/>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98"/>
              <w:spacing w:after="0" w:line="146" w:lineRule="exact"/>
              <w:rPr>
                <w:sz w:val="20"/>
                <w:szCs w:val="20"/>
                <w:color w:val="auto"/>
              </w:rPr>
            </w:pPr>
            <w:r>
              <w:rPr>
                <w:rFonts w:ascii="Arial" w:cs="Arial" w:eastAsia="Arial" w:hAnsi="Arial"/>
                <w:sz w:val="13"/>
                <w:szCs w:val="13"/>
                <w:color w:val="auto"/>
              </w:rPr>
              <w:t>(21)</w:t>
            </w:r>
          </w:p>
        </w:tc>
        <w:tc>
          <w:tcPr>
            <w:tcW w:w="720" w:type="dxa"/>
            <w:vAlign w:val="bottom"/>
            <w:gridSpan w:val="2"/>
          </w:tcPr>
          <w:p>
            <w:pPr>
              <w:jc w:val="right"/>
              <w:ind w:right="77"/>
              <w:spacing w:after="0" w:line="146" w:lineRule="exact"/>
              <w:rPr>
                <w:sz w:val="20"/>
                <w:szCs w:val="20"/>
                <w:color w:val="auto"/>
              </w:rPr>
            </w:pPr>
            <w:r>
              <w:rPr>
                <w:rFonts w:ascii="Arial" w:cs="Arial" w:eastAsia="Arial" w:hAnsi="Arial"/>
                <w:sz w:val="13"/>
                <w:szCs w:val="13"/>
                <w:color w:val="auto"/>
              </w:rPr>
              <w:t>(29)</w:t>
            </w:r>
          </w:p>
        </w:tc>
        <w:tc>
          <w:tcPr>
            <w:tcW w:w="7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143</w:t>
            </w:r>
          </w:p>
        </w:tc>
        <w:tc>
          <w:tcPr>
            <w:tcW w:w="9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8</w:t>
            </w:r>
          </w:p>
        </w:tc>
        <w:tc>
          <w:tcPr>
            <w:tcW w:w="7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9,665</w:t>
            </w: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8,190</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Other segments</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83</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106</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(51)</w:t>
            </w:r>
          </w:p>
        </w:tc>
        <w:tc>
          <w:tcPr>
            <w:tcW w:w="7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(36)</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7</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2,862</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gridSpan w:val="2"/>
          </w:tcPr>
          <w:p>
            <w:pPr>
              <w:spacing w:after="0" w:line="143" w:lineRule="exact"/>
              <w:rPr>
                <w:sz w:val="20"/>
                <w:szCs w:val="20"/>
                <w:color w:val="auto"/>
              </w:rPr>
            </w:pPr>
            <w:r>
              <w:rPr>
                <w:rFonts w:ascii="Arial" w:cs="Arial" w:eastAsia="Arial" w:hAnsi="Arial"/>
                <w:sz w:val="13"/>
                <w:szCs w:val="13"/>
                <w:color w:val="auto"/>
              </w:rPr>
              <w:t>Eliminations</w:t>
            </w:r>
          </w:p>
        </w:tc>
        <w:tc>
          <w:tcPr>
            <w:tcW w:w="7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(9)</w:t>
            </w:r>
          </w:p>
        </w:tc>
        <w:tc>
          <w:tcPr>
            <w:tcW w:w="7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(454)</w:t>
            </w:r>
          </w:p>
        </w:tc>
        <w:tc>
          <w:tcPr>
            <w:tcW w:w="90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(4,539)</w:t>
            </w: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(4,428)</w:t>
            </w:r>
          </w:p>
        </w:tc>
        <w:tc>
          <w:tcPr>
            <w:tcW w:w="0" w:type="dxa"/>
            <w:vAlign w:val="bottom"/>
          </w:tcPr>
          <w:p>
            <w:pPr>
              <w:spacing w:after="0"/>
              <w:rPr>
                <w:sz w:val="1"/>
                <w:szCs w:val="1"/>
                <w:color w:val="auto"/>
              </w:rPr>
            </w:pPr>
          </w:p>
        </w:tc>
      </w:tr>
      <w:tr>
        <w:trPr>
          <w:trHeight w:val="134"/>
        </w:trPr>
        <w:tc>
          <w:tcPr>
            <w:tcW w:w="210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consolidated</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18,156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579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8,489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5,394</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(1,532</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(429</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(1,521</w:t>
            </w:r>
          </w:p>
        </w:tc>
        <w:tc>
          <w:tcPr>
            <w:tcW w:w="200" w:type="dxa"/>
            <w:vAlign w:val="bottom"/>
            <w:tcBorders>
              <w:top w:val="single" w:sz="8" w:color="CCEEFF"/>
              <w:bottom w:val="single" w:sz="8" w:color="CCEEFF"/>
            </w:tcBorders>
            <w:shd w:val="clear" w:color="auto" w:fill="CCEEFF"/>
          </w:tcPr>
          <w:p>
            <w:pPr>
              <w:jc w:val="right"/>
              <w:ind w:right="77"/>
              <w:spacing w:after="0" w:line="134" w:lineRule="exact"/>
              <w:rPr>
                <w:sz w:val="20"/>
                <w:szCs w:val="20"/>
                <w:color w:val="auto"/>
              </w:rPr>
            </w:pPr>
            <w:r>
              <w:rPr>
                <w:rFonts w:ascii="Arial" w:cs="Arial" w:eastAsia="Arial" w:hAnsi="Arial"/>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4,071</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601</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177,263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152,997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Income (*)</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7"/>
              </w:rPr>
              <w:t>Net interest,</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ind w:right="158"/>
              <w:spacing w:after="0"/>
              <w:rPr>
                <w:sz w:val="20"/>
                <w:szCs w:val="20"/>
                <w:color w:val="auto"/>
              </w:rPr>
            </w:pPr>
            <w:r>
              <w:rPr>
                <w:rFonts w:ascii="Arial" w:cs="Arial" w:eastAsia="Arial" w:hAnsi="Arial"/>
                <w:sz w:val="13"/>
                <w:szCs w:val="13"/>
                <w:b w:val="1"/>
                <w:bCs w:val="1"/>
                <w:color w:val="auto"/>
                <w:w w:val="87"/>
              </w:rPr>
              <w:t>Provision for</w:t>
            </w: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900" w:type="dxa"/>
            <w:vAlign w:val="bottom"/>
            <w:gridSpan w:val="2"/>
            <w:vMerge w:val="continue"/>
          </w:tcPr>
          <w:p>
            <w:pPr>
              <w:spacing w:after="0"/>
              <w:rPr>
                <w:sz w:val="11"/>
                <w:szCs w:val="11"/>
                <w:color w:val="auto"/>
              </w:rPr>
            </w:pPr>
          </w:p>
        </w:tc>
        <w:tc>
          <w:tcPr>
            <w:tcW w:w="86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6"/>
              </w:rPr>
              <w:t>Depreciation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expenditures,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From other</w:t>
            </w:r>
          </w:p>
        </w:tc>
        <w:tc>
          <w:tcPr>
            <w:tcW w:w="60" w:type="dxa"/>
            <w:vAlign w:val="bottom"/>
          </w:tcPr>
          <w:p>
            <w:pPr>
              <w:spacing w:after="0"/>
              <w:rPr>
                <w:sz w:val="11"/>
                <w:szCs w:val="11"/>
                <w:color w:val="auto"/>
              </w:rPr>
            </w:pPr>
          </w:p>
        </w:tc>
        <w:tc>
          <w:tcPr>
            <w:tcW w:w="8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0"/>
              </w:rPr>
              <w:t>similar</w:t>
            </w: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178"/>
              <w:spacing w:after="0" w:line="131" w:lineRule="exact"/>
              <w:rPr>
                <w:sz w:val="20"/>
                <w:szCs w:val="20"/>
                <w:color w:val="auto"/>
              </w:rPr>
            </w:pPr>
            <w:r>
              <w:rPr>
                <w:rFonts w:ascii="Arial" w:cs="Arial" w:eastAsia="Arial" w:hAnsi="Arial"/>
                <w:sz w:val="13"/>
                <w:szCs w:val="13"/>
                <w:b w:val="1"/>
                <w:bCs w:val="1"/>
                <w:color w:val="auto"/>
                <w:w w:val="80"/>
              </w:rPr>
              <w:t>credit losses</w:t>
            </w:r>
          </w:p>
        </w:tc>
        <w:tc>
          <w:tcPr>
            <w:tcW w:w="860" w:type="dxa"/>
            <w:vAlign w:val="bottom"/>
            <w:gridSpan w:val="2"/>
            <w:vMerge w:val="continue"/>
          </w:tcPr>
          <w:p>
            <w:pPr>
              <w:spacing w:after="0"/>
              <w:rPr>
                <w:sz w:val="11"/>
                <w:szCs w:val="11"/>
                <w:color w:val="auto"/>
              </w:rPr>
            </w:pPr>
          </w:p>
        </w:tc>
        <w:tc>
          <w:tcPr>
            <w:tcW w:w="720" w:type="dxa"/>
            <w:vAlign w:val="bottom"/>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87"/>
              </w:rPr>
              <w:t>Income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intangible</w:t>
            </w: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1"/>
                <w:szCs w:val="1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3"/>
              </w:rPr>
              <w:t>External</w:t>
            </w: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5"/>
              </w:rPr>
              <w:t>income and</w:t>
            </w:r>
          </w:p>
        </w:tc>
        <w:tc>
          <w:tcPr>
            <w:tcW w:w="7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income,</w:t>
            </w:r>
          </w:p>
        </w:tc>
        <w:tc>
          <w:tcPr>
            <w:tcW w:w="900" w:type="dxa"/>
            <w:vAlign w:val="bottom"/>
            <w:gridSpan w:val="2"/>
          </w:tcPr>
          <w:p>
            <w:pPr>
              <w:jc w:val="center"/>
              <w:ind w:right="178"/>
              <w:spacing w:after="0" w:line="131" w:lineRule="exact"/>
              <w:rPr>
                <w:sz w:val="20"/>
                <w:szCs w:val="20"/>
                <w:color w:val="auto"/>
              </w:rPr>
            </w:pPr>
            <w:r>
              <w:rPr>
                <w:rFonts w:ascii="Arial" w:cs="Arial" w:eastAsia="Arial" w:hAnsi="Arial"/>
                <w:sz w:val="13"/>
                <w:szCs w:val="13"/>
                <w:b w:val="1"/>
                <w:bCs w:val="1"/>
                <w:color w:val="auto"/>
                <w:w w:val="86"/>
              </w:rPr>
              <w:t>on loan</w:t>
            </w:r>
          </w:p>
        </w:tc>
        <w:tc>
          <w:tcPr>
            <w:tcW w:w="860" w:type="dxa"/>
            <w:vAlign w:val="bottom"/>
            <w:gridSpan w:val="2"/>
          </w:tcPr>
          <w:p>
            <w:pPr>
              <w:jc w:val="center"/>
              <w:ind w:right="138"/>
              <w:spacing w:after="0" w:line="131" w:lineRule="exact"/>
              <w:rPr>
                <w:sz w:val="20"/>
                <w:szCs w:val="20"/>
                <w:color w:val="auto"/>
              </w:rPr>
            </w:pPr>
            <w:r>
              <w:rPr>
                <w:rFonts w:ascii="Arial" w:cs="Arial" w:eastAsia="Arial" w:hAnsi="Arial"/>
                <w:sz w:val="13"/>
                <w:szCs w:val="13"/>
                <w:b w:val="1"/>
                <w:bCs w:val="1"/>
                <w:color w:val="auto"/>
                <w:w w:val="86"/>
              </w:rPr>
              <w:t>and</w:t>
            </w:r>
          </w:p>
        </w:tc>
        <w:tc>
          <w:tcPr>
            <w:tcW w:w="720" w:type="dxa"/>
            <w:vAlign w:val="bottom"/>
            <w:gridSpan w:val="2"/>
            <w:vMerge w:val="continue"/>
          </w:tcPr>
          <w:p>
            <w:pPr>
              <w:spacing w:after="0"/>
              <w:rPr>
                <w:sz w:val="11"/>
                <w:szCs w:val="11"/>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6"/>
              </w:rPr>
              <w:t>Net profit</w:t>
            </w: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78"/>
              </w:rPr>
              <w:t>assets</w:t>
            </w:r>
          </w:p>
        </w:tc>
        <w:tc>
          <w:tcPr>
            <w:tcW w:w="7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segments (**)</w:t>
            </w:r>
          </w:p>
        </w:tc>
        <w:tc>
          <w:tcPr>
            <w:tcW w:w="6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7"/>
              </w:rPr>
              <w:t>expenses</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net (***)</w:t>
            </w:r>
          </w:p>
        </w:tc>
        <w:tc>
          <w:tcPr>
            <w:tcW w:w="90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7"/>
              </w:rPr>
              <w:t>portfolio</w:t>
            </w:r>
          </w:p>
        </w:tc>
        <w:tc>
          <w:tcPr>
            <w:tcW w:w="8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7"/>
              </w:rPr>
              <w:t>amortization</w:t>
            </w:r>
          </w:p>
        </w:tc>
        <w:tc>
          <w:tcPr>
            <w:tcW w:w="72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95"/>
              </w:rPr>
              <w:t>tax</w:t>
            </w:r>
          </w:p>
        </w:tc>
        <w:tc>
          <w:tcPr>
            <w:tcW w:w="720" w:type="dxa"/>
            <w:vAlign w:val="bottom"/>
            <w:gridSpan w:val="2"/>
            <w:vMerge w:val="continue"/>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and goodwill</w:t>
            </w: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8"/>
              </w:rPr>
              <w:t>assets</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22"/>
        </w:trPr>
        <w:tc>
          <w:tcPr>
            <w:tcW w:w="20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3"/>
                <w:szCs w:val="13"/>
                <w:color w:val="auto"/>
              </w:rPr>
              <w:t>Universal Banking</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Banco de Crédito del Perú</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10,095</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371</w:t>
            </w:r>
          </w:p>
        </w:tc>
        <w:tc>
          <w:tcPr>
            <w:tcW w:w="120" w:type="dxa"/>
            <w:vAlign w:val="bottom"/>
          </w:tcPr>
          <w:p>
            <w:pPr>
              <w:spacing w:after="0"/>
              <w:rPr>
                <w:sz w:val="11"/>
                <w:szCs w:val="11"/>
                <w:color w:val="auto"/>
              </w:rPr>
            </w:pPr>
          </w:p>
        </w:tc>
        <w:tc>
          <w:tcPr>
            <w:tcW w:w="90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5,300</w:t>
            </w:r>
          </w:p>
        </w:tc>
        <w:tc>
          <w:tcPr>
            <w:tcW w:w="7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2,927</w:t>
            </w:r>
          </w:p>
        </w:tc>
        <w:tc>
          <w:tcPr>
            <w:tcW w:w="9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(1,313)</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(261)</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(996)</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2,638</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286</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128,259</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114,543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Banco de Crédito de Bolivia</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616</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315</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119</w:t>
            </w:r>
          </w:p>
        </w:tc>
        <w:tc>
          <w:tcPr>
            <w:tcW w:w="9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(71)</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(11)</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(40)</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75</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9,118</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8,482</w:t>
            </w:r>
          </w:p>
        </w:tc>
        <w:tc>
          <w:tcPr>
            <w:tcW w:w="0" w:type="dxa"/>
            <w:vAlign w:val="bottom"/>
          </w:tcPr>
          <w:p>
            <w:pPr>
              <w:spacing w:after="0"/>
              <w:rPr>
                <w:sz w:val="1"/>
                <w:szCs w:val="1"/>
                <w:color w:val="auto"/>
              </w:rPr>
            </w:pPr>
          </w:p>
        </w:tc>
      </w:tr>
      <w:tr>
        <w:trPr>
          <w:trHeight w:val="130"/>
        </w:trPr>
        <w:tc>
          <w:tcPr>
            <w:tcW w:w="2100" w:type="dxa"/>
            <w:vAlign w:val="bottom"/>
            <w:gridSpan w:val="2"/>
          </w:tcPr>
          <w:p>
            <w:pPr>
              <w:spacing w:after="0" w:line="131" w:lineRule="exact"/>
              <w:rPr>
                <w:sz w:val="20"/>
                <w:szCs w:val="20"/>
                <w:color w:val="auto"/>
              </w:rPr>
            </w:pPr>
            <w:r>
              <w:rPr>
                <w:rFonts w:ascii="Arial" w:cs="Arial" w:eastAsia="Arial" w:hAnsi="Arial"/>
                <w:sz w:val="13"/>
                <w:szCs w:val="13"/>
                <w:color w:val="auto"/>
              </w:rPr>
              <w:t>Insurance and Pension funds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Insurance</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2,790</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423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1,369</w:t>
            </w: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(49)</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326</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56</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11,409</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8,560</w:t>
            </w: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Pension funds</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388</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72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387</w:t>
            </w:r>
          </w:p>
        </w:tc>
        <w:tc>
          <w:tcPr>
            <w:tcW w:w="200" w:type="dxa"/>
            <w:vAlign w:val="bottom"/>
          </w:tcPr>
          <w:p>
            <w:pPr>
              <w:spacing w:after="0"/>
              <w:rPr>
                <w:sz w:val="11"/>
                <w:szCs w:val="11"/>
                <w:color w:val="auto"/>
              </w:rPr>
            </w:pPr>
          </w:p>
        </w:tc>
        <w:tc>
          <w:tcPr>
            <w:tcW w:w="90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(23)</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(66)</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140</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10</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883</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264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Microfinance</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Mibanco</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2,337</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77</w:t>
            </w:r>
          </w:p>
        </w:tc>
        <w:tc>
          <w:tcPr>
            <w:tcW w:w="120" w:type="dxa"/>
            <w:vAlign w:val="bottom"/>
          </w:tcPr>
          <w:p>
            <w:pPr>
              <w:spacing w:after="0"/>
              <w:rPr>
                <w:sz w:val="11"/>
                <w:szCs w:val="11"/>
                <w:color w:val="auto"/>
              </w:rPr>
            </w:pPr>
          </w:p>
        </w:tc>
        <w:tc>
          <w:tcPr>
            <w:tcW w:w="90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1,829</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98</w:t>
            </w:r>
          </w:p>
        </w:tc>
        <w:tc>
          <w:tcPr>
            <w:tcW w:w="200" w:type="dxa"/>
            <w:vAlign w:val="bottom"/>
          </w:tcPr>
          <w:p>
            <w:pPr>
              <w:spacing w:after="0"/>
              <w:rPr>
                <w:sz w:val="11"/>
                <w:szCs w:val="11"/>
                <w:color w:val="auto"/>
              </w:rPr>
            </w:pPr>
          </w:p>
        </w:tc>
        <w:tc>
          <w:tcPr>
            <w:tcW w:w="9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(399)</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(49)</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(146)</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399</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44</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12,363</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10,666</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Edyficas S.A.S.</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30</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27</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(5)</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w:t>
            </w: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92</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100" w:type="dxa"/>
            <w:vAlign w:val="bottom"/>
            <w:gridSpan w:val="2"/>
          </w:tcPr>
          <w:p>
            <w:pPr>
              <w:spacing w:after="0" w:line="114" w:lineRule="exact"/>
              <w:rPr>
                <w:sz w:val="20"/>
                <w:szCs w:val="20"/>
                <w:color w:val="auto"/>
              </w:rPr>
            </w:pPr>
            <w:r>
              <w:rPr>
                <w:rFonts w:ascii="Arial" w:cs="Arial" w:eastAsia="Arial" w:hAnsi="Arial"/>
                <w:sz w:val="13"/>
                <w:szCs w:val="13"/>
                <w:color w:val="auto"/>
              </w:rPr>
              <w:t>Investment Banking and Wealth</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1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Management</w:t>
            </w:r>
          </w:p>
        </w:tc>
        <w:tc>
          <w:tcPr>
            <w:tcW w:w="7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906</w:t>
            </w:r>
          </w:p>
        </w:tc>
        <w:tc>
          <w:tcPr>
            <w:tcW w:w="8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(5)</w:t>
            </w: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135</w:t>
            </w:r>
          </w:p>
        </w:tc>
        <w:tc>
          <w:tcPr>
            <w:tcW w:w="1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658</w:t>
            </w:r>
          </w:p>
        </w:tc>
        <w:tc>
          <w:tcPr>
            <w:tcW w:w="200" w:type="dxa"/>
            <w:vAlign w:val="bottom"/>
          </w:tcPr>
          <w:p>
            <w:pPr>
              <w:spacing w:after="0"/>
              <w:rPr>
                <w:sz w:val="12"/>
                <w:szCs w:val="12"/>
                <w:color w:val="auto"/>
              </w:rPr>
            </w:pPr>
          </w:p>
        </w:tc>
        <w:tc>
          <w:tcPr>
            <w:tcW w:w="900" w:type="dxa"/>
            <w:vAlign w:val="bottom"/>
            <w:gridSpan w:val="2"/>
          </w:tcPr>
          <w:p>
            <w:pPr>
              <w:jc w:val="right"/>
              <w:ind w:right="158"/>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98"/>
              <w:spacing w:after="0" w:line="146" w:lineRule="exact"/>
              <w:rPr>
                <w:sz w:val="20"/>
                <w:szCs w:val="20"/>
                <w:color w:val="auto"/>
              </w:rPr>
            </w:pPr>
            <w:r>
              <w:rPr>
                <w:rFonts w:ascii="Arial" w:cs="Arial" w:eastAsia="Arial" w:hAnsi="Arial"/>
                <w:sz w:val="13"/>
                <w:szCs w:val="13"/>
                <w:color w:val="auto"/>
              </w:rPr>
              <w:t>(25)</w:t>
            </w:r>
          </w:p>
        </w:tc>
        <w:tc>
          <w:tcPr>
            <w:tcW w:w="720" w:type="dxa"/>
            <w:vAlign w:val="bottom"/>
            <w:gridSpan w:val="2"/>
          </w:tcPr>
          <w:p>
            <w:pPr>
              <w:jc w:val="right"/>
              <w:ind w:right="77"/>
              <w:spacing w:after="0" w:line="146" w:lineRule="exact"/>
              <w:rPr>
                <w:sz w:val="20"/>
                <w:szCs w:val="20"/>
                <w:color w:val="auto"/>
              </w:rPr>
            </w:pPr>
            <w:r>
              <w:rPr>
                <w:rFonts w:ascii="Arial" w:cs="Arial" w:eastAsia="Arial" w:hAnsi="Arial"/>
                <w:sz w:val="13"/>
                <w:szCs w:val="13"/>
                <w:color w:val="auto"/>
              </w:rPr>
              <w:t>(33)</w:t>
            </w:r>
          </w:p>
        </w:tc>
        <w:tc>
          <w:tcPr>
            <w:tcW w:w="7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252</w:t>
            </w:r>
          </w:p>
        </w:tc>
        <w:tc>
          <w:tcPr>
            <w:tcW w:w="9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7</w:t>
            </w:r>
          </w:p>
        </w:tc>
        <w:tc>
          <w:tcPr>
            <w:tcW w:w="7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10,389</w:t>
            </w: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8,730</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Other segments</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565</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77</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42</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535</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(1)</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(84)</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353</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2,781</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1,668</w:t>
            </w:r>
          </w:p>
        </w:tc>
        <w:tc>
          <w:tcPr>
            <w:tcW w:w="0" w:type="dxa"/>
            <w:vAlign w:val="bottom"/>
          </w:tcPr>
          <w:p>
            <w:pPr>
              <w:spacing w:after="0"/>
              <w:rPr>
                <w:sz w:val="1"/>
                <w:szCs w:val="1"/>
                <w:color w:val="auto"/>
              </w:rPr>
            </w:pPr>
          </w:p>
        </w:tc>
      </w:tr>
      <w:tr>
        <w:trPr>
          <w:trHeight w:val="142"/>
        </w:trPr>
        <w:tc>
          <w:tcPr>
            <w:tcW w:w="2100" w:type="dxa"/>
            <w:vAlign w:val="bottom"/>
            <w:gridSpan w:val="2"/>
          </w:tcPr>
          <w:p>
            <w:pPr>
              <w:spacing w:after="0" w:line="143" w:lineRule="exact"/>
              <w:rPr>
                <w:sz w:val="20"/>
                <w:szCs w:val="20"/>
                <w:color w:val="auto"/>
              </w:rPr>
            </w:pPr>
            <w:r>
              <w:rPr>
                <w:rFonts w:ascii="Arial" w:cs="Arial" w:eastAsia="Arial" w:hAnsi="Arial"/>
                <w:sz w:val="13"/>
                <w:szCs w:val="13"/>
                <w:color w:val="auto"/>
              </w:rPr>
              <w:t>Eliminations</w:t>
            </w:r>
          </w:p>
        </w:tc>
        <w:tc>
          <w:tcPr>
            <w:tcW w:w="7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(516)</w:t>
            </w:r>
          </w:p>
        </w:tc>
        <w:tc>
          <w:tcPr>
            <w:tcW w:w="90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(4,822)</w:t>
            </w: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(4,731)</w:t>
            </w:r>
          </w:p>
        </w:tc>
        <w:tc>
          <w:tcPr>
            <w:tcW w:w="0" w:type="dxa"/>
            <w:vAlign w:val="bottom"/>
          </w:tcPr>
          <w:p>
            <w:pPr>
              <w:spacing w:after="0"/>
              <w:rPr>
                <w:sz w:val="1"/>
                <w:szCs w:val="1"/>
                <w:color w:val="auto"/>
              </w:rPr>
            </w:pPr>
          </w:p>
        </w:tc>
      </w:tr>
      <w:tr>
        <w:trPr>
          <w:trHeight w:val="134"/>
        </w:trPr>
        <w:tc>
          <w:tcPr>
            <w:tcW w:w="210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consolidated</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17,727</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645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8,071</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5,578</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(1,789</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(420</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(1,393</w:t>
            </w:r>
          </w:p>
        </w:tc>
        <w:tc>
          <w:tcPr>
            <w:tcW w:w="200" w:type="dxa"/>
            <w:vAlign w:val="bottom"/>
            <w:tcBorders>
              <w:top w:val="single" w:sz="8" w:color="CCEEFF"/>
              <w:bottom w:val="single" w:sz="8" w:color="CCEEFF"/>
            </w:tcBorders>
            <w:shd w:val="clear" w:color="auto" w:fill="CCEEFF"/>
          </w:tcPr>
          <w:p>
            <w:pPr>
              <w:jc w:val="right"/>
              <w:ind w:right="77"/>
              <w:spacing w:after="0" w:line="134" w:lineRule="exact"/>
              <w:rPr>
                <w:sz w:val="20"/>
                <w:szCs w:val="20"/>
                <w:color w:val="auto"/>
              </w:rPr>
            </w:pPr>
            <w:r>
              <w:rPr>
                <w:rFonts w:ascii="Arial" w:cs="Arial" w:eastAsia="Arial" w:hAnsi="Arial"/>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4,182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416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170,472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148,219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81" w:hanging="396"/>
        <w:spacing w:after="0"/>
        <w:tabs>
          <w:tab w:leader="none" w:pos="681" w:val="left"/>
        </w:tabs>
        <w:numPr>
          <w:ilvl w:val="0"/>
          <w:numId w:val="147"/>
        </w:numPr>
        <w:rPr>
          <w:rFonts w:ascii="Arial" w:cs="Arial" w:eastAsia="Arial" w:hAnsi="Arial"/>
          <w:sz w:val="14"/>
          <w:szCs w:val="14"/>
          <w:color w:val="auto"/>
        </w:rPr>
      </w:pPr>
      <w:r>
        <w:rPr>
          <w:rFonts w:ascii="Arial" w:cs="Arial" w:eastAsia="Arial" w:hAnsi="Arial"/>
          <w:sz w:val="14"/>
          <w:szCs w:val="14"/>
          <w:color w:val="auto"/>
        </w:rPr>
        <w:t>Corresponds to total interest and similar income, other income (includes income and expenses on commissions) and net earned premiums from insurance activities.</w:t>
      </w:r>
    </w:p>
    <w:p>
      <w:pPr>
        <w:spacing w:after="0" w:line="40" w:lineRule="exact"/>
        <w:rPr>
          <w:sz w:val="20"/>
          <w:szCs w:val="20"/>
          <w:color w:val="auto"/>
        </w:rPr>
      </w:pPr>
    </w:p>
    <w:p>
      <w:pPr>
        <w:ind w:left="281"/>
        <w:spacing w:after="0"/>
        <w:tabs>
          <w:tab w:leader="none" w:pos="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Corresponds to income derived from transactions with other segments, which were eliminated in the consolidated statement of income.</w:t>
      </w:r>
    </w:p>
    <w:p>
      <w:pPr>
        <w:spacing w:after="0" w:line="6" w:lineRule="exact"/>
        <w:rPr>
          <w:sz w:val="20"/>
          <w:szCs w:val="20"/>
          <w:color w:val="auto"/>
        </w:rPr>
      </w:pPr>
    </w:p>
    <w:p>
      <w:pPr>
        <w:ind w:left="681" w:right="180" w:hanging="396"/>
        <w:spacing w:after="0" w:line="254" w:lineRule="auto"/>
        <w:tabs>
          <w:tab w:leader="none" w:pos="68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Corresponds to income for commissions received and other income (include income and expenses for commissions) and the profits arising from the collection of premiums less claims for loss coverage from insurance activities.</w:t>
      </w:r>
    </w:p>
    <w:p>
      <w:pPr>
        <w:spacing w:after="0" w:line="358" w:lineRule="exact"/>
        <w:rPr>
          <w:rFonts w:ascii="Arial" w:cs="Arial" w:eastAsia="Arial" w:hAnsi="Arial"/>
          <w:sz w:val="16"/>
          <w:szCs w:val="16"/>
          <w:color w:val="auto"/>
        </w:rPr>
      </w:pPr>
    </w:p>
    <w:p>
      <w:pPr>
        <w:ind w:left="5321" w:hanging="88"/>
        <w:spacing w:after="0"/>
        <w:tabs>
          <w:tab w:leader="none" w:pos="532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041"/>
          </w:cols>
          <w:pgMar w:left="519" w:top="814" w:right="339" w:bottom="1440" w:gutter="0" w:footer="0" w:header="0"/>
        </w:sectPr>
      </w:pPr>
    </w:p>
    <w:bookmarkStart w:id="125" w:name="page126"/>
    <w:bookmarkEnd w:id="125"/>
    <w:tbl>
      <w:tblPr>
        <w:tblLayout w:type="fixed"/>
        <w:tblInd w:w="281" w:type="dxa"/>
        <w:tblCellMar>
          <w:top w:w="0" w:type="dxa"/>
          <w:left w:w="0" w:type="dxa"/>
          <w:bottom w:w="0" w:type="dxa"/>
          <w:right w:w="0" w:type="dxa"/>
        </w:tblCellMar>
      </w:tblPr>
      <w:tr>
        <w:trPr>
          <w:trHeight w:val="150"/>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ind w:left="420"/>
              <w:spacing w:after="0"/>
              <w:rPr>
                <w:sz w:val="20"/>
                <w:szCs w:val="20"/>
                <w:color w:val="auto"/>
              </w:rPr>
            </w:pPr>
            <w:r>
              <w:rPr>
                <w:rFonts w:ascii="Arial" w:cs="Arial" w:eastAsia="Arial" w:hAnsi="Arial"/>
                <w:sz w:val="13"/>
                <w:szCs w:val="13"/>
                <w:b w:val="1"/>
                <w:bCs w:val="1"/>
                <w:color w:val="auto"/>
              </w:rPr>
              <w:t>Income (*)</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7"/>
              </w:rPr>
              <w:t>Net interest,</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ind w:right="158"/>
              <w:spacing w:after="0"/>
              <w:rPr>
                <w:sz w:val="20"/>
                <w:szCs w:val="20"/>
                <w:color w:val="auto"/>
              </w:rPr>
            </w:pPr>
            <w:r>
              <w:rPr>
                <w:rFonts w:ascii="Arial" w:cs="Arial" w:eastAsia="Arial" w:hAnsi="Arial"/>
                <w:sz w:val="13"/>
                <w:szCs w:val="13"/>
                <w:b w:val="1"/>
                <w:bCs w:val="1"/>
                <w:color w:val="auto"/>
                <w:w w:val="87"/>
              </w:rPr>
              <w:t>Provision for</w:t>
            </w: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900" w:type="dxa"/>
            <w:vAlign w:val="bottom"/>
            <w:gridSpan w:val="2"/>
            <w:vMerge w:val="continue"/>
          </w:tcPr>
          <w:p>
            <w:pPr>
              <w:spacing w:after="0"/>
              <w:rPr>
                <w:sz w:val="11"/>
                <w:szCs w:val="11"/>
                <w:color w:val="auto"/>
              </w:rPr>
            </w:pPr>
          </w:p>
        </w:tc>
        <w:tc>
          <w:tcPr>
            <w:tcW w:w="86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6"/>
              </w:rPr>
              <w:t>Depreciation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expenditures,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From other</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0"/>
              </w:rPr>
              <w:t>similar</w:t>
            </w: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178"/>
              <w:spacing w:after="0" w:line="131" w:lineRule="exact"/>
              <w:rPr>
                <w:sz w:val="20"/>
                <w:szCs w:val="20"/>
                <w:color w:val="auto"/>
              </w:rPr>
            </w:pPr>
            <w:r>
              <w:rPr>
                <w:rFonts w:ascii="Arial" w:cs="Arial" w:eastAsia="Arial" w:hAnsi="Arial"/>
                <w:sz w:val="13"/>
                <w:szCs w:val="13"/>
                <w:b w:val="1"/>
                <w:bCs w:val="1"/>
                <w:color w:val="auto"/>
                <w:w w:val="80"/>
              </w:rPr>
              <w:t>credit losses</w:t>
            </w:r>
          </w:p>
        </w:tc>
        <w:tc>
          <w:tcPr>
            <w:tcW w:w="860" w:type="dxa"/>
            <w:vAlign w:val="bottom"/>
            <w:gridSpan w:val="2"/>
            <w:vMerge w:val="continue"/>
          </w:tcPr>
          <w:p>
            <w:pPr>
              <w:spacing w:after="0"/>
              <w:rPr>
                <w:sz w:val="11"/>
                <w:szCs w:val="11"/>
                <w:color w:val="auto"/>
              </w:rPr>
            </w:pPr>
          </w:p>
        </w:tc>
        <w:tc>
          <w:tcPr>
            <w:tcW w:w="720" w:type="dxa"/>
            <w:vAlign w:val="bottom"/>
            <w:gridSpan w:val="2"/>
            <w:vMerge w:val="restart"/>
          </w:tcPr>
          <w:p>
            <w:pPr>
              <w:jc w:val="right"/>
              <w:ind w:right="197"/>
              <w:spacing w:after="0"/>
              <w:rPr>
                <w:sz w:val="20"/>
                <w:szCs w:val="20"/>
                <w:color w:val="auto"/>
              </w:rPr>
            </w:pPr>
            <w:r>
              <w:rPr>
                <w:rFonts w:ascii="Arial" w:cs="Arial" w:eastAsia="Arial" w:hAnsi="Arial"/>
                <w:sz w:val="13"/>
                <w:szCs w:val="13"/>
                <w:b w:val="1"/>
                <w:bCs w:val="1"/>
                <w:color w:val="auto"/>
                <w:w w:val="96"/>
              </w:rPr>
              <w:t>Income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intangible</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1"/>
                <w:szCs w:val="1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3"/>
              </w:rPr>
              <w:t>External</w:t>
            </w: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5"/>
              </w:rPr>
              <w:t>income and</w:t>
            </w:r>
          </w:p>
        </w:tc>
        <w:tc>
          <w:tcPr>
            <w:tcW w:w="7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income,</w:t>
            </w:r>
          </w:p>
        </w:tc>
        <w:tc>
          <w:tcPr>
            <w:tcW w:w="900" w:type="dxa"/>
            <w:vAlign w:val="bottom"/>
            <w:gridSpan w:val="2"/>
          </w:tcPr>
          <w:p>
            <w:pPr>
              <w:jc w:val="center"/>
              <w:ind w:right="178"/>
              <w:spacing w:after="0" w:line="131" w:lineRule="exact"/>
              <w:rPr>
                <w:sz w:val="20"/>
                <w:szCs w:val="20"/>
                <w:color w:val="auto"/>
              </w:rPr>
            </w:pPr>
            <w:r>
              <w:rPr>
                <w:rFonts w:ascii="Arial" w:cs="Arial" w:eastAsia="Arial" w:hAnsi="Arial"/>
                <w:sz w:val="13"/>
                <w:szCs w:val="13"/>
                <w:b w:val="1"/>
                <w:bCs w:val="1"/>
                <w:color w:val="auto"/>
                <w:w w:val="86"/>
              </w:rPr>
              <w:t>on loan</w:t>
            </w:r>
          </w:p>
        </w:tc>
        <w:tc>
          <w:tcPr>
            <w:tcW w:w="860" w:type="dxa"/>
            <w:vAlign w:val="bottom"/>
            <w:gridSpan w:val="2"/>
          </w:tcPr>
          <w:p>
            <w:pPr>
              <w:jc w:val="center"/>
              <w:ind w:right="138"/>
              <w:spacing w:after="0" w:line="131" w:lineRule="exact"/>
              <w:rPr>
                <w:sz w:val="20"/>
                <w:szCs w:val="20"/>
                <w:color w:val="auto"/>
              </w:rPr>
            </w:pPr>
            <w:r>
              <w:rPr>
                <w:rFonts w:ascii="Arial" w:cs="Arial" w:eastAsia="Arial" w:hAnsi="Arial"/>
                <w:sz w:val="13"/>
                <w:szCs w:val="13"/>
                <w:b w:val="1"/>
                <w:bCs w:val="1"/>
                <w:color w:val="auto"/>
                <w:w w:val="86"/>
              </w:rPr>
              <w:t>and</w:t>
            </w:r>
          </w:p>
        </w:tc>
        <w:tc>
          <w:tcPr>
            <w:tcW w:w="720" w:type="dxa"/>
            <w:vAlign w:val="bottom"/>
            <w:gridSpan w:val="2"/>
            <w:vMerge w:val="continue"/>
          </w:tcPr>
          <w:p>
            <w:pPr>
              <w:spacing w:after="0"/>
              <w:rPr>
                <w:sz w:val="11"/>
                <w:szCs w:val="11"/>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6"/>
              </w:rPr>
              <w:t>Net profit</w:t>
            </w: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78"/>
              </w:rPr>
              <w:t>assets</w:t>
            </w:r>
          </w:p>
        </w:tc>
        <w:tc>
          <w:tcPr>
            <w:tcW w:w="7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segments (**)</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7"/>
              </w:rPr>
              <w:t>expenses</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net (***)</w:t>
            </w:r>
          </w:p>
        </w:tc>
        <w:tc>
          <w:tcPr>
            <w:tcW w:w="90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7"/>
              </w:rPr>
              <w:t>portfolio</w:t>
            </w:r>
          </w:p>
        </w:tc>
        <w:tc>
          <w:tcPr>
            <w:tcW w:w="8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7"/>
              </w:rPr>
              <w:t>amortization</w:t>
            </w:r>
          </w:p>
        </w:tc>
        <w:tc>
          <w:tcPr>
            <w:tcW w:w="72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tax</w:t>
            </w:r>
          </w:p>
        </w:tc>
        <w:tc>
          <w:tcPr>
            <w:tcW w:w="720" w:type="dxa"/>
            <w:vAlign w:val="bottom"/>
            <w:gridSpan w:val="2"/>
            <w:vMerge w:val="continue"/>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and goodwill</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8"/>
              </w:rPr>
              <w:t>assets</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22"/>
        </w:trPr>
        <w:tc>
          <w:tcPr>
            <w:tcW w:w="20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3"/>
                <w:szCs w:val="13"/>
                <w:color w:val="auto"/>
              </w:rPr>
              <w:t>Universal Banking</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Banco de Crédito del Perú</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10,582</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297</w:t>
            </w:r>
          </w:p>
        </w:tc>
        <w:tc>
          <w:tcPr>
            <w:tcW w:w="100" w:type="dxa"/>
            <w:vAlign w:val="bottom"/>
          </w:tcPr>
          <w:p>
            <w:pPr>
              <w:spacing w:after="0"/>
              <w:rPr>
                <w:sz w:val="11"/>
                <w:szCs w:val="11"/>
                <w:color w:val="auto"/>
              </w:rPr>
            </w:pPr>
          </w:p>
        </w:tc>
        <w:tc>
          <w:tcPr>
            <w:tcW w:w="92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5,334</w:t>
            </w:r>
          </w:p>
        </w:tc>
        <w:tc>
          <w:tcPr>
            <w:tcW w:w="7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3,120</w:t>
            </w:r>
          </w:p>
        </w:tc>
        <w:tc>
          <w:tcPr>
            <w:tcW w:w="9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(1,454)</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(248)</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(885)</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2,586</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265</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117,329</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105,107</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Banco de Crédito de Bolivia</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532</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299</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111</w:t>
            </w:r>
          </w:p>
        </w:tc>
        <w:tc>
          <w:tcPr>
            <w:tcW w:w="9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(50)</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(12)</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(50)</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81</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7,949</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7,329</w:t>
            </w:r>
          </w:p>
        </w:tc>
        <w:tc>
          <w:tcPr>
            <w:tcW w:w="0" w:type="dxa"/>
            <w:vAlign w:val="bottom"/>
          </w:tcPr>
          <w:p>
            <w:pPr>
              <w:spacing w:after="0"/>
              <w:rPr>
                <w:sz w:val="1"/>
                <w:szCs w:val="1"/>
                <w:color w:val="auto"/>
              </w:rPr>
            </w:pPr>
          </w:p>
        </w:tc>
      </w:tr>
      <w:tr>
        <w:trPr>
          <w:trHeight w:val="130"/>
        </w:trPr>
        <w:tc>
          <w:tcPr>
            <w:tcW w:w="2100" w:type="dxa"/>
            <w:vAlign w:val="bottom"/>
            <w:gridSpan w:val="2"/>
          </w:tcPr>
          <w:p>
            <w:pPr>
              <w:spacing w:after="0" w:line="131" w:lineRule="exact"/>
              <w:rPr>
                <w:sz w:val="20"/>
                <w:szCs w:val="20"/>
                <w:color w:val="auto"/>
              </w:rPr>
            </w:pPr>
            <w:r>
              <w:rPr>
                <w:rFonts w:ascii="Arial" w:cs="Arial" w:eastAsia="Arial" w:hAnsi="Arial"/>
                <w:sz w:val="13"/>
                <w:szCs w:val="13"/>
                <w:color w:val="auto"/>
              </w:rPr>
              <w:t>Insurance and Pension funds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Insurance</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2,160</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393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983</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(45)</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(51)</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303</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48</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10,200</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7,826</w:t>
            </w: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Pension funds</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399</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7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407</w:t>
            </w:r>
          </w:p>
        </w:tc>
        <w:tc>
          <w:tcPr>
            <w:tcW w:w="200" w:type="dxa"/>
            <w:vAlign w:val="bottom"/>
          </w:tcPr>
          <w:p>
            <w:pPr>
              <w:spacing w:after="0"/>
              <w:rPr>
                <w:sz w:val="11"/>
                <w:szCs w:val="11"/>
                <w:color w:val="auto"/>
              </w:rPr>
            </w:pPr>
          </w:p>
        </w:tc>
        <w:tc>
          <w:tcPr>
            <w:tcW w:w="90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(21)</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(70)</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156</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8</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884</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278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Microfinance</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Mibanco</w:t>
            </w:r>
          </w:p>
        </w:tc>
        <w:tc>
          <w:tcPr>
            <w:tcW w:w="7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2,045</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1"/>
                <w:szCs w:val="11"/>
                <w:color w:val="auto"/>
              </w:rPr>
            </w:pPr>
          </w:p>
        </w:tc>
        <w:tc>
          <w:tcPr>
            <w:tcW w:w="92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1,628</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46</w:t>
            </w:r>
          </w:p>
        </w:tc>
        <w:tc>
          <w:tcPr>
            <w:tcW w:w="200" w:type="dxa"/>
            <w:vAlign w:val="bottom"/>
          </w:tcPr>
          <w:p>
            <w:pPr>
              <w:spacing w:after="0"/>
              <w:rPr>
                <w:sz w:val="11"/>
                <w:szCs w:val="11"/>
                <w:color w:val="auto"/>
              </w:rPr>
            </w:pPr>
          </w:p>
        </w:tc>
        <w:tc>
          <w:tcPr>
            <w:tcW w:w="9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(274)</w:t>
            </w:r>
          </w:p>
        </w:tc>
        <w:tc>
          <w:tcPr>
            <w:tcW w:w="8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(55)</w:t>
            </w:r>
          </w:p>
        </w:tc>
        <w:tc>
          <w:tcPr>
            <w:tcW w:w="720" w:type="dxa"/>
            <w:vAlign w:val="bottom"/>
            <w:gridSpan w:val="2"/>
          </w:tcPr>
          <w:p>
            <w:pPr>
              <w:jc w:val="right"/>
              <w:ind w:right="77"/>
              <w:spacing w:after="0" w:line="131"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333</w:t>
            </w:r>
          </w:p>
        </w:tc>
        <w:tc>
          <w:tcPr>
            <w:tcW w:w="92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39</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11,235</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9,658</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Edyficas S.A.S.</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25</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(7)</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w:t>
            </w: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77</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100" w:type="dxa"/>
            <w:vAlign w:val="bottom"/>
            <w:gridSpan w:val="2"/>
          </w:tcPr>
          <w:p>
            <w:pPr>
              <w:spacing w:after="0" w:line="114" w:lineRule="exact"/>
              <w:rPr>
                <w:sz w:val="20"/>
                <w:szCs w:val="20"/>
                <w:color w:val="auto"/>
              </w:rPr>
            </w:pPr>
            <w:r>
              <w:rPr>
                <w:rFonts w:ascii="Arial" w:cs="Arial" w:eastAsia="Arial" w:hAnsi="Arial"/>
                <w:sz w:val="13"/>
                <w:szCs w:val="13"/>
                <w:color w:val="auto"/>
              </w:rPr>
              <w:t>Investment Banking and Wealth</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1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Management</w:t>
            </w:r>
          </w:p>
        </w:tc>
        <w:tc>
          <w:tcPr>
            <w:tcW w:w="7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873</w:t>
            </w: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2"/>
                <w:szCs w:val="12"/>
                <w:color w:val="auto"/>
              </w:rPr>
            </w:pPr>
          </w:p>
        </w:tc>
        <w:tc>
          <w:tcPr>
            <w:tcW w:w="7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149</w:t>
            </w:r>
          </w:p>
        </w:tc>
        <w:tc>
          <w:tcPr>
            <w:tcW w:w="1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592</w:t>
            </w:r>
          </w:p>
        </w:tc>
        <w:tc>
          <w:tcPr>
            <w:tcW w:w="200" w:type="dxa"/>
            <w:vAlign w:val="bottom"/>
          </w:tcPr>
          <w:p>
            <w:pPr>
              <w:spacing w:after="0"/>
              <w:rPr>
                <w:sz w:val="12"/>
                <w:szCs w:val="12"/>
                <w:color w:val="auto"/>
              </w:rPr>
            </w:pPr>
          </w:p>
        </w:tc>
        <w:tc>
          <w:tcPr>
            <w:tcW w:w="900" w:type="dxa"/>
            <w:vAlign w:val="bottom"/>
            <w:gridSpan w:val="2"/>
          </w:tcPr>
          <w:p>
            <w:pPr>
              <w:jc w:val="right"/>
              <w:ind w:right="158"/>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98"/>
              <w:spacing w:after="0" w:line="146" w:lineRule="exact"/>
              <w:rPr>
                <w:sz w:val="20"/>
                <w:szCs w:val="20"/>
                <w:color w:val="auto"/>
              </w:rPr>
            </w:pPr>
            <w:r>
              <w:rPr>
                <w:rFonts w:ascii="Arial" w:cs="Arial" w:eastAsia="Arial" w:hAnsi="Arial"/>
                <w:sz w:val="13"/>
                <w:szCs w:val="13"/>
                <w:color w:val="auto"/>
              </w:rPr>
              <w:t>(24)</w:t>
            </w:r>
          </w:p>
        </w:tc>
        <w:tc>
          <w:tcPr>
            <w:tcW w:w="720" w:type="dxa"/>
            <w:vAlign w:val="bottom"/>
            <w:gridSpan w:val="2"/>
          </w:tcPr>
          <w:p>
            <w:pPr>
              <w:jc w:val="right"/>
              <w:ind w:right="77"/>
              <w:spacing w:after="0" w:line="146" w:lineRule="exact"/>
              <w:rPr>
                <w:sz w:val="20"/>
                <w:szCs w:val="20"/>
                <w:color w:val="auto"/>
              </w:rPr>
            </w:pPr>
            <w:r>
              <w:rPr>
                <w:rFonts w:ascii="Arial" w:cs="Arial" w:eastAsia="Arial" w:hAnsi="Arial"/>
                <w:sz w:val="13"/>
                <w:szCs w:val="13"/>
                <w:color w:val="auto"/>
              </w:rPr>
              <w:t>(31)</w:t>
            </w:r>
          </w:p>
        </w:tc>
        <w:tc>
          <w:tcPr>
            <w:tcW w:w="7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247</w:t>
            </w:r>
          </w:p>
        </w:tc>
        <w:tc>
          <w:tcPr>
            <w:tcW w:w="92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9</w:t>
            </w:r>
          </w:p>
        </w:tc>
        <w:tc>
          <w:tcPr>
            <w:tcW w:w="7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9,910</w:t>
            </w: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8,244</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Other segments</w:t>
            </w:r>
          </w:p>
        </w:tc>
        <w:tc>
          <w:tcPr>
            <w:tcW w:w="7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189</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60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77"/>
              <w:spacing w:after="0" w:line="131" w:lineRule="exact"/>
              <w:rPr>
                <w:sz w:val="20"/>
                <w:szCs w:val="20"/>
                <w:color w:val="auto"/>
              </w:rPr>
            </w:pPr>
            <w:r>
              <w:rPr>
                <w:rFonts w:ascii="Arial" w:cs="Arial" w:eastAsia="Arial" w:hAnsi="Arial"/>
                <w:sz w:val="13"/>
                <w:szCs w:val="13"/>
                <w:color w:val="auto"/>
              </w:rPr>
              <w:t>(94)</w:t>
            </w:r>
          </w:p>
        </w:tc>
        <w:tc>
          <w:tcPr>
            <w:tcW w:w="7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(94)</w:t>
            </w: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w:t>
            </w:r>
          </w:p>
        </w:tc>
        <w:tc>
          <w:tcPr>
            <w:tcW w:w="7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3,313</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2,256</w:t>
            </w:r>
          </w:p>
        </w:tc>
        <w:tc>
          <w:tcPr>
            <w:tcW w:w="0" w:type="dxa"/>
            <w:vAlign w:val="bottom"/>
          </w:tcPr>
          <w:p>
            <w:pPr>
              <w:spacing w:after="0"/>
              <w:rPr>
                <w:sz w:val="1"/>
                <w:szCs w:val="1"/>
                <w:color w:val="auto"/>
              </w:rPr>
            </w:pPr>
          </w:p>
        </w:tc>
      </w:tr>
      <w:tr>
        <w:trPr>
          <w:trHeight w:val="142"/>
        </w:trPr>
        <w:tc>
          <w:tcPr>
            <w:tcW w:w="2100" w:type="dxa"/>
            <w:vAlign w:val="bottom"/>
            <w:gridSpan w:val="2"/>
          </w:tcPr>
          <w:p>
            <w:pPr>
              <w:spacing w:after="0" w:line="143" w:lineRule="exact"/>
              <w:rPr>
                <w:sz w:val="20"/>
                <w:szCs w:val="20"/>
                <w:color w:val="auto"/>
              </w:rPr>
            </w:pPr>
            <w:r>
              <w:rPr>
                <w:rFonts w:ascii="Arial" w:cs="Arial" w:eastAsia="Arial" w:hAnsi="Arial"/>
                <w:sz w:val="13"/>
                <w:szCs w:val="13"/>
                <w:color w:val="auto"/>
              </w:rPr>
              <w:t>Eliminations</w:t>
            </w:r>
          </w:p>
        </w:tc>
        <w:tc>
          <w:tcPr>
            <w:tcW w:w="7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(29)</w:t>
            </w:r>
          </w:p>
        </w:tc>
        <w:tc>
          <w:tcPr>
            <w:tcW w:w="7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(378)</w:t>
            </w:r>
          </w:p>
        </w:tc>
        <w:tc>
          <w:tcPr>
            <w:tcW w:w="90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(4,462)</w:t>
            </w: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(4,397)</w:t>
            </w:r>
          </w:p>
        </w:tc>
        <w:tc>
          <w:tcPr>
            <w:tcW w:w="0" w:type="dxa"/>
            <w:vAlign w:val="bottom"/>
          </w:tcPr>
          <w:p>
            <w:pPr>
              <w:spacing w:after="0"/>
              <w:rPr>
                <w:sz w:val="1"/>
                <w:szCs w:val="1"/>
                <w:color w:val="auto"/>
              </w:rPr>
            </w:pPr>
          </w:p>
        </w:tc>
      </w:tr>
      <w:tr>
        <w:trPr>
          <w:trHeight w:val="134"/>
        </w:trPr>
        <w:tc>
          <w:tcPr>
            <w:tcW w:w="210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consolidated</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16,805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589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7,858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4,933</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(1,785</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(407</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(1,281</w:t>
            </w:r>
          </w:p>
        </w:tc>
        <w:tc>
          <w:tcPr>
            <w:tcW w:w="200" w:type="dxa"/>
            <w:vAlign w:val="bottom"/>
            <w:tcBorders>
              <w:top w:val="single" w:sz="8" w:color="CCEEFF"/>
              <w:bottom w:val="single" w:sz="8" w:color="CCEEFF"/>
            </w:tcBorders>
            <w:shd w:val="clear" w:color="auto" w:fill="CCEEFF"/>
          </w:tcPr>
          <w:p>
            <w:pPr>
              <w:jc w:val="right"/>
              <w:ind w:right="77"/>
              <w:spacing w:after="0" w:line="134" w:lineRule="exact"/>
              <w:rPr>
                <w:sz w:val="20"/>
                <w:szCs w:val="20"/>
                <w:color w:val="auto"/>
              </w:rPr>
            </w:pPr>
            <w:r>
              <w:rPr>
                <w:rFonts w:ascii="Arial" w:cs="Arial" w:eastAsia="Arial" w:hAnsi="Arial"/>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3,610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387</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156,435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136,319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81" w:hanging="396"/>
        <w:spacing w:after="0"/>
        <w:tabs>
          <w:tab w:leader="none" w:pos="681" w:val="left"/>
        </w:tabs>
        <w:numPr>
          <w:ilvl w:val="0"/>
          <w:numId w:val="149"/>
        </w:numPr>
        <w:rPr>
          <w:rFonts w:ascii="Arial" w:cs="Arial" w:eastAsia="Arial" w:hAnsi="Arial"/>
          <w:sz w:val="14"/>
          <w:szCs w:val="14"/>
          <w:color w:val="auto"/>
        </w:rPr>
      </w:pPr>
      <w:r>
        <w:rPr>
          <w:rFonts w:ascii="Arial" w:cs="Arial" w:eastAsia="Arial" w:hAnsi="Arial"/>
          <w:sz w:val="14"/>
          <w:szCs w:val="14"/>
          <w:color w:val="auto"/>
        </w:rPr>
        <w:t>Corresponds to total interest and similar income, other income (includes income and expenses on commissions) and net earned premiums from insurance activities.</w:t>
      </w:r>
    </w:p>
    <w:p>
      <w:pPr>
        <w:spacing w:after="0" w:line="40" w:lineRule="exact"/>
        <w:rPr>
          <w:sz w:val="20"/>
          <w:szCs w:val="20"/>
          <w:color w:val="auto"/>
        </w:rPr>
      </w:pPr>
    </w:p>
    <w:p>
      <w:pPr>
        <w:ind w:left="281"/>
        <w:spacing w:after="0"/>
        <w:tabs>
          <w:tab w:leader="none" w:pos="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Corresponds to income derived from transactions with other segments, which were eliminated in the consolidated statement of income.</w:t>
      </w:r>
    </w:p>
    <w:p>
      <w:pPr>
        <w:spacing w:after="0" w:line="6" w:lineRule="exact"/>
        <w:rPr>
          <w:sz w:val="20"/>
          <w:szCs w:val="20"/>
          <w:color w:val="auto"/>
        </w:rPr>
      </w:pPr>
    </w:p>
    <w:p>
      <w:pPr>
        <w:ind w:left="681" w:right="240" w:hanging="396"/>
        <w:spacing w:after="0" w:line="254" w:lineRule="auto"/>
        <w:tabs>
          <w:tab w:leader="none" w:pos="68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Corresponds to income for commissions received and other income (include income and expenses for commissions) and the profits arising from the collection of premiums less claims for loss coverage from insurance activities.</w:t>
      </w:r>
    </w:p>
    <w:p>
      <w:pPr>
        <w:spacing w:after="0" w:line="168" w:lineRule="exact"/>
        <w:rPr>
          <w:rFonts w:ascii="Arial" w:cs="Arial" w:eastAsia="Arial" w:hAnsi="Arial"/>
          <w:sz w:val="16"/>
          <w:szCs w:val="16"/>
          <w:color w:val="auto"/>
        </w:rPr>
      </w:pPr>
    </w:p>
    <w:p>
      <w:pPr>
        <w:ind w:left="281" w:hanging="281"/>
        <w:spacing w:after="0" w:line="269" w:lineRule="auto"/>
        <w:tabs>
          <w:tab w:leader="none" w:pos="28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following table presents (in millions of soles) the distribution of the external revenue, operating revenue and non-current assets of the Group; all assigned based on the location of the clients and assets, respectively, at December 31, 2018, 2017 and 2016:</w:t>
      </w:r>
    </w:p>
    <w:p>
      <w:pPr>
        <w:spacing w:after="0" w:line="161"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3"/>
                <w:szCs w:val="13"/>
                <w:b w:val="1"/>
                <w:bCs w:val="1"/>
                <w:color w:val="auto"/>
              </w:rPr>
              <w:t>2016</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1"/>
              </w:rPr>
              <w:t>Operating</w:t>
            </w:r>
          </w:p>
        </w:tc>
        <w:tc>
          <w:tcPr>
            <w:tcW w:w="80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rPr>
              <w:t>Total non</w:t>
            </w: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3"/>
              </w:rPr>
              <w:t>Total</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1"/>
              </w:rPr>
              <w:t>Operating</w:t>
            </w:r>
          </w:p>
        </w:tc>
        <w:tc>
          <w:tcPr>
            <w:tcW w:w="80" w:type="dxa"/>
            <w:vAlign w:val="bottom"/>
          </w:tcPr>
          <w:p>
            <w:pPr>
              <w:spacing w:after="0"/>
              <w:rPr>
                <w:sz w:val="8"/>
                <w:szCs w:val="8"/>
                <w:color w:val="auto"/>
              </w:rPr>
            </w:pPr>
          </w:p>
        </w:tc>
        <w:tc>
          <w:tcPr>
            <w:tcW w:w="78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rPr>
              <w:t>Total non</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8"/>
                <w:szCs w:val="8"/>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1"/>
              </w:rPr>
              <w:t>Operating</w:t>
            </w:r>
          </w:p>
        </w:tc>
        <w:tc>
          <w:tcPr>
            <w:tcW w:w="80" w:type="dxa"/>
            <w:vAlign w:val="bottom"/>
          </w:tcPr>
          <w:p>
            <w:pPr>
              <w:spacing w:after="0"/>
              <w:rPr>
                <w:sz w:val="8"/>
                <w:szCs w:val="8"/>
                <w:color w:val="auto"/>
              </w:rPr>
            </w:pPr>
          </w:p>
        </w:tc>
        <w:tc>
          <w:tcPr>
            <w:tcW w:w="78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rPr>
              <w:t>Total non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3"/>
              </w:rPr>
              <w:t>current</w:t>
            </w:r>
          </w:p>
        </w:tc>
        <w:tc>
          <w:tcPr>
            <w:tcW w:w="7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9"/>
              </w:rPr>
              <w:t>current</w:t>
            </w: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9"/>
              </w:rPr>
              <w:t>current</w:t>
            </w: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income (*)</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1"/>
              </w:rPr>
              <w:t>income (**)</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assets (***)</w:t>
            </w: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liabilities</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income (*)</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8"/>
              </w:rPr>
              <w:t>income (**)</w:t>
            </w: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assets (***)</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liabilities</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income (*)</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8"/>
              </w:rPr>
              <w:t>income (**)</w:t>
            </w: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assets (***)</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22"/>
        </w:trPr>
        <w:tc>
          <w:tcPr>
            <w:tcW w:w="14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color w:val="auto"/>
              </w:rPr>
              <w:t>Peru</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16,633</w:t>
            </w: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8,913</w:t>
            </w: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3,102</w:t>
            </w: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135,422</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13,234</w:t>
            </w: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8,199</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2,976</w:t>
            </w: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130,953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15,087</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8,051</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2,994</w:t>
            </w: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119,813</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line="131" w:lineRule="exact"/>
              <w:rPr>
                <w:sz w:val="20"/>
                <w:szCs w:val="20"/>
                <w:color w:val="auto"/>
              </w:rPr>
            </w:pPr>
            <w:r>
              <w:rPr>
                <w:rFonts w:ascii="Arial" w:cs="Arial" w:eastAsia="Arial" w:hAnsi="Arial"/>
                <w:sz w:val="13"/>
                <w:szCs w:val="13"/>
                <w:color w:val="auto"/>
              </w:rPr>
              <w:t>Bermuda</w:t>
            </w:r>
          </w:p>
        </w:tc>
        <w:tc>
          <w:tcPr>
            <w:tcW w:w="92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13</w:t>
            </w:r>
          </w:p>
        </w:tc>
        <w:tc>
          <w:tcPr>
            <w:tcW w:w="8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14</w:t>
            </w:r>
          </w:p>
        </w:tc>
        <w:tc>
          <w:tcPr>
            <w:tcW w:w="8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88</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169</w:t>
            </w:r>
          </w:p>
        </w:tc>
        <w:tc>
          <w:tcPr>
            <w:tcW w:w="7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2,708</w:t>
            </w:r>
          </w:p>
        </w:tc>
        <w:tc>
          <w:tcPr>
            <w:tcW w:w="7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37</w:t>
            </w:r>
          </w:p>
        </w:tc>
        <w:tc>
          <w:tcPr>
            <w:tcW w:w="86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121</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933</w:t>
            </w:r>
          </w:p>
        </w:tc>
        <w:tc>
          <w:tcPr>
            <w:tcW w:w="840" w:type="dxa"/>
            <w:vAlign w:val="bottom"/>
            <w:gridSpan w:val="3"/>
          </w:tcPr>
          <w:p>
            <w:pPr>
              <w:jc w:val="right"/>
              <w:ind w:right="200"/>
              <w:spacing w:after="0" w:line="131" w:lineRule="exact"/>
              <w:rPr>
                <w:sz w:val="20"/>
                <w:szCs w:val="20"/>
                <w:color w:val="auto"/>
              </w:rPr>
            </w:pPr>
            <w:r>
              <w:rPr>
                <w:rFonts w:ascii="Arial" w:cs="Arial" w:eastAsia="Arial" w:hAnsi="Arial"/>
                <w:sz w:val="13"/>
                <w:szCs w:val="13"/>
                <w:color w:val="auto"/>
              </w:rPr>
              <w:t>152</w:t>
            </w:r>
          </w:p>
        </w:tc>
        <w:tc>
          <w:tcPr>
            <w:tcW w:w="74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27</w:t>
            </w:r>
          </w:p>
        </w:tc>
        <w:tc>
          <w:tcPr>
            <w:tcW w:w="86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124</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1,254</w:t>
            </w: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Panama</w:t>
            </w:r>
          </w:p>
        </w:tc>
        <w:tc>
          <w:tcPr>
            <w:tcW w:w="92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line="131" w:lineRule="exact"/>
              <w:rPr>
                <w:sz w:val="20"/>
                <w:szCs w:val="20"/>
                <w:color w:val="auto"/>
              </w:rPr>
            </w:pPr>
            <w:r>
              <w:rPr>
                <w:rFonts w:ascii="Arial" w:cs="Arial" w:eastAsia="Arial" w:hAnsi="Arial"/>
                <w:sz w:val="13"/>
                <w:szCs w:val="13"/>
                <w:color w:val="auto"/>
              </w:rPr>
              <w:t>Cayman Islands</w:t>
            </w:r>
          </w:p>
        </w:tc>
        <w:tc>
          <w:tcPr>
            <w:tcW w:w="92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285</w:t>
            </w:r>
          </w:p>
        </w:tc>
        <w:tc>
          <w:tcPr>
            <w:tcW w:w="8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104</w:t>
            </w:r>
          </w:p>
        </w:tc>
        <w:tc>
          <w:tcPr>
            <w:tcW w:w="8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3</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5,465</w:t>
            </w:r>
          </w:p>
        </w:tc>
        <w:tc>
          <w:tcPr>
            <w:tcW w:w="7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512</w:t>
            </w:r>
          </w:p>
        </w:tc>
        <w:tc>
          <w:tcPr>
            <w:tcW w:w="7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183</w:t>
            </w:r>
          </w:p>
        </w:tc>
        <w:tc>
          <w:tcPr>
            <w:tcW w:w="86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5</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5,250</w:t>
            </w:r>
          </w:p>
        </w:tc>
        <w:tc>
          <w:tcPr>
            <w:tcW w:w="840" w:type="dxa"/>
            <w:vAlign w:val="bottom"/>
            <w:gridSpan w:val="3"/>
          </w:tcPr>
          <w:p>
            <w:pPr>
              <w:jc w:val="right"/>
              <w:ind w:right="200"/>
              <w:spacing w:after="0" w:line="131" w:lineRule="exact"/>
              <w:rPr>
                <w:sz w:val="20"/>
                <w:szCs w:val="20"/>
                <w:color w:val="auto"/>
              </w:rPr>
            </w:pPr>
            <w:r>
              <w:rPr>
                <w:rFonts w:ascii="Arial" w:cs="Arial" w:eastAsia="Arial" w:hAnsi="Arial"/>
                <w:sz w:val="13"/>
                <w:szCs w:val="13"/>
                <w:color w:val="auto"/>
              </w:rPr>
              <w:t>466</w:t>
            </w:r>
          </w:p>
        </w:tc>
        <w:tc>
          <w:tcPr>
            <w:tcW w:w="74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147</w:t>
            </w:r>
          </w:p>
        </w:tc>
        <w:tc>
          <w:tcPr>
            <w:tcW w:w="86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5</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5,695</w:t>
            </w: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Bolivia</w:t>
            </w:r>
          </w:p>
        </w:tc>
        <w:tc>
          <w:tcPr>
            <w:tcW w:w="92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750</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344</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78</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9,317</w:t>
            </w:r>
          </w:p>
        </w:tc>
        <w:tc>
          <w:tcPr>
            <w:tcW w:w="7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813</w:t>
            </w:r>
          </w:p>
        </w:tc>
        <w:tc>
          <w:tcPr>
            <w:tcW w:w="7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338</w:t>
            </w:r>
          </w:p>
        </w:tc>
        <w:tc>
          <w:tcPr>
            <w:tcW w:w="86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102</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8,490</w:t>
            </w:r>
          </w:p>
        </w:tc>
        <w:tc>
          <w:tcPr>
            <w:tcW w:w="84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682</w:t>
            </w:r>
          </w:p>
        </w:tc>
        <w:tc>
          <w:tcPr>
            <w:tcW w:w="7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321</w:t>
            </w:r>
          </w:p>
        </w:tc>
        <w:tc>
          <w:tcPr>
            <w:tcW w:w="86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79</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7,246</w:t>
            </w:r>
          </w:p>
        </w:tc>
        <w:tc>
          <w:tcPr>
            <w:tcW w:w="0" w:type="dxa"/>
            <w:vAlign w:val="bottom"/>
          </w:tcPr>
          <w:p>
            <w:pPr>
              <w:spacing w:after="0"/>
              <w:rPr>
                <w:sz w:val="1"/>
                <w:szCs w:val="1"/>
                <w:color w:val="auto"/>
              </w:rPr>
            </w:pPr>
          </w:p>
        </w:tc>
      </w:tr>
      <w:tr>
        <w:trPr>
          <w:trHeight w:val="130"/>
        </w:trPr>
        <w:tc>
          <w:tcPr>
            <w:tcW w:w="1440" w:type="dxa"/>
            <w:vAlign w:val="bottom"/>
          </w:tcPr>
          <w:p>
            <w:pPr>
              <w:spacing w:after="0" w:line="131" w:lineRule="exact"/>
              <w:rPr>
                <w:sz w:val="20"/>
                <w:szCs w:val="20"/>
                <w:color w:val="auto"/>
              </w:rPr>
            </w:pPr>
            <w:r>
              <w:rPr>
                <w:rFonts w:ascii="Arial" w:cs="Arial" w:eastAsia="Arial" w:hAnsi="Arial"/>
                <w:sz w:val="13"/>
                <w:szCs w:val="13"/>
                <w:color w:val="auto"/>
              </w:rPr>
              <w:t>Colombia</w:t>
            </w:r>
          </w:p>
        </w:tc>
        <w:tc>
          <w:tcPr>
            <w:tcW w:w="92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314</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w:t>
            </w:r>
          </w:p>
        </w:tc>
        <w:tc>
          <w:tcPr>
            <w:tcW w:w="8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138</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1,823</w:t>
            </w:r>
          </w:p>
        </w:tc>
        <w:tc>
          <w:tcPr>
            <w:tcW w:w="7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286</w:t>
            </w:r>
          </w:p>
        </w:tc>
        <w:tc>
          <w:tcPr>
            <w:tcW w:w="7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10</w:t>
            </w:r>
          </w:p>
        </w:tc>
        <w:tc>
          <w:tcPr>
            <w:tcW w:w="86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145</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1,573</w:t>
            </w:r>
          </w:p>
        </w:tc>
        <w:tc>
          <w:tcPr>
            <w:tcW w:w="840" w:type="dxa"/>
            <w:vAlign w:val="bottom"/>
            <w:gridSpan w:val="3"/>
          </w:tcPr>
          <w:p>
            <w:pPr>
              <w:jc w:val="right"/>
              <w:ind w:right="200"/>
              <w:spacing w:after="0" w:line="131" w:lineRule="exact"/>
              <w:rPr>
                <w:sz w:val="20"/>
                <w:szCs w:val="20"/>
                <w:color w:val="auto"/>
              </w:rPr>
            </w:pPr>
            <w:r>
              <w:rPr>
                <w:rFonts w:ascii="Arial" w:cs="Arial" w:eastAsia="Arial" w:hAnsi="Arial"/>
                <w:sz w:val="13"/>
                <w:szCs w:val="13"/>
                <w:color w:val="auto"/>
              </w:rPr>
              <w:t>264</w:t>
            </w:r>
          </w:p>
        </w:tc>
        <w:tc>
          <w:tcPr>
            <w:tcW w:w="74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17</w:t>
            </w:r>
          </w:p>
        </w:tc>
        <w:tc>
          <w:tcPr>
            <w:tcW w:w="86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172</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98"/>
              </w:rPr>
              <w:t>United States of America</w:t>
            </w:r>
          </w:p>
        </w:tc>
        <w:tc>
          <w:tcPr>
            <w:tcW w:w="92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6</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w:t>
            </w:r>
          </w:p>
        </w:tc>
        <w:tc>
          <w:tcPr>
            <w:tcW w:w="7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w:t>
            </w:r>
          </w:p>
        </w:tc>
        <w:tc>
          <w:tcPr>
            <w:tcW w:w="84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line="143" w:lineRule="exact"/>
              <w:rPr>
                <w:sz w:val="20"/>
                <w:szCs w:val="20"/>
                <w:color w:val="auto"/>
              </w:rPr>
            </w:pPr>
            <w:r>
              <w:rPr>
                <w:rFonts w:ascii="Arial" w:cs="Arial" w:eastAsia="Arial" w:hAnsi="Arial"/>
                <w:sz w:val="13"/>
                <w:szCs w:val="13"/>
                <w:color w:val="auto"/>
              </w:rPr>
              <w:t>Chile</w:t>
            </w:r>
          </w:p>
        </w:tc>
        <w:tc>
          <w:tcPr>
            <w:tcW w:w="920" w:type="dxa"/>
            <w:vAlign w:val="bottom"/>
            <w:gridSpan w:val="3"/>
          </w:tcPr>
          <w:p>
            <w:pPr>
              <w:jc w:val="right"/>
              <w:ind w:right="180"/>
              <w:spacing w:after="0" w:line="143" w:lineRule="exact"/>
              <w:rPr>
                <w:sz w:val="20"/>
                <w:szCs w:val="20"/>
                <w:color w:val="auto"/>
              </w:rPr>
            </w:pPr>
            <w:r>
              <w:rPr>
                <w:rFonts w:ascii="Arial" w:cs="Arial" w:eastAsia="Arial" w:hAnsi="Arial"/>
                <w:sz w:val="13"/>
                <w:szCs w:val="13"/>
                <w:color w:val="auto"/>
              </w:rPr>
              <w:t>153</w:t>
            </w: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(6)</w:t>
            </w:r>
          </w:p>
        </w:tc>
        <w:tc>
          <w:tcPr>
            <w:tcW w:w="80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84</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799</w:t>
            </w:r>
          </w:p>
        </w:tc>
        <w:tc>
          <w:tcPr>
            <w:tcW w:w="76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167</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(5)</w:t>
            </w:r>
          </w:p>
        </w:tc>
        <w:tc>
          <w:tcPr>
            <w:tcW w:w="860" w:type="dxa"/>
            <w:vAlign w:val="bottom"/>
            <w:gridSpan w:val="3"/>
          </w:tcPr>
          <w:p>
            <w:pPr>
              <w:jc w:val="right"/>
              <w:ind w:right="180"/>
              <w:spacing w:after="0" w:line="143" w:lineRule="exact"/>
              <w:rPr>
                <w:sz w:val="20"/>
                <w:szCs w:val="20"/>
                <w:color w:val="auto"/>
              </w:rPr>
            </w:pPr>
            <w:r>
              <w:rPr>
                <w:rFonts w:ascii="Arial" w:cs="Arial" w:eastAsia="Arial" w:hAnsi="Arial"/>
                <w:sz w:val="13"/>
                <w:szCs w:val="13"/>
                <w:color w:val="auto"/>
              </w:rPr>
              <w:t>139</w:t>
            </w:r>
          </w:p>
        </w:tc>
        <w:tc>
          <w:tcPr>
            <w:tcW w:w="6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1,018</w:t>
            </w:r>
          </w:p>
        </w:tc>
        <w:tc>
          <w:tcPr>
            <w:tcW w:w="840" w:type="dxa"/>
            <w:vAlign w:val="bottom"/>
            <w:gridSpan w:val="3"/>
          </w:tcPr>
          <w:p>
            <w:pPr>
              <w:jc w:val="right"/>
              <w:ind w:right="200"/>
              <w:spacing w:after="0" w:line="143" w:lineRule="exact"/>
              <w:rPr>
                <w:sz w:val="20"/>
                <w:szCs w:val="20"/>
                <w:color w:val="auto"/>
              </w:rPr>
            </w:pPr>
            <w:r>
              <w:rPr>
                <w:rFonts w:ascii="Arial" w:cs="Arial" w:eastAsia="Arial" w:hAnsi="Arial"/>
                <w:sz w:val="13"/>
                <w:szCs w:val="13"/>
                <w:color w:val="auto"/>
              </w:rPr>
              <w:t>160</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(4)</w:t>
            </w:r>
          </w:p>
        </w:tc>
        <w:tc>
          <w:tcPr>
            <w:tcW w:w="860" w:type="dxa"/>
            <w:vAlign w:val="bottom"/>
            <w:gridSpan w:val="3"/>
          </w:tcPr>
          <w:p>
            <w:pPr>
              <w:jc w:val="right"/>
              <w:ind w:right="180"/>
              <w:spacing w:after="0" w:line="143" w:lineRule="exact"/>
              <w:rPr>
                <w:sz w:val="20"/>
                <w:szCs w:val="20"/>
                <w:color w:val="auto"/>
              </w:rPr>
            </w:pPr>
            <w:r>
              <w:rPr>
                <w:rFonts w:ascii="Arial" w:cs="Arial" w:eastAsia="Arial" w:hAnsi="Arial"/>
                <w:sz w:val="13"/>
                <w:szCs w:val="13"/>
                <w:color w:val="auto"/>
              </w:rPr>
              <w:t>138</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4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consolidado</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18,156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9,367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3,493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152,997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17,728</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8,762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3,488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148,219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16,819</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8,559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3,512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136,319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81" w:hanging="396"/>
        <w:spacing w:after="0"/>
        <w:tabs>
          <w:tab w:leader="none" w:pos="68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Including total interest and similar income, other income and net premiums earned from insurance activities.</w:t>
      </w:r>
    </w:p>
    <w:p>
      <w:pPr>
        <w:spacing w:after="0" w:line="17" w:lineRule="exact"/>
        <w:rPr>
          <w:sz w:val="20"/>
          <w:szCs w:val="20"/>
          <w:color w:val="auto"/>
        </w:rPr>
      </w:pPr>
    </w:p>
    <w:p>
      <w:pPr>
        <w:ind w:left="281" w:right="1740" w:firstLine="4"/>
        <w:spacing w:after="0" w:line="254" w:lineRule="auto"/>
        <w:tabs>
          <w:tab w:leader="none" w:pos="67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Operating income includes the net interest income from banking activities and the amount of the premiums earned, less insurance claims. (***) Non-current assets consist of property, furniture and equipment, intangible assets and goodwill, net.</w:t>
      </w:r>
    </w:p>
    <w:p>
      <w:pPr>
        <w:spacing w:after="0" w:line="358" w:lineRule="exact"/>
        <w:rPr>
          <w:rFonts w:ascii="Arial" w:cs="Arial" w:eastAsia="Arial" w:hAnsi="Arial"/>
          <w:sz w:val="16"/>
          <w:szCs w:val="16"/>
          <w:color w:val="auto"/>
        </w:rPr>
      </w:pPr>
    </w:p>
    <w:p>
      <w:pPr>
        <w:ind w:left="5321" w:hanging="88"/>
        <w:spacing w:after="0"/>
        <w:tabs>
          <w:tab w:leader="none" w:pos="532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1"/>
          </w:cols>
          <w:pgMar w:left="519" w:top="819" w:right="279" w:bottom="1440" w:gutter="0" w:footer="0" w:header="0"/>
        </w:sectPr>
      </w:pPr>
    </w:p>
    <w:bookmarkStart w:id="126" w:name="page127"/>
    <w:bookmarkEnd w:id="126"/>
    <w:p>
      <w:pPr>
        <w:ind w:left="285" w:hanging="285"/>
        <w:spacing w:after="0"/>
        <w:tabs>
          <w:tab w:leader="none" w:pos="285"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TRANSACTIONS WITH RELATED PARTIES</w:t>
      </w:r>
    </w:p>
    <w:p>
      <w:pPr>
        <w:spacing w:after="0" w:line="199" w:lineRule="exact"/>
        <w:rPr>
          <w:rFonts w:ascii="Arial" w:cs="Arial" w:eastAsia="Arial" w:hAnsi="Arial"/>
          <w:sz w:val="16"/>
          <w:szCs w:val="16"/>
          <w:b w:val="1"/>
          <w:bCs w:val="1"/>
          <w:color w:val="auto"/>
        </w:rPr>
      </w:pPr>
    </w:p>
    <w:p>
      <w:pPr>
        <w:ind w:left="565" w:right="380" w:hanging="281"/>
        <w:spacing w:after="0" w:line="258" w:lineRule="auto"/>
        <w:tabs>
          <w:tab w:leader="none" w:pos="56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Group’s consolidated financial statements at December 31, 2018 and 2017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65" w:lineRule="exact"/>
        <w:rPr>
          <w:rFonts w:ascii="Arial" w:cs="Arial" w:eastAsia="Arial" w:hAnsi="Arial"/>
          <w:sz w:val="16"/>
          <w:szCs w:val="16"/>
          <w:color w:val="auto"/>
        </w:rPr>
      </w:pPr>
    </w:p>
    <w:p>
      <w:pPr>
        <w:ind w:left="565" w:hanging="281"/>
        <w:spacing w:after="0"/>
        <w:tabs>
          <w:tab w:leader="none" w:pos="56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following table presents the main transactions with related parties as of December 31, 2018 and 2017:</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r>
      <w:tr>
        <w:trPr>
          <w:trHeight w:val="198"/>
        </w:trPr>
        <w:tc>
          <w:tcPr>
            <w:tcW w:w="75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80" w:type="dxa"/>
            <w:vAlign w:val="bottom"/>
          </w:tcPr>
          <w:p>
            <w:pPr>
              <w:spacing w:after="0"/>
              <w:rPr>
                <w:sz w:val="17"/>
                <w:szCs w:val="17"/>
                <w:color w:val="auto"/>
              </w:rPr>
            </w:pPr>
          </w:p>
        </w:tc>
      </w:tr>
      <w:tr>
        <w:trPr>
          <w:trHeight w:val="175"/>
        </w:trPr>
        <w:tc>
          <w:tcPr>
            <w:tcW w:w="7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financial position -</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Direct loans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2,544,431</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1,468,211</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775,397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715,490</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Deposits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(425,938)</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(1,022,462)</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Derivatives at fair value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(2,674)</w:t>
            </w:r>
          </w:p>
        </w:tc>
      </w:tr>
      <w:tr>
        <w:trPr>
          <w:trHeight w:val="190"/>
        </w:trPr>
        <w:tc>
          <w:tcPr>
            <w:tcW w:w="7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income</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Interest income related to loans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2,404</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23,992</w:t>
            </w: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expenses related to deposits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(8,342)</w:t>
            </w:r>
          </w:p>
        </w:tc>
      </w:tr>
      <w:tr>
        <w:trPr>
          <w:trHeight w:val="190"/>
        </w:trPr>
        <w:tc>
          <w:tcPr>
            <w:tcW w:w="7560" w:type="dxa"/>
            <w:vAlign w:val="bottom"/>
          </w:tcPr>
          <w:p>
            <w:pPr>
              <w:spacing w:after="0"/>
              <w:rPr>
                <w:sz w:val="20"/>
                <w:szCs w:val="20"/>
                <w:color w:val="auto"/>
              </w:rPr>
            </w:pPr>
            <w:r>
              <w:rPr>
                <w:rFonts w:ascii="Arial" w:cs="Arial" w:eastAsia="Arial" w:hAnsi="Arial"/>
                <w:sz w:val="16"/>
                <w:szCs w:val="16"/>
                <w:color w:val="auto"/>
              </w:rPr>
              <w:t>Other income</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688</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7,247</w:t>
            </w:r>
          </w:p>
        </w:tc>
      </w:tr>
      <w:tr>
        <w:trPr>
          <w:trHeight w:val="190"/>
        </w:trPr>
        <w:tc>
          <w:tcPr>
            <w:tcW w:w="7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6"/>
                <w:szCs w:val="16"/>
                <w:b w:val="1"/>
                <w:bCs w:val="1"/>
                <w:color w:val="auto"/>
              </w:rPr>
              <w:t>Off-balance sheet</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Indirect loans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325,427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385,360</w:t>
            </w:r>
          </w:p>
        </w:tc>
      </w:tr>
    </w:tbl>
    <w:p>
      <w:pPr>
        <w:spacing w:after="0" w:line="177" w:lineRule="exact"/>
        <w:rPr>
          <w:sz w:val="20"/>
          <w:szCs w:val="20"/>
          <w:color w:val="auto"/>
        </w:rPr>
      </w:pPr>
    </w:p>
    <w:p>
      <w:pPr>
        <w:ind w:left="565" w:right="120" w:hanging="281"/>
        <w:spacing w:after="0" w:line="277" w:lineRule="auto"/>
        <w:tabs>
          <w:tab w:leader="none" w:pos="565"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All transactions with related parties are made in accordance with normal market conditions available to other customers. At December 31, 2018, direct loans to related companies are secured by collateral, had maturities between January 2019 and December 2028, at an annual average interest rate of 6.46 percent (at December 31, 2017 maturities where between January 2018 and July 2028, and the annual average interest rate was 6.01 percent). Also, at December 31, 2018 and 2017, the Group maintains an allowance for loan losses for related parties amounting to S/13.7 million and S/7.2 million, respectively.</w:t>
      </w:r>
    </w:p>
    <w:p>
      <w:pPr>
        <w:spacing w:after="0" w:line="151" w:lineRule="exact"/>
        <w:rPr>
          <w:rFonts w:ascii="Arial" w:cs="Arial" w:eastAsia="Arial" w:hAnsi="Arial"/>
          <w:sz w:val="15"/>
          <w:szCs w:val="15"/>
          <w:color w:val="auto"/>
        </w:rPr>
      </w:pPr>
    </w:p>
    <w:p>
      <w:pPr>
        <w:ind w:left="565" w:right="40" w:hanging="281"/>
        <w:spacing w:after="0" w:line="277" w:lineRule="auto"/>
        <w:tabs>
          <w:tab w:leader="none" w:pos="565"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At December 31, 2018 and 2017,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2018 and 2017, direct loans to employees, directors, key management and family members amounted to S/1,031.7 million and S/957.2 million, respectively; they are repaid monthly and earn interest at market rates.</w:t>
      </w:r>
    </w:p>
    <w:p>
      <w:pPr>
        <w:spacing w:after="0" w:line="151" w:lineRule="exact"/>
        <w:rPr>
          <w:rFonts w:ascii="Arial" w:cs="Arial" w:eastAsia="Arial" w:hAnsi="Arial"/>
          <w:sz w:val="15"/>
          <w:szCs w:val="15"/>
          <w:color w:val="auto"/>
        </w:rPr>
      </w:pPr>
    </w:p>
    <w:p>
      <w:pPr>
        <w:ind w:left="565" w:hanging="281"/>
        <w:spacing w:after="0"/>
        <w:tabs>
          <w:tab w:leader="none" w:pos="565"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Group’s key executives’ compensation (including the related income taxes assumed by the Group) as of December 31, 2018, 2017 and 2016 was as follows</w:t>
      </w:r>
    </w:p>
    <w:p>
      <w:pPr>
        <w:spacing w:after="0" w:line="21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4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7"/>
                <w:szCs w:val="17"/>
                <w:color w:val="auto"/>
              </w:rPr>
            </w:pPr>
          </w:p>
        </w:tc>
        <w:tc>
          <w:tcPr>
            <w:tcW w:w="1100" w:type="dxa"/>
            <w:vAlign w:val="bottom"/>
          </w:tcPr>
          <w:p>
            <w:pPr>
              <w:jc w:val="right"/>
              <w:ind w:right="321"/>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S/(000)</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Director’s compensation</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9,408</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7,105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7,351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Senior Management Compensation:</w:t>
            </w: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Remuneration</w:t>
            </w:r>
          </w:p>
        </w:tc>
        <w:tc>
          <w:tcPr>
            <w:tcW w:w="3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48,164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41,211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43,177</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Stock awards vested</w:t>
            </w:r>
          </w:p>
        </w:tc>
        <w:tc>
          <w:tcPr>
            <w:tcW w:w="3960" w:type="dxa"/>
            <w:vAlign w:val="bottom"/>
            <w:gridSpan w:val="3"/>
          </w:tcPr>
          <w:p>
            <w:pPr>
              <w:jc w:val="right"/>
              <w:ind w:right="220"/>
              <w:spacing w:after="0"/>
              <w:rPr>
                <w:sz w:val="20"/>
                <w:szCs w:val="20"/>
                <w:color w:val="auto"/>
              </w:rPr>
            </w:pPr>
            <w:r>
              <w:rPr>
                <w:rFonts w:ascii="Arial" w:cs="Arial" w:eastAsia="Arial" w:hAnsi="Arial"/>
                <w:sz w:val="16"/>
                <w:szCs w:val="16"/>
                <w:color w:val="auto"/>
              </w:rPr>
              <w:t>33,429</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32,142</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30,122</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64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91,001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80,458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40" w:type="dxa"/>
            <w:vAlign w:val="bottom"/>
            <w:vMerge w:val="restart"/>
          </w:tcPr>
          <w:p>
            <w:pPr>
              <w:jc w:val="right"/>
              <w:ind w:right="801"/>
              <w:spacing w:after="0"/>
              <w:rPr>
                <w:sz w:val="20"/>
                <w:szCs w:val="20"/>
                <w:color w:val="auto"/>
              </w:rPr>
            </w:pPr>
            <w:r>
              <w:rPr>
                <w:rFonts w:ascii="Arial" w:cs="Arial" w:eastAsia="Arial" w:hAnsi="Arial"/>
                <w:sz w:val="16"/>
                <w:szCs w:val="16"/>
                <w:color w:val="auto"/>
              </w:rPr>
              <w:t>- 120 -</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5"/>
          </w:cols>
          <w:pgMar w:left="235" w:top="811" w:right="219" w:bottom="1440" w:gutter="0" w:footer="0" w:header="0"/>
        </w:sectPr>
      </w:pPr>
    </w:p>
    <w:bookmarkStart w:id="127" w:name="page128"/>
    <w:bookmarkEnd w:id="127"/>
    <w:p>
      <w:pPr>
        <w:ind w:left="560" w:hanging="281"/>
        <w:spacing w:after="0"/>
        <w:tabs>
          <w:tab w:leader="none" w:pos="56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At December 31, 2018 and 2017 the Group holds interests in various funds managed by certain of the Group’s subsidiaries. The details of the funds are presented below:</w:t>
      </w:r>
    </w:p>
    <w:p>
      <w:pPr>
        <w:sectPr>
          <w:pgSz w:w="11900" w:h="16838" w:orient="portrait"/>
          <w:cols w:equalWidth="0" w:num="1">
            <w:col w:w="11440"/>
          </w:cols>
          <w:pgMar w:left="240" w:top="815" w:right="219" w:bottom="1440" w:gutter="0" w:footer="0" w:header="0"/>
        </w:sectPr>
      </w:pP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6580" w:type="dxa"/>
            <w:vAlign w:val="bottom"/>
          </w:tcPr>
          <w:p>
            <w:pPr>
              <w:spacing w:after="0"/>
              <w:rPr>
                <w:sz w:val="15"/>
                <w:szCs w:val="15"/>
                <w:color w:val="auto"/>
              </w:rPr>
            </w:pPr>
          </w:p>
        </w:tc>
        <w:tc>
          <w:tcPr>
            <w:tcW w:w="13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7"/>
              </w:rPr>
              <w:t>S/(000)</w:t>
            </w:r>
          </w:p>
        </w:tc>
        <w:tc>
          <w:tcPr>
            <w:tcW w:w="60" w:type="dxa"/>
            <w:vAlign w:val="bottom"/>
            <w:gridSpan w:val="2"/>
          </w:tcPr>
          <w:p>
            <w:pPr>
              <w:spacing w:after="0"/>
              <w:rPr>
                <w:sz w:val="15"/>
                <w:szCs w:val="15"/>
                <w:color w:val="auto"/>
              </w:rPr>
            </w:pPr>
          </w:p>
        </w:tc>
      </w:tr>
      <w:tr>
        <w:trPr>
          <w:trHeight w:val="190"/>
        </w:trPr>
        <w:tc>
          <w:tcPr>
            <w:tcW w:w="6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fair value through profit or loss:</w:t>
            </w: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0"/>
        </w:trPr>
        <w:tc>
          <w:tcPr>
            <w:tcW w:w="6580" w:type="dxa"/>
            <w:vAlign w:val="bottom"/>
          </w:tcPr>
          <w:p>
            <w:pPr>
              <w:spacing w:after="0"/>
              <w:rPr>
                <w:sz w:val="20"/>
                <w:szCs w:val="20"/>
                <w:color w:val="auto"/>
              </w:rPr>
            </w:pPr>
            <w:r>
              <w:rPr>
                <w:rFonts w:ascii="Arial" w:cs="Arial" w:eastAsia="Arial" w:hAnsi="Arial"/>
                <w:sz w:val="16"/>
                <w:szCs w:val="16"/>
                <w:color w:val="auto"/>
              </w:rPr>
              <w:t>Mutual funds and hedge funds</w:t>
            </w: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Soles</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18,394</w:t>
            </w:r>
          </w:p>
        </w:tc>
      </w:tr>
      <w:tr>
        <w:trPr>
          <w:trHeight w:val="190"/>
        </w:trPr>
        <w:tc>
          <w:tcPr>
            <w:tcW w:w="6580" w:type="dxa"/>
            <w:vAlign w:val="bottom"/>
          </w:tcPr>
          <w:p>
            <w:pPr>
              <w:ind w:left="140"/>
              <w:spacing w:after="0"/>
              <w:rPr>
                <w:sz w:val="20"/>
                <w:szCs w:val="20"/>
                <w:color w:val="auto"/>
              </w:rPr>
            </w:pPr>
            <w:r>
              <w:rPr>
                <w:rFonts w:ascii="Arial" w:cs="Arial" w:eastAsia="Arial" w:hAnsi="Arial"/>
                <w:sz w:val="16"/>
                <w:szCs w:val="16"/>
                <w:color w:val="auto"/>
              </w:rPr>
              <w:t>Bolivianos</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104,596</w:t>
            </w:r>
          </w:p>
        </w:tc>
        <w:tc>
          <w:tcPr>
            <w:tcW w:w="40" w:type="dxa"/>
            <w:vAlign w:val="bottom"/>
          </w:tcPr>
          <w:p>
            <w:pPr>
              <w:spacing w:after="0"/>
              <w:rPr>
                <w:sz w:val="16"/>
                <w:szCs w:val="16"/>
                <w:color w:val="auto"/>
              </w:rPr>
            </w:pPr>
          </w:p>
        </w:tc>
      </w:tr>
      <w:tr>
        <w:trPr>
          <w:trHeight w:val="190"/>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Dollars</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76,887</w:t>
            </w:r>
          </w:p>
        </w:tc>
      </w:tr>
      <w:tr>
        <w:trPr>
          <w:trHeight w:val="190"/>
        </w:trPr>
        <w:tc>
          <w:tcPr>
            <w:tcW w:w="6580" w:type="dxa"/>
            <w:vAlign w:val="bottom"/>
          </w:tcPr>
          <w:p>
            <w:pPr>
              <w:ind w:left="140"/>
              <w:spacing w:after="0"/>
              <w:rPr>
                <w:sz w:val="20"/>
                <w:szCs w:val="20"/>
                <w:color w:val="auto"/>
              </w:rPr>
            </w:pPr>
            <w:r>
              <w:rPr>
                <w:rFonts w:ascii="Arial" w:cs="Arial" w:eastAsia="Arial" w:hAnsi="Arial"/>
                <w:sz w:val="16"/>
                <w:szCs w:val="16"/>
                <w:color w:val="auto"/>
              </w:rPr>
              <w:t>Colombian pesos</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5,201</w:t>
            </w:r>
          </w:p>
        </w:tc>
        <w:tc>
          <w:tcPr>
            <w:tcW w:w="40" w:type="dxa"/>
            <w:vAlign w:val="bottom"/>
          </w:tcPr>
          <w:p>
            <w:pPr>
              <w:spacing w:after="0"/>
              <w:rPr>
                <w:sz w:val="16"/>
                <w:szCs w:val="16"/>
                <w:color w:val="auto"/>
              </w:rPr>
            </w:pPr>
          </w:p>
        </w:tc>
      </w:tr>
      <w:tr>
        <w:trPr>
          <w:trHeight w:val="202"/>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Chilean pesos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6,938</w:t>
            </w:r>
          </w:p>
        </w:tc>
        <w:tc>
          <w:tcPr>
            <w:tcW w:w="40" w:type="dxa"/>
            <w:vAlign w:val="bottom"/>
            <w:shd w:val="clear" w:color="auto" w:fill="CCEEFF"/>
          </w:tcPr>
          <w:p>
            <w:pPr>
              <w:spacing w:after="0"/>
              <w:rPr>
                <w:sz w:val="17"/>
                <w:szCs w:val="17"/>
                <w:color w:val="auto"/>
              </w:rPr>
            </w:pPr>
          </w:p>
        </w:tc>
      </w:tr>
      <w:tr>
        <w:trPr>
          <w:trHeight w:val="233"/>
        </w:trPr>
        <w:tc>
          <w:tcPr>
            <w:tcW w:w="65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212,016</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166"/>
        </w:trPr>
        <w:tc>
          <w:tcPr>
            <w:tcW w:w="65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Restricted mutual funds, Note 6(a)(ii)</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407,350</w:t>
            </w:r>
          </w:p>
        </w:tc>
        <w:tc>
          <w:tcPr>
            <w:tcW w:w="4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160" w:type="dxa"/>
            <w:vAlign w:val="bottom"/>
            <w:gridSpan w:val="2"/>
          </w:tcPr>
          <w:p>
            <w:pPr>
              <w:jc w:val="right"/>
              <w:ind w:right="501"/>
              <w:spacing w:after="0"/>
              <w:rPr>
                <w:sz w:val="20"/>
                <w:szCs w:val="20"/>
                <w:color w:val="auto"/>
              </w:rPr>
            </w:pPr>
            <w:r>
              <w:rPr>
                <w:rFonts w:ascii="Arial" w:cs="Arial" w:eastAsia="Arial" w:hAnsi="Arial"/>
                <w:sz w:val="16"/>
                <w:szCs w:val="16"/>
                <w:b w:val="1"/>
                <w:bCs w:val="1"/>
                <w:color w:val="auto"/>
              </w:rPr>
              <w:t>2017</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20" w:type="dxa"/>
            <w:vAlign w:val="bottom"/>
            <w:tcBorders>
              <w:top w:val="single" w:sz="8" w:color="auto"/>
            </w:tcBorders>
          </w:tcPr>
          <w:p>
            <w:pPr>
              <w:jc w:val="center"/>
              <w:ind w:right="1"/>
              <w:spacing w:after="0" w:line="183" w:lineRule="exact"/>
              <w:rPr>
                <w:sz w:val="20"/>
                <w:szCs w:val="20"/>
                <w:color w:val="auto"/>
              </w:rPr>
            </w:pPr>
            <w:r>
              <w:rPr>
                <w:rFonts w:ascii="Arial" w:cs="Arial" w:eastAsia="Arial" w:hAnsi="Arial"/>
                <w:sz w:val="16"/>
                <w:szCs w:val="16"/>
                <w:b w:val="1"/>
                <w:bCs w:val="1"/>
                <w:color w:val="auto"/>
                <w:w w:val="87"/>
              </w:rPr>
              <w:t>S/(000)</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0"/>
              </w:rPr>
              <w:t>At fair value through profit or loss and available-for-sale investments:</w:t>
            </w:r>
          </w:p>
        </w:tc>
        <w:tc>
          <w:tcPr>
            <w:tcW w:w="1740" w:type="dxa"/>
            <w:vAlign w:val="bottom"/>
            <w:shd w:val="clear" w:color="auto" w:fill="CCEEFF"/>
          </w:tcPr>
          <w:p>
            <w:pPr>
              <w:spacing w:after="0"/>
              <w:rPr>
                <w:sz w:val="16"/>
                <w:szCs w:val="16"/>
                <w:color w:val="auto"/>
              </w:rPr>
            </w:pPr>
          </w:p>
        </w:tc>
        <w:tc>
          <w:tcPr>
            <w:tcW w:w="1420" w:type="dxa"/>
            <w:vAlign w:val="bottom"/>
            <w:tcBorders>
              <w:right w:val="single" w:sz="8" w:color="CCEEFF"/>
            </w:tcBorders>
            <w:shd w:val="clear" w:color="auto" w:fill="CCEEFF"/>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Mutual funds and hedge funds:</w:t>
            </w: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Soles</w:t>
            </w:r>
          </w:p>
        </w:tc>
        <w:tc>
          <w:tcPr>
            <w:tcW w:w="3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125,056</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Bolivianos</w:t>
            </w:r>
          </w:p>
        </w:tc>
        <w:tc>
          <w:tcPr>
            <w:tcW w:w="3160" w:type="dxa"/>
            <w:vAlign w:val="bottom"/>
            <w:gridSpan w:val="2"/>
          </w:tcPr>
          <w:p>
            <w:pPr>
              <w:jc w:val="right"/>
              <w:spacing w:after="0"/>
              <w:rPr>
                <w:sz w:val="20"/>
                <w:szCs w:val="20"/>
                <w:color w:val="auto"/>
              </w:rPr>
            </w:pPr>
            <w:r>
              <w:rPr>
                <w:rFonts w:ascii="Arial" w:cs="Arial" w:eastAsia="Arial" w:hAnsi="Arial"/>
                <w:sz w:val="16"/>
                <w:szCs w:val="16"/>
                <w:color w:val="auto"/>
              </w:rPr>
              <w:t>77,804</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Dollars</w:t>
            </w:r>
          </w:p>
        </w:tc>
        <w:tc>
          <w:tcPr>
            <w:tcW w:w="3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40,588</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Colombian pesos</w:t>
            </w:r>
          </w:p>
        </w:tc>
        <w:tc>
          <w:tcPr>
            <w:tcW w:w="3160" w:type="dxa"/>
            <w:vAlign w:val="bottom"/>
            <w:gridSpan w:val="2"/>
          </w:tcPr>
          <w:p>
            <w:pPr>
              <w:jc w:val="right"/>
              <w:spacing w:after="0"/>
              <w:rPr>
                <w:sz w:val="20"/>
                <w:szCs w:val="20"/>
                <w:color w:val="auto"/>
              </w:rPr>
            </w:pPr>
            <w:r>
              <w:rPr>
                <w:rFonts w:ascii="Arial" w:cs="Arial" w:eastAsia="Arial" w:hAnsi="Arial"/>
                <w:sz w:val="16"/>
                <w:szCs w:val="16"/>
                <w:color w:val="auto"/>
              </w:rPr>
              <w:t>21,525</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Chilean pesos</w:t>
            </w:r>
          </w:p>
        </w:tc>
        <w:tc>
          <w:tcPr>
            <w:tcW w:w="3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14,267</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279,240</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48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420" w:type="dxa"/>
            <w:vAlign w:val="bottom"/>
            <w:tcBorders>
              <w:right w:val="single" w:sz="8" w:color="CCEEFF"/>
            </w:tcBorders>
            <w:shd w:val="clear" w:color="auto" w:fill="CCEEFF"/>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Restricted mutual funds, Note 6(c)(vi)</w:t>
            </w:r>
          </w:p>
        </w:tc>
        <w:tc>
          <w:tcPr>
            <w:tcW w:w="3160" w:type="dxa"/>
            <w:vAlign w:val="bottom"/>
            <w:gridSpan w:val="2"/>
          </w:tcPr>
          <w:p>
            <w:pPr>
              <w:jc w:val="right"/>
              <w:spacing w:after="0"/>
              <w:rPr>
                <w:sz w:val="20"/>
                <w:szCs w:val="20"/>
                <w:color w:val="auto"/>
              </w:rPr>
            </w:pPr>
            <w:r>
              <w:rPr>
                <w:rFonts w:ascii="Arial" w:cs="Arial" w:eastAsia="Arial" w:hAnsi="Arial"/>
                <w:sz w:val="16"/>
                <w:szCs w:val="16"/>
                <w:color w:val="auto"/>
              </w:rPr>
              <w:t>416,696</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40" w:type="dxa"/>
            <w:vAlign w:val="bottom"/>
            <w:vMerge w:val="restart"/>
          </w:tcPr>
          <w:p>
            <w:pPr>
              <w:jc w:val="right"/>
              <w:ind w:right="1121"/>
              <w:spacing w:after="0"/>
              <w:rPr>
                <w:sz w:val="20"/>
                <w:szCs w:val="20"/>
                <w:color w:val="auto"/>
              </w:rPr>
            </w:pPr>
            <w:r>
              <w:rPr>
                <w:rFonts w:ascii="Arial" w:cs="Arial" w:eastAsia="Arial" w:hAnsi="Arial"/>
                <w:sz w:val="16"/>
                <w:szCs w:val="16"/>
                <w:color w:val="auto"/>
              </w:rPr>
              <w:t>- 121 -</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5" w:right="219" w:bottom="1440" w:gutter="0" w:footer="0" w:header="0"/>
          <w:type w:val="continuous"/>
        </w:sectPr>
      </w:pPr>
    </w:p>
    <w:bookmarkStart w:id="128" w:name="page129"/>
    <w:bookmarkEnd w:id="128"/>
    <w:p>
      <w:pPr>
        <w:spacing w:after="0"/>
        <w:tabs>
          <w:tab w:leader="none" w:pos="260" w:val="left"/>
        </w:tabs>
        <w:rPr>
          <w:sz w:val="20"/>
          <w:szCs w:val="20"/>
          <w:color w:val="auto"/>
        </w:rPr>
      </w:pPr>
      <w:r>
        <w:rPr>
          <w:rFonts w:ascii="Arial" w:cs="Arial" w:eastAsia="Arial" w:hAnsi="Arial"/>
          <w:sz w:val="16"/>
          <w:szCs w:val="16"/>
          <w:b w:val="1"/>
          <w:bCs w:val="1"/>
          <w:color w:val="auto"/>
        </w:rPr>
        <w:t>32</w:t>
        <w:tab/>
        <w:t>FINANCIAL INSTRUMENTS CLASSIFICATION</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table below shows the carrying amounts of the financial assets and liabilities captions in the consolidated statement of financial position, by categories as defined under</w:t>
      </w:r>
    </w:p>
    <w:p>
      <w:pPr>
        <w:spacing w:after="0" w:line="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IFRS 9 as of December 31,2018 and IAS 39 as of December 31, 2017:</w:t>
      </w:r>
    </w:p>
    <w:p>
      <w:pPr>
        <w:spacing w:after="0" w:line="189"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9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At December 31, 2018</w:t>
            </w: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ind w:left="440"/>
              <w:spacing w:after="0"/>
              <w:rPr>
                <w:sz w:val="20"/>
                <w:szCs w:val="20"/>
                <w:color w:val="auto"/>
              </w:rPr>
            </w:pPr>
            <w:r>
              <w:rPr>
                <w:rFonts w:ascii="Arial" w:cs="Arial" w:eastAsia="Arial" w:hAnsi="Arial"/>
                <w:sz w:val="13"/>
                <w:szCs w:val="13"/>
                <w:b w:val="1"/>
                <w:bCs w:val="1"/>
                <w:color w:val="auto"/>
              </w:rPr>
              <w:t>At December 31, 2017</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1660" w:type="dxa"/>
            <w:vAlign w:val="bottom"/>
            <w:gridSpan w:val="4"/>
          </w:tcPr>
          <w:p>
            <w:pPr>
              <w:jc w:val="center"/>
              <w:ind w:right="60"/>
              <w:spacing w:after="0" w:line="103" w:lineRule="exact"/>
              <w:rPr>
                <w:sz w:val="20"/>
                <w:szCs w:val="20"/>
                <w:color w:val="auto"/>
              </w:rPr>
            </w:pPr>
            <w:r>
              <w:rPr>
                <w:rFonts w:ascii="Arial" w:cs="Arial" w:eastAsia="Arial" w:hAnsi="Arial"/>
                <w:sz w:val="11"/>
                <w:szCs w:val="11"/>
                <w:b w:val="1"/>
                <w:bCs w:val="1"/>
                <w:color w:val="auto"/>
              </w:rPr>
              <w:t>Financial assets and</w:t>
            </w:r>
          </w:p>
        </w:tc>
        <w:tc>
          <w:tcPr>
            <w:tcW w:w="1780" w:type="dxa"/>
            <w:vAlign w:val="bottom"/>
            <w:gridSpan w:val="4"/>
          </w:tcPr>
          <w:p>
            <w:pPr>
              <w:jc w:val="center"/>
              <w:ind w:right="60"/>
              <w:spacing w:after="0" w:line="103" w:lineRule="exact"/>
              <w:rPr>
                <w:sz w:val="20"/>
                <w:szCs w:val="20"/>
                <w:color w:val="auto"/>
              </w:rPr>
            </w:pPr>
            <w:r>
              <w:rPr>
                <w:rFonts w:ascii="Arial" w:cs="Arial" w:eastAsia="Arial" w:hAnsi="Arial"/>
                <w:sz w:val="11"/>
                <w:szCs w:val="11"/>
                <w:b w:val="1"/>
                <w:bCs w:val="1"/>
                <w:color w:val="auto"/>
              </w:rPr>
              <w:t>Financial assets at fair value</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gridSpan w:val="4"/>
          </w:tcPr>
          <w:p>
            <w:pPr>
              <w:jc w:val="center"/>
              <w:ind w:right="80"/>
              <w:spacing w:after="0" w:line="103" w:lineRule="exact"/>
              <w:rPr>
                <w:sz w:val="20"/>
                <w:szCs w:val="20"/>
                <w:color w:val="auto"/>
              </w:rPr>
            </w:pPr>
            <w:r>
              <w:rPr>
                <w:rFonts w:ascii="Arial" w:cs="Arial" w:eastAsia="Arial" w:hAnsi="Arial"/>
                <w:sz w:val="11"/>
                <w:szCs w:val="11"/>
                <w:b w:val="1"/>
                <w:bCs w:val="1"/>
                <w:color w:val="auto"/>
              </w:rPr>
              <w:t>Financial assets and</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660" w:type="dxa"/>
            <w:vAlign w:val="bottom"/>
            <w:gridSpan w:val="4"/>
          </w:tcPr>
          <w:p>
            <w:pPr>
              <w:jc w:val="center"/>
              <w:ind w:right="60"/>
              <w:spacing w:after="0" w:line="131" w:lineRule="exact"/>
              <w:rPr>
                <w:sz w:val="20"/>
                <w:szCs w:val="20"/>
                <w:color w:val="auto"/>
              </w:rPr>
            </w:pPr>
            <w:r>
              <w:rPr>
                <w:rFonts w:ascii="Arial" w:cs="Arial" w:eastAsia="Arial" w:hAnsi="Arial"/>
                <w:sz w:val="13"/>
                <w:szCs w:val="13"/>
                <w:b w:val="1"/>
                <w:bCs w:val="1"/>
                <w:color w:val="auto"/>
                <w:w w:val="88"/>
              </w:rPr>
              <w:t>liabilities at fair</w:t>
            </w:r>
          </w:p>
        </w:tc>
        <w:tc>
          <w:tcPr>
            <w:tcW w:w="1780" w:type="dxa"/>
            <w:vAlign w:val="bottom"/>
            <w:gridSpan w:val="4"/>
          </w:tcPr>
          <w:p>
            <w:pPr>
              <w:jc w:val="center"/>
              <w:ind w:right="60"/>
              <w:spacing w:after="0" w:line="131" w:lineRule="exact"/>
              <w:rPr>
                <w:sz w:val="20"/>
                <w:szCs w:val="20"/>
                <w:color w:val="auto"/>
              </w:rPr>
            </w:pPr>
            <w:r>
              <w:rPr>
                <w:rFonts w:ascii="Arial" w:cs="Arial" w:eastAsia="Arial" w:hAnsi="Arial"/>
                <w:sz w:val="13"/>
                <w:szCs w:val="13"/>
                <w:b w:val="1"/>
                <w:bCs w:val="1"/>
                <w:color w:val="auto"/>
                <w:w w:val="89"/>
              </w:rPr>
              <w:t>through other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jc w:val="center"/>
              <w:ind w:right="80"/>
              <w:spacing w:after="0" w:line="131" w:lineRule="exact"/>
              <w:rPr>
                <w:sz w:val="20"/>
                <w:szCs w:val="20"/>
                <w:color w:val="auto"/>
              </w:rPr>
            </w:pPr>
            <w:r>
              <w:rPr>
                <w:rFonts w:ascii="Arial" w:cs="Arial" w:eastAsia="Arial" w:hAnsi="Arial"/>
                <w:sz w:val="13"/>
                <w:szCs w:val="13"/>
                <w:b w:val="1"/>
                <w:bCs w:val="1"/>
                <w:color w:val="auto"/>
                <w:w w:val="87"/>
              </w:rPr>
              <w:t>liabilities measured at fair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7"/>
              </w:rPr>
              <w:t>value through profit or loss</w:t>
            </w:r>
          </w:p>
        </w:tc>
        <w:tc>
          <w:tcPr>
            <w:tcW w:w="17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comprehensive income</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2"/>
              </w:rPr>
              <w:t>Financial</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left="557"/>
              <w:spacing w:after="0"/>
              <w:rPr>
                <w:sz w:val="20"/>
                <w:szCs w:val="20"/>
                <w:color w:val="auto"/>
              </w:rPr>
            </w:pPr>
            <w:r>
              <w:rPr>
                <w:rFonts w:ascii="Arial" w:cs="Arial" w:eastAsia="Arial" w:hAnsi="Arial"/>
                <w:sz w:val="13"/>
                <w:szCs w:val="13"/>
                <w:b w:val="1"/>
                <w:bCs w:val="1"/>
                <w:color w:val="auto"/>
                <w:w w:val="84"/>
              </w:rPr>
              <w:t>value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3"/>
              </w:rPr>
              <w:t>assets and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Financial</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4"/>
              </w:rPr>
              <w:t>Investments</w:t>
            </w:r>
          </w:p>
        </w:tc>
        <w:tc>
          <w:tcPr>
            <w:tcW w:w="7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6"/>
              </w:rPr>
              <w:t>liabilities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Held for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6"/>
              </w:rPr>
              <w:t>Investments</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4"/>
              </w:rPr>
              <w:t>Investments</w:t>
            </w:r>
          </w:p>
        </w:tc>
        <w:tc>
          <w:tcPr>
            <w:tcW w:w="74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4"/>
              </w:rPr>
              <w:t>Investments</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5"/>
              </w:rPr>
              <w:t>Designated</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6"/>
              </w:rPr>
              <w:t>measured at</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Designated</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Loans and</w:t>
            </w:r>
          </w:p>
        </w:tc>
        <w:tc>
          <w:tcPr>
            <w:tcW w:w="8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7"/>
              </w:rPr>
              <w:t>liabilities at</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Investments</w:t>
            </w:r>
          </w:p>
        </w:tc>
        <w:tc>
          <w:tcPr>
            <w:tcW w:w="7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1"/>
              </w:rPr>
              <w:t>designated</w:t>
            </w:r>
          </w:p>
        </w:tc>
        <w:tc>
          <w:tcPr>
            <w:tcW w:w="7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91"/>
              </w:rPr>
              <w:t>amortized</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940" w:type="dxa"/>
            <w:vAlign w:val="bottom"/>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2"/>
              </w:rPr>
              <w:t>trading or</w:t>
            </w:r>
          </w:p>
        </w:tc>
        <w:tc>
          <w:tcPr>
            <w:tcW w:w="7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7"/>
              </w:rPr>
              <w:t>available-</w:t>
            </w:r>
          </w:p>
        </w:tc>
        <w:tc>
          <w:tcPr>
            <w:tcW w:w="76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8"/>
              </w:rPr>
              <w:t>held-to-</w:t>
            </w: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7"/>
              </w:rPr>
              <w:t>amortized</w:t>
            </w:r>
          </w:p>
        </w:tc>
        <w:tc>
          <w:tcPr>
            <w:tcW w:w="7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and hedges</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at inception</w:t>
            </w:r>
          </w:p>
        </w:tc>
        <w:tc>
          <w:tcPr>
            <w:tcW w:w="1040" w:type="dxa"/>
            <w:vAlign w:val="bottom"/>
            <w:gridSpan w:val="2"/>
            <w:vMerge w:val="continue"/>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at inception</w:t>
            </w: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74"/>
              </w:rPr>
              <w:t>cost</w:t>
            </w:r>
          </w:p>
        </w:tc>
        <w:tc>
          <w:tcPr>
            <w:tcW w:w="760" w:type="dxa"/>
            <w:vAlign w:val="bottom"/>
            <w:gridSpan w:val="2"/>
            <w:vMerge w:val="continue"/>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hedging</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at inception</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1"/>
              </w:rPr>
              <w:t>receivables</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for-sale</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maturity</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cost</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8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0"/>
                <w:szCs w:val="10"/>
                <w:color w:val="auto"/>
              </w:rPr>
            </w:pPr>
          </w:p>
        </w:tc>
        <w:tc>
          <w:tcPr>
            <w:tcW w:w="74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3"/>
                <w:szCs w:val="13"/>
                <w:b w:val="1"/>
                <w:bCs w:val="1"/>
                <w:color w:val="auto"/>
              </w:rPr>
              <w:t>S/(000)</w:t>
            </w:r>
          </w:p>
        </w:tc>
        <w:tc>
          <w:tcPr>
            <w:tcW w:w="300" w:type="dxa"/>
            <w:vAlign w:val="bottom"/>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30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0"/>
                <w:szCs w:val="10"/>
                <w:color w:val="auto"/>
              </w:rPr>
            </w:pPr>
          </w:p>
        </w:tc>
        <w:tc>
          <w:tcPr>
            <w:tcW w:w="680" w:type="dxa"/>
            <w:vAlign w:val="bottom"/>
            <w:tcBorders>
              <w:top w:val="single" w:sz="8" w:color="auto"/>
            </w:tcBorders>
          </w:tcPr>
          <w:p>
            <w:pPr>
              <w:jc w:val="right"/>
              <w:ind w:right="97"/>
              <w:spacing w:after="0" w:line="123"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Assets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Cash and due</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from banks</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22,168,516</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22,168,516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w w:val="98"/>
              </w:rPr>
              <w:t>23,221,987</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23,221,987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rPr>
              <w:t>Cash collateral,</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reverse</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repurchase</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agreements</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w w:val="97"/>
              </w:rPr>
              <w:t>and securities</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borrowings</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4,082,942</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4,082,942</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7,480,420</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7,480,420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At fair value</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through profit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or loss</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3,512,445</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3,512,445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4,024,737</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4,024,737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rPr>
              <w:t>Investments at</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fair value</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through other</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w w:val="88"/>
              </w:rPr>
              <w:t>comprehensive</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income, Note</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6(b)</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24,546,365</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649,470</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25,195,835</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Available-for-</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sale</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investments</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24,423,891</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24,423,891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rPr>
              <w:t>Amortized cost</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investments</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4,154,838</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4,154,838</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7"/>
              </w:rPr>
              <w:t>Held-to-maturity</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Investments</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4,413,373</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4,413,373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line="131" w:lineRule="exact"/>
              <w:rPr>
                <w:sz w:val="20"/>
                <w:szCs w:val="20"/>
                <w:color w:val="auto"/>
              </w:rPr>
            </w:pPr>
            <w:r>
              <w:rPr>
                <w:rFonts w:ascii="Arial" w:cs="Arial" w:eastAsia="Arial" w:hAnsi="Arial"/>
                <w:sz w:val="13"/>
                <w:szCs w:val="13"/>
                <w:color w:val="auto"/>
              </w:rPr>
              <w:t>Loans, net</w:t>
            </w:r>
          </w:p>
        </w:tc>
        <w:tc>
          <w:tcPr>
            <w:tcW w:w="960" w:type="dxa"/>
            <w:vAlign w:val="bottom"/>
            <w:gridSpan w:val="2"/>
          </w:tcPr>
          <w:p>
            <w:pPr>
              <w:jc w:val="right"/>
              <w:ind w:right="280"/>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74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w w:val="91"/>
              </w:rPr>
              <w:t>105,806,998</w:t>
            </w: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w w:val="91"/>
              </w:rPr>
              <w:t>105,806,998</w:t>
            </w: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w w:val="98"/>
              </w:rPr>
              <w:t>95,977,277</w:t>
            </w:r>
          </w:p>
        </w:tc>
        <w:tc>
          <w:tcPr>
            <w:tcW w:w="80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95,977,277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6"/>
              </w:rPr>
              <w:t>Financial assets</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w w:val="99"/>
              </w:rPr>
              <w:t>designated at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fair value</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through profit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or loss</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521,186</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521,186</w:t>
            </w: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537,685</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537,685</w:t>
            </w: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rPr>
              <w:t>Premiums and</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other policies</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receivable</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887,273</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887,273</w:t>
            </w: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656,829</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656,829</w:t>
            </w: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Accounts</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receivable</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w w:val="89"/>
              </w:rPr>
              <w:t>from reinsurers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w w:val="91"/>
              </w:rPr>
              <w:t>and coinsurers</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842,043</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842,043</w:t>
            </w: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715,695</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715,695</w:t>
            </w: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rPr>
              <w:t>Due from</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w w:val="99"/>
              </w:rPr>
              <w:t>customers on</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acceptances</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967,968</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967,968</w:t>
            </w: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532,034</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532,034</w:t>
            </w: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Other assets,</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Note 12(a)</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766,317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2,306,460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3,072,777</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701,826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1,759,125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2,460,951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4,278,762</w:t>
            </w:r>
          </w:p>
        </w:tc>
        <w:tc>
          <w:tcPr>
            <w:tcW w:w="2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521,186</w:t>
            </w:r>
          </w:p>
        </w:tc>
        <w:tc>
          <w:tcPr>
            <w:tcW w:w="6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24,546,365</w:t>
            </w:r>
          </w:p>
        </w:tc>
        <w:tc>
          <w:tcPr>
            <w:tcW w:w="3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649,470</w:t>
            </w:r>
          </w:p>
        </w:tc>
        <w:tc>
          <w:tcPr>
            <w:tcW w:w="6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1"/>
              </w:rPr>
              <w:t>141,217,038</w:t>
            </w:r>
          </w:p>
        </w:tc>
        <w:tc>
          <w:tcPr>
            <w:tcW w:w="6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1"/>
              </w:rPr>
              <w:t>171,212,821</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4,726,563</w:t>
            </w:r>
          </w:p>
        </w:tc>
        <w:tc>
          <w:tcPr>
            <w:tcW w:w="30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537,685</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88"/>
              </w:rPr>
              <w:t>130,343,367</w:t>
            </w:r>
          </w:p>
        </w:tc>
        <w:tc>
          <w:tcPr>
            <w:tcW w:w="8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24,423,891</w:t>
            </w:r>
          </w:p>
        </w:tc>
        <w:tc>
          <w:tcPr>
            <w:tcW w:w="6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4,413,373</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1"/>
              </w:rPr>
              <w:t>164,444,879</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9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line="131" w:lineRule="exact"/>
              <w:rPr>
                <w:sz w:val="20"/>
                <w:szCs w:val="20"/>
                <w:color w:val="auto"/>
              </w:rPr>
            </w:pPr>
            <w:r>
              <w:rPr>
                <w:rFonts w:ascii="Arial" w:cs="Arial" w:eastAsia="Arial" w:hAnsi="Arial"/>
                <w:sz w:val="13"/>
                <w:szCs w:val="13"/>
                <w:b w:val="1"/>
                <w:bCs w:val="1"/>
                <w:color w:val="auto"/>
              </w:rPr>
              <w:t>Liabilities</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rPr>
              <w:t>Deposits and</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obligations</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w w:val="91"/>
              </w:rPr>
              <w:t>104,551,310</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w w:val="91"/>
              </w:rPr>
              <w:t>104,551,310</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w w:val="98"/>
              </w:rPr>
              <w:t>97,170,411</w:t>
            </w:r>
          </w:p>
        </w:tc>
        <w:tc>
          <w:tcPr>
            <w:tcW w:w="7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97,170,411</w:t>
            </w: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Payables from</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repurchase</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agreements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w w:val="97"/>
              </w:rPr>
              <w:t>and securities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lending</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9,415,357</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9,415,357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w w:val="98"/>
              </w:rPr>
              <w:t>13,415,843</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13,415,843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w w:val="88"/>
              </w:rPr>
              <w:t>Due to banks and</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w w:val="87"/>
              </w:rPr>
              <w:t>correspondents</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8,448,140</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8,448,140</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7,996,889</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7,996,889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Bankers’</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acceptances</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outstanding</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967,968</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967,968</w:t>
            </w: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532,034</w:t>
            </w:r>
          </w:p>
        </w:tc>
        <w:tc>
          <w:tcPr>
            <w:tcW w:w="70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532,034</w:t>
            </w: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rPr>
              <w:t>Financial</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liabilities at</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fair value</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tcPr>
          <w:p>
            <w:pPr>
              <w:ind w:left="120"/>
              <w:spacing w:after="0" w:line="131" w:lineRule="exact"/>
              <w:rPr>
                <w:sz w:val="20"/>
                <w:szCs w:val="20"/>
                <w:color w:val="auto"/>
              </w:rPr>
            </w:pPr>
            <w:r>
              <w:rPr>
                <w:rFonts w:ascii="Arial" w:cs="Arial" w:eastAsia="Arial" w:hAnsi="Arial"/>
                <w:sz w:val="13"/>
                <w:szCs w:val="13"/>
                <w:color w:val="auto"/>
              </w:rPr>
              <w:t>through profit</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or loss</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362,310</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362,310</w:t>
            </w: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168,089</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168,089</w:t>
            </w: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Accounts</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payable to</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w w:val="93"/>
              </w:rPr>
              <w:t>reinsurers and</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coinsurers</w:t>
            </w:r>
          </w:p>
        </w:tc>
        <w:tc>
          <w:tcPr>
            <w:tcW w:w="96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291,693</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291,693</w:t>
            </w:r>
          </w:p>
        </w:tc>
        <w:tc>
          <w:tcPr>
            <w:tcW w:w="9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235,185</w:t>
            </w:r>
          </w:p>
        </w:tc>
        <w:tc>
          <w:tcPr>
            <w:tcW w:w="70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235,185</w:t>
            </w:r>
          </w:p>
        </w:tc>
        <w:tc>
          <w:tcPr>
            <w:tcW w:w="0" w:type="dxa"/>
            <w:vAlign w:val="bottom"/>
          </w:tcPr>
          <w:p>
            <w:pPr>
              <w:spacing w:after="0"/>
              <w:rPr>
                <w:sz w:val="1"/>
                <w:szCs w:val="1"/>
                <w:color w:val="auto"/>
              </w:rPr>
            </w:pPr>
          </w:p>
        </w:tc>
      </w:tr>
      <w:tr>
        <w:trPr>
          <w:trHeight w:val="114"/>
        </w:trPr>
        <w:tc>
          <w:tcPr>
            <w:tcW w:w="920" w:type="dxa"/>
            <w:vAlign w:val="bottom"/>
          </w:tcPr>
          <w:p>
            <w:pPr>
              <w:spacing w:after="0" w:line="114" w:lineRule="exact"/>
              <w:rPr>
                <w:sz w:val="20"/>
                <w:szCs w:val="20"/>
                <w:color w:val="auto"/>
              </w:rPr>
            </w:pPr>
            <w:r>
              <w:rPr>
                <w:rFonts w:ascii="Arial" w:cs="Arial" w:eastAsia="Arial" w:hAnsi="Arial"/>
                <w:sz w:val="13"/>
                <w:szCs w:val="13"/>
                <w:color w:val="auto"/>
                <w:w w:val="92"/>
              </w:rPr>
              <w:t>Bonds and notes</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120"/>
              <w:spacing w:after="0" w:line="146" w:lineRule="exact"/>
              <w:rPr>
                <w:sz w:val="20"/>
                <w:szCs w:val="20"/>
                <w:color w:val="auto"/>
              </w:rPr>
            </w:pPr>
            <w:r>
              <w:rPr>
                <w:rFonts w:ascii="Arial" w:cs="Arial" w:eastAsia="Arial" w:hAnsi="Arial"/>
                <w:sz w:val="13"/>
                <w:szCs w:val="13"/>
                <w:color w:val="auto"/>
              </w:rPr>
              <w:t>issued</w:t>
            </w:r>
          </w:p>
        </w:tc>
        <w:tc>
          <w:tcPr>
            <w:tcW w:w="96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15,457,540</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15,457,540</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7,986,539</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8,255,718</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16,242,257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Other liabilities,</w:t>
            </w: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Note 12(a)</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715,804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2,978,514</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3,694,318</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636,762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3,236,251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3,873,013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1,078,114</w:t>
            </w:r>
          </w:p>
        </w:tc>
        <w:tc>
          <w:tcPr>
            <w:tcW w:w="2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1"/>
              </w:rPr>
              <w:t>142,110,522</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1"/>
              </w:rPr>
              <w:t>143,188,636</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8,791,390</w:t>
            </w:r>
          </w:p>
        </w:tc>
        <w:tc>
          <w:tcPr>
            <w:tcW w:w="3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88"/>
              </w:rPr>
              <w:t>130,842,331</w:t>
            </w: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1"/>
              </w:rPr>
              <w:t>139,633,721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520"/>
          </w:cols>
          <w:pgMar w:left="240" w:top="810" w:right="139" w:bottom="1440" w:gutter="0" w:footer="0" w:header="0"/>
        </w:sectPr>
      </w:pPr>
    </w:p>
    <w:bookmarkStart w:id="129" w:name="page130"/>
    <w:bookmarkEnd w:id="129"/>
    <w:p>
      <w:pPr>
        <w:ind w:left="285" w:hanging="285"/>
        <w:spacing w:after="0"/>
        <w:tabs>
          <w:tab w:leader="none" w:pos="285"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RISK MANAGEMENT</w:t>
      </w:r>
    </w:p>
    <w:p>
      <w:pPr>
        <w:spacing w:after="0" w:line="199" w:lineRule="exact"/>
        <w:rPr>
          <w:rFonts w:ascii="Arial" w:cs="Arial" w:eastAsia="Arial" w:hAnsi="Arial"/>
          <w:sz w:val="16"/>
          <w:szCs w:val="16"/>
          <w:b w:val="1"/>
          <w:bCs w:val="1"/>
          <w:color w:val="auto"/>
        </w:rPr>
      </w:pPr>
    </w:p>
    <w:p>
      <w:pPr>
        <w:jc w:val="both"/>
        <w:ind w:left="285"/>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The Group’s activities involve principally the use of financial instruments, including derivatives and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65" w:lineRule="exact"/>
        <w:rPr>
          <w:rFonts w:ascii="Arial" w:cs="Arial" w:eastAsia="Arial" w:hAnsi="Arial"/>
          <w:sz w:val="16"/>
          <w:szCs w:val="16"/>
          <w:b w:val="1"/>
          <w:bCs w:val="1"/>
          <w:color w:val="auto"/>
        </w:rPr>
      </w:pPr>
    </w:p>
    <w:p>
      <w:pPr>
        <w:ind w:left="285" w:right="20"/>
        <w:spacing w:after="0" w:line="269" w:lineRule="auto"/>
        <w:rPr>
          <w:rFonts w:ascii="Arial" w:cs="Arial" w:eastAsia="Arial" w:hAnsi="Arial"/>
          <w:sz w:val="16"/>
          <w:szCs w:val="16"/>
          <w:b w:val="1"/>
          <w:bCs w:val="1"/>
          <w:color w:val="auto"/>
        </w:rPr>
      </w:pPr>
      <w:r>
        <w:rPr>
          <w:rFonts w:ascii="Arial" w:cs="Arial" w:eastAsia="Arial" w:hAnsi="Arial"/>
          <w:sz w:val="16"/>
          <w:szCs w:val="16"/>
          <w:color w:val="auto"/>
        </w:rPr>
        <w:t>The Group also trades in financial instruments where it takes positions in traded and over-the-counter instruments, derivatives included, to take advantage of short term market movements on securities, bonds, currencies and interest rates.</w:t>
      </w:r>
    </w:p>
    <w:p>
      <w:pPr>
        <w:spacing w:after="0" w:line="156" w:lineRule="exact"/>
        <w:rPr>
          <w:rFonts w:ascii="Arial" w:cs="Arial" w:eastAsia="Arial" w:hAnsi="Arial"/>
          <w:sz w:val="16"/>
          <w:szCs w:val="16"/>
          <w:b w:val="1"/>
          <w:bCs w:val="1"/>
          <w:color w:val="auto"/>
        </w:rPr>
      </w:pPr>
    </w:p>
    <w:p>
      <w:pPr>
        <w:ind w:left="285" w:right="260"/>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Given the Group’s activities, it has a framework for risk appetite, a corner stone of the management. The risk management processes involve continuous identification, measurement, treatment and monitoring. The Group is exposed, principally, to operating risk, credit risk, liquidity risk and market risk, strategic risk and insurance technical risk. Finally, it reports on a consolidated basis the risks to which the Group is exposed.</w:t>
      </w:r>
    </w:p>
    <w:p>
      <w:pPr>
        <w:spacing w:after="0" w:line="165" w:lineRule="exact"/>
        <w:rPr>
          <w:rFonts w:ascii="Arial" w:cs="Arial" w:eastAsia="Arial" w:hAnsi="Arial"/>
          <w:sz w:val="16"/>
          <w:szCs w:val="16"/>
          <w:b w:val="1"/>
          <w:bCs w:val="1"/>
          <w:color w:val="auto"/>
        </w:rPr>
      </w:pPr>
    </w:p>
    <w:p>
      <w:pPr>
        <w:ind w:left="565" w:hanging="281"/>
        <w:spacing w:after="0"/>
        <w:tabs>
          <w:tab w:leader="none" w:pos="565" w:val="left"/>
        </w:tabs>
        <w:numPr>
          <w:ilvl w:val="1"/>
          <w:numId w:val="156"/>
        </w:numPr>
        <w:rPr>
          <w:rFonts w:ascii="Arial" w:cs="Arial" w:eastAsia="Arial" w:hAnsi="Arial"/>
          <w:sz w:val="16"/>
          <w:szCs w:val="16"/>
          <w:color w:val="auto"/>
        </w:rPr>
      </w:pPr>
      <w:r>
        <w:rPr>
          <w:rFonts w:ascii="Arial" w:cs="Arial" w:eastAsia="Arial" w:hAnsi="Arial"/>
          <w:sz w:val="16"/>
          <w:szCs w:val="16"/>
          <w:color w:val="auto"/>
        </w:rPr>
        <w:t>Risk management structure -</w:t>
      </w:r>
    </w:p>
    <w:p>
      <w:pPr>
        <w:spacing w:after="0" w:line="195" w:lineRule="exact"/>
        <w:rPr>
          <w:rFonts w:ascii="Arial" w:cs="Arial" w:eastAsia="Arial" w:hAnsi="Arial"/>
          <w:sz w:val="16"/>
          <w:szCs w:val="16"/>
          <w:color w:val="auto"/>
        </w:rPr>
      </w:pPr>
    </w:p>
    <w:p>
      <w:pPr>
        <w:ind w:left="565" w:right="520"/>
        <w:spacing w:after="0" w:line="269" w:lineRule="auto"/>
        <w:rPr>
          <w:rFonts w:ascii="Arial" w:cs="Arial" w:eastAsia="Arial" w:hAnsi="Arial"/>
          <w:sz w:val="16"/>
          <w:szCs w:val="16"/>
          <w:color w:val="auto"/>
        </w:rPr>
      </w:pPr>
      <w:r>
        <w:rPr>
          <w:rFonts w:ascii="Arial" w:cs="Arial" w:eastAsia="Arial" w:hAnsi="Arial"/>
          <w:sz w:val="16"/>
          <w:szCs w:val="16"/>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156" w:lineRule="exact"/>
        <w:rPr>
          <w:rFonts w:ascii="Arial" w:cs="Arial" w:eastAsia="Arial" w:hAnsi="Arial"/>
          <w:sz w:val="16"/>
          <w:szCs w:val="16"/>
          <w:color w:val="auto"/>
        </w:rPr>
      </w:pPr>
    </w:p>
    <w:p>
      <w:pPr>
        <w:ind w:left="845" w:right="8640" w:hanging="276"/>
        <w:spacing w:after="0" w:line="565" w:lineRule="auto"/>
        <w:tabs>
          <w:tab w:leader="none" w:pos="845" w:val="left"/>
        </w:tabs>
        <w:numPr>
          <w:ilvl w:val="2"/>
          <w:numId w:val="156"/>
        </w:numPr>
        <w:rPr>
          <w:rFonts w:ascii="Arial" w:cs="Arial" w:eastAsia="Arial" w:hAnsi="Arial"/>
          <w:sz w:val="14"/>
          <w:szCs w:val="14"/>
          <w:color w:val="auto"/>
        </w:rPr>
      </w:pPr>
      <w:r>
        <w:rPr>
          <w:rFonts w:ascii="Arial" w:cs="Arial" w:eastAsia="Arial" w:hAnsi="Arial"/>
          <w:sz w:val="14"/>
          <w:szCs w:val="14"/>
          <w:color w:val="auto"/>
        </w:rPr>
        <w:t>Group’s Board of Directors - Credicorp Board of Directors -</w:t>
      </w:r>
    </w:p>
    <w:p>
      <w:pPr>
        <w:ind w:left="845" w:right="40"/>
        <w:spacing w:after="0" w:line="312" w:lineRule="auto"/>
        <w:rPr>
          <w:rFonts w:ascii="Arial" w:cs="Arial" w:eastAsia="Arial" w:hAnsi="Arial"/>
          <w:sz w:val="14"/>
          <w:szCs w:val="14"/>
          <w:color w:val="auto"/>
        </w:rPr>
      </w:pPr>
      <w:r>
        <w:rPr>
          <w:rFonts w:ascii="Arial" w:cs="Arial" w:eastAsia="Arial" w:hAnsi="Arial"/>
          <w:sz w:val="14"/>
          <w:szCs w:val="14"/>
          <w:color w:val="auto"/>
        </w:rPr>
        <w:t>The Board of Directors is responsible for the overall risk management approach and for the approval of the levels of risk appetite that the Group is prepared to assume. Furthermore, it approves the guidelines and policies for Integral Risk Management. On the other hand, the Board establishes an organizational culture which emphasizes the importance of risk management, oversees the internal control system and ensures the adequate performance of the compliance function.</w:t>
      </w:r>
    </w:p>
    <w:p>
      <w:pPr>
        <w:spacing w:after="0" w:line="130" w:lineRule="exact"/>
        <w:rPr>
          <w:rFonts w:ascii="Arial" w:cs="Arial" w:eastAsia="Arial" w:hAnsi="Arial"/>
          <w:sz w:val="14"/>
          <w:szCs w:val="14"/>
          <w:color w:val="auto"/>
        </w:rPr>
      </w:pPr>
    </w:p>
    <w:p>
      <w:pPr>
        <w:ind w:left="845"/>
        <w:spacing w:after="0"/>
        <w:rPr>
          <w:rFonts w:ascii="Arial" w:cs="Arial" w:eastAsia="Arial" w:hAnsi="Arial"/>
          <w:sz w:val="14"/>
          <w:szCs w:val="14"/>
          <w:color w:val="auto"/>
        </w:rPr>
      </w:pPr>
      <w:r>
        <w:rPr>
          <w:rFonts w:ascii="Arial" w:cs="Arial" w:eastAsia="Arial" w:hAnsi="Arial"/>
          <w:sz w:val="16"/>
          <w:szCs w:val="16"/>
          <w:color w:val="auto"/>
        </w:rPr>
        <w:t>Group Company Boards -</w:t>
      </w:r>
    </w:p>
    <w:p>
      <w:pPr>
        <w:spacing w:after="0" w:line="195" w:lineRule="exact"/>
        <w:rPr>
          <w:rFonts w:ascii="Arial" w:cs="Arial" w:eastAsia="Arial" w:hAnsi="Arial"/>
          <w:sz w:val="14"/>
          <w:szCs w:val="14"/>
          <w:color w:val="auto"/>
        </w:rPr>
      </w:pPr>
    </w:p>
    <w:p>
      <w:pPr>
        <w:ind w:left="845" w:right="380"/>
        <w:spacing w:after="0" w:line="269" w:lineRule="auto"/>
        <w:rPr>
          <w:rFonts w:ascii="Arial" w:cs="Arial" w:eastAsia="Arial" w:hAnsi="Arial"/>
          <w:sz w:val="14"/>
          <w:szCs w:val="14"/>
          <w:color w:val="auto"/>
        </w:rPr>
      </w:pPr>
      <w:r>
        <w:rPr>
          <w:rFonts w:ascii="Arial" w:cs="Arial" w:eastAsia="Arial" w:hAnsi="Arial"/>
          <w:sz w:val="16"/>
          <w:szCs w:val="16"/>
          <w:color w:val="auto"/>
        </w:rPr>
        <w:t>The Board of each of the Group companies is responsible for aligning the risk management established by the Board of Credicorp with the context of each one of them. For that, it establishes a framework for risk appetite, policies and guidelines.</w:t>
      </w:r>
    </w:p>
    <w:p>
      <w:pPr>
        <w:spacing w:after="0" w:line="156" w:lineRule="exact"/>
        <w:rPr>
          <w:rFonts w:ascii="Arial" w:cs="Arial" w:eastAsia="Arial" w:hAnsi="Arial"/>
          <w:sz w:val="14"/>
          <w:szCs w:val="14"/>
          <w:color w:val="auto"/>
        </w:rPr>
      </w:pPr>
    </w:p>
    <w:p>
      <w:pPr>
        <w:ind w:left="845" w:hanging="276"/>
        <w:spacing w:after="0"/>
        <w:tabs>
          <w:tab w:leader="none" w:pos="845" w:val="left"/>
        </w:tabs>
        <w:numPr>
          <w:ilvl w:val="2"/>
          <w:numId w:val="156"/>
        </w:numPr>
        <w:rPr>
          <w:rFonts w:ascii="Arial" w:cs="Arial" w:eastAsia="Arial" w:hAnsi="Arial"/>
          <w:sz w:val="16"/>
          <w:szCs w:val="16"/>
          <w:color w:val="auto"/>
        </w:rPr>
      </w:pPr>
      <w:r>
        <w:rPr>
          <w:rFonts w:ascii="Arial" w:cs="Arial" w:eastAsia="Arial" w:hAnsi="Arial"/>
          <w:sz w:val="16"/>
          <w:szCs w:val="16"/>
          <w:color w:val="auto"/>
        </w:rPr>
        <w:t>Credicorp Risk Committee -</w:t>
      </w:r>
    </w:p>
    <w:p>
      <w:pPr>
        <w:spacing w:after="0" w:line="195" w:lineRule="exact"/>
        <w:rPr>
          <w:rFonts w:ascii="Arial" w:cs="Arial" w:eastAsia="Arial" w:hAnsi="Arial"/>
          <w:sz w:val="16"/>
          <w:szCs w:val="16"/>
          <w:color w:val="auto"/>
        </w:rPr>
      </w:pPr>
    </w:p>
    <w:p>
      <w:pPr>
        <w:ind w:left="845" w:right="340" w:hanging="8"/>
        <w:spacing w:after="0" w:line="303" w:lineRule="auto"/>
        <w:rPr>
          <w:rFonts w:ascii="Arial" w:cs="Arial" w:eastAsia="Arial" w:hAnsi="Arial"/>
          <w:sz w:val="16"/>
          <w:szCs w:val="16"/>
          <w:color w:val="auto"/>
        </w:rPr>
      </w:pPr>
      <w:r>
        <w:rPr>
          <w:rFonts w:ascii="Arial" w:cs="Arial" w:eastAsia="Arial" w:hAnsi="Arial"/>
          <w:sz w:val="15"/>
          <w:szCs w:val="15"/>
          <w:color w:val="auto"/>
        </w:rPr>
        <w:t>Represents the Board of Credicorp in risk management decision-making. This Committee defines the strategies used for the adequate management of the different types of risks and the supervision of risk appetite. In addition to it, they establishing principles, policies and general limits.</w:t>
      </w:r>
    </w:p>
    <w:p>
      <w:pPr>
        <w:spacing w:after="0" w:line="133" w:lineRule="exact"/>
        <w:rPr>
          <w:rFonts w:ascii="Arial" w:cs="Arial" w:eastAsia="Arial" w:hAnsi="Arial"/>
          <w:sz w:val="16"/>
          <w:szCs w:val="16"/>
          <w:color w:val="auto"/>
        </w:rPr>
      </w:pPr>
    </w:p>
    <w:p>
      <w:pPr>
        <w:jc w:val="both"/>
        <w:ind w:left="845" w:hanging="8"/>
        <w:spacing w:after="0" w:line="342" w:lineRule="auto"/>
        <w:rPr>
          <w:rFonts w:ascii="Arial" w:cs="Arial" w:eastAsia="Arial" w:hAnsi="Arial"/>
          <w:sz w:val="16"/>
          <w:szCs w:val="16"/>
          <w:color w:val="auto"/>
        </w:rPr>
      </w:pPr>
      <w:r>
        <w:rPr>
          <w:rFonts w:ascii="Arial" w:cs="Arial" w:eastAsia="Arial" w:hAnsi="Arial"/>
          <w:sz w:val="14"/>
          <w:szCs w:val="14"/>
          <w:color w:val="auto"/>
        </w:rPr>
        <w:t>The Risk Committee is presided by a Board member of Credicorp, it also consists of a second member of the Board of Credicorp, a Board member of BCP, the General Manager of BCP, the Central Manager of Planning and Finance of BCP, the Central Risk Manager of BCP and the Manager of the Risk Management Division of BCP.</w:t>
      </w:r>
    </w:p>
    <w:p>
      <w:pPr>
        <w:spacing w:after="0" w:line="110" w:lineRule="exact"/>
        <w:rPr>
          <w:rFonts w:ascii="Arial" w:cs="Arial" w:eastAsia="Arial" w:hAnsi="Arial"/>
          <w:sz w:val="16"/>
          <w:szCs w:val="16"/>
          <w:color w:val="auto"/>
        </w:rPr>
      </w:pPr>
    </w:p>
    <w:p>
      <w:pPr>
        <w:ind w:left="845" w:right="340"/>
        <w:spacing w:after="0" w:line="269" w:lineRule="auto"/>
        <w:rPr>
          <w:rFonts w:ascii="Arial" w:cs="Arial" w:eastAsia="Arial" w:hAnsi="Arial"/>
          <w:sz w:val="16"/>
          <w:szCs w:val="16"/>
          <w:color w:val="auto"/>
        </w:rPr>
      </w:pPr>
      <w:r>
        <w:rPr>
          <w:rFonts w:ascii="Arial" w:cs="Arial" w:eastAsia="Arial" w:hAnsi="Arial"/>
          <w:sz w:val="16"/>
          <w:szCs w:val="16"/>
          <w:color w:val="auto"/>
        </w:rPr>
        <w:t>In addition to effectively managing all the risks, the Credicorp Risk Committee is supported by the following committees which report periodically on all relevant changes or issues relating to the risks being managed:</w:t>
      </w:r>
    </w:p>
    <w:p>
      <w:pPr>
        <w:spacing w:after="0" w:line="346" w:lineRule="exact"/>
        <w:rPr>
          <w:rFonts w:ascii="Arial" w:cs="Arial" w:eastAsia="Arial" w:hAnsi="Arial"/>
          <w:sz w:val="16"/>
          <w:szCs w:val="16"/>
          <w:color w:val="auto"/>
        </w:rPr>
      </w:pPr>
    </w:p>
    <w:p>
      <w:pPr>
        <w:ind w:left="5605" w:hanging="91"/>
        <w:spacing w:after="0"/>
        <w:tabs>
          <w:tab w:leader="none" w:pos="5605" w:val="left"/>
        </w:tabs>
        <w:numPr>
          <w:ilvl w:val="3"/>
          <w:numId w:val="156"/>
        </w:numPr>
        <w:rPr>
          <w:rFonts w:ascii="Arial" w:cs="Arial" w:eastAsia="Arial" w:hAnsi="Arial"/>
          <w:sz w:val="16"/>
          <w:szCs w:val="16"/>
          <w:color w:val="auto"/>
        </w:rPr>
      </w:pPr>
      <w:r>
        <w:rPr>
          <w:rFonts w:ascii="Arial" w:cs="Arial" w:eastAsia="Arial" w:hAnsi="Arial"/>
          <w:sz w:val="16"/>
          <w:szCs w:val="16"/>
          <w:color w:val="auto"/>
        </w:rPr>
        <w:t>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5"/>
          </w:cols>
          <w:pgMar w:left="235" w:top="810" w:right="219" w:bottom="1440" w:gutter="0" w:footer="0" w:header="0"/>
        </w:sectPr>
      </w:pPr>
    </w:p>
    <w:bookmarkStart w:id="130" w:name="page131"/>
    <w:bookmarkEnd w:id="130"/>
    <w:p>
      <w:pPr>
        <w:ind w:left="276"/>
        <w:spacing w:after="0"/>
        <w:rPr>
          <w:sz w:val="20"/>
          <w:szCs w:val="20"/>
          <w:color w:val="auto"/>
        </w:rPr>
      </w:pPr>
      <w:r>
        <w:rPr>
          <w:rFonts w:ascii="Arial" w:cs="Arial" w:eastAsia="Arial" w:hAnsi="Arial"/>
          <w:sz w:val="16"/>
          <w:szCs w:val="16"/>
          <w:color w:val="auto"/>
        </w:rPr>
        <w:t>Credit Risk Committees (retail and non retail)-</w:t>
      </w:r>
    </w:p>
    <w:p>
      <w:pPr>
        <w:spacing w:after="0" w:line="195" w:lineRule="exact"/>
        <w:rPr>
          <w:sz w:val="20"/>
          <w:szCs w:val="20"/>
          <w:color w:val="auto"/>
        </w:rPr>
      </w:pPr>
    </w:p>
    <w:p>
      <w:pPr>
        <w:ind w:left="276" w:right="40"/>
        <w:spacing w:after="0" w:line="258" w:lineRule="auto"/>
        <w:rPr>
          <w:sz w:val="20"/>
          <w:szCs w:val="20"/>
          <w:color w:val="auto"/>
        </w:rPr>
      </w:pPr>
      <w:r>
        <w:rPr>
          <w:rFonts w:ascii="Arial" w:cs="Arial" w:eastAsia="Arial" w:hAnsi="Arial"/>
          <w:sz w:val="16"/>
          <w:szCs w:val="16"/>
          <w:color w:val="auto"/>
        </w:rPr>
        <w:t>The Credit Risk Committees are responsible for reviewing the tolerance level of the credit risk appetite and the limits of exposure. In addition, they propose credit risk management norms and policies within the framework of governance and the organization for the integral management of credit risk. Furthermore, they propose the approval of any changes to the functions described above and important findings to the Risk Committee.</w:t>
      </w:r>
    </w:p>
    <w:p>
      <w:pPr>
        <w:spacing w:after="0" w:line="165" w:lineRule="exact"/>
        <w:rPr>
          <w:sz w:val="20"/>
          <w:szCs w:val="20"/>
          <w:color w:val="auto"/>
        </w:rPr>
      </w:pPr>
    </w:p>
    <w:p>
      <w:pPr>
        <w:ind w:left="276"/>
        <w:spacing w:after="0"/>
        <w:rPr>
          <w:sz w:val="20"/>
          <w:szCs w:val="20"/>
          <w:color w:val="auto"/>
        </w:rPr>
      </w:pPr>
      <w:r>
        <w:rPr>
          <w:rFonts w:ascii="Arial" w:cs="Arial" w:eastAsia="Arial" w:hAnsi="Arial"/>
          <w:sz w:val="16"/>
          <w:szCs w:val="16"/>
          <w:color w:val="auto"/>
        </w:rPr>
        <w:t>Treasury and ALM (Asset Liability Management) Risk Committee -</w:t>
      </w:r>
    </w:p>
    <w:p>
      <w:pPr>
        <w:spacing w:after="0" w:line="195" w:lineRule="exact"/>
        <w:rPr>
          <w:sz w:val="20"/>
          <w:szCs w:val="20"/>
          <w:color w:val="auto"/>
        </w:rPr>
      </w:pPr>
    </w:p>
    <w:p>
      <w:pPr>
        <w:ind w:left="276" w:right="100"/>
        <w:spacing w:after="0" w:line="254" w:lineRule="auto"/>
        <w:rPr>
          <w:sz w:val="20"/>
          <w:szCs w:val="20"/>
          <w:color w:val="auto"/>
        </w:rPr>
      </w:pPr>
      <w:r>
        <w:rPr>
          <w:rFonts w:ascii="Arial" w:cs="Arial" w:eastAsia="Arial" w:hAnsi="Arial"/>
          <w:sz w:val="16"/>
          <w:szCs w:val="16"/>
          <w:color w:val="auto"/>
        </w:rPr>
        <w:t>The Treasury and ALM Risk Committee is responsible for analyzing and proposing corrective measures in the event of deviations from the risk tolerance levels assumed by the Treasury risk appetite. It also proposes the guidelines and policies for the Treasury Risk Management and ALM, within the framework of governance and organization for the integral management of market risks. Furthermore, it is responsible for proposing the approval of any changes in the functions described above and for reporting any finding to the Risk Committee.</w:t>
      </w:r>
    </w:p>
    <w:p>
      <w:pPr>
        <w:spacing w:after="0" w:line="169" w:lineRule="exact"/>
        <w:rPr>
          <w:sz w:val="20"/>
          <w:szCs w:val="20"/>
          <w:color w:val="auto"/>
        </w:rPr>
      </w:pPr>
    </w:p>
    <w:p>
      <w:pPr>
        <w:ind w:left="276"/>
        <w:spacing w:after="0"/>
        <w:rPr>
          <w:sz w:val="20"/>
          <w:szCs w:val="20"/>
          <w:color w:val="auto"/>
        </w:rPr>
      </w:pPr>
      <w:r>
        <w:rPr>
          <w:rFonts w:ascii="Arial" w:cs="Arial" w:eastAsia="Arial" w:hAnsi="Arial"/>
          <w:sz w:val="16"/>
          <w:szCs w:val="16"/>
          <w:color w:val="auto"/>
        </w:rPr>
        <w:t>Operational Risk Committee–</w:t>
      </w:r>
    </w:p>
    <w:p>
      <w:pPr>
        <w:spacing w:after="0" w:line="195" w:lineRule="exact"/>
        <w:rPr>
          <w:sz w:val="20"/>
          <w:szCs w:val="20"/>
          <w:color w:val="auto"/>
        </w:rPr>
      </w:pPr>
    </w:p>
    <w:p>
      <w:pPr>
        <w:ind w:left="276" w:right="300"/>
        <w:spacing w:after="0" w:line="283" w:lineRule="auto"/>
        <w:rPr>
          <w:sz w:val="20"/>
          <w:szCs w:val="20"/>
          <w:color w:val="auto"/>
        </w:rPr>
      </w:pPr>
      <w:r>
        <w:rPr>
          <w:rFonts w:ascii="Arial" w:cs="Arial" w:eastAsia="Arial" w:hAnsi="Arial"/>
          <w:sz w:val="15"/>
          <w:szCs w:val="15"/>
          <w:color w:val="auto"/>
        </w:rPr>
        <w:t>The Operational Risk Committee is responsible for reviewing the tolerance level of the appetite for operational risk and the limits of exposure. It also proposes the rules, operational risk management policies and the mechanisms for the implementation of corrective actions within the governance framework. Furthermore, it proposes the approval of any changes to the functions described above and reports any finding to the Risk Committee.</w:t>
      </w:r>
    </w:p>
    <w:p>
      <w:pPr>
        <w:spacing w:after="0" w:line="148" w:lineRule="exact"/>
        <w:rPr>
          <w:sz w:val="20"/>
          <w:szCs w:val="20"/>
          <w:color w:val="auto"/>
        </w:rPr>
      </w:pPr>
    </w:p>
    <w:p>
      <w:pPr>
        <w:ind w:left="276" w:hanging="276"/>
        <w:spacing w:after="0"/>
        <w:tabs>
          <w:tab w:leader="none" w:pos="27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Central Risk Management -</w:t>
      </w:r>
    </w:p>
    <w:p>
      <w:pPr>
        <w:spacing w:after="0" w:line="195" w:lineRule="exact"/>
        <w:rPr>
          <w:rFonts w:ascii="Arial" w:cs="Arial" w:eastAsia="Arial" w:hAnsi="Arial"/>
          <w:sz w:val="16"/>
          <w:szCs w:val="16"/>
          <w:color w:val="auto"/>
        </w:rPr>
      </w:pPr>
    </w:p>
    <w:p>
      <w:pPr>
        <w:ind w:left="276" w:right="100"/>
        <w:spacing w:after="0" w:line="258" w:lineRule="auto"/>
        <w:rPr>
          <w:rFonts w:ascii="Arial" w:cs="Arial" w:eastAsia="Arial" w:hAnsi="Arial"/>
          <w:sz w:val="16"/>
          <w:szCs w:val="16"/>
          <w:color w:val="auto"/>
        </w:rPr>
      </w:pPr>
      <w:r>
        <w:rPr>
          <w:rFonts w:ascii="Arial" w:cs="Arial" w:eastAsia="Arial" w:hAnsi="Arial"/>
          <w:sz w:val="16"/>
          <w:szCs w:val="16"/>
          <w:color w:val="auto"/>
        </w:rPr>
        <w:t>The Central Risk Management is responsible for implementing policies, procedures, methodologies and actions to identify, measure, monitor, mitigate, report and control the different types of risks to which the Group is exposed. Also, it participates in the design and definition of the strategic plans of the business units to ensure that they are framed within the risk appetite metrics approved by Credicorp Board of Directors.</w:t>
      </w:r>
    </w:p>
    <w:p>
      <w:pPr>
        <w:spacing w:after="0" w:line="165" w:lineRule="exact"/>
        <w:rPr>
          <w:rFonts w:ascii="Arial" w:cs="Arial" w:eastAsia="Arial" w:hAnsi="Arial"/>
          <w:sz w:val="16"/>
          <w:szCs w:val="16"/>
          <w:color w:val="auto"/>
        </w:rPr>
      </w:pPr>
    </w:p>
    <w:p>
      <w:pPr>
        <w:ind w:left="276" w:right="6400"/>
        <w:spacing w:after="0" w:line="494" w:lineRule="auto"/>
        <w:rPr>
          <w:rFonts w:ascii="Arial" w:cs="Arial" w:eastAsia="Arial" w:hAnsi="Arial"/>
          <w:sz w:val="16"/>
          <w:szCs w:val="16"/>
          <w:color w:val="auto"/>
        </w:rPr>
      </w:pPr>
      <w:r>
        <w:rPr>
          <w:rFonts w:ascii="Arial" w:cs="Arial" w:eastAsia="Arial" w:hAnsi="Arial"/>
          <w:sz w:val="16"/>
          <w:szCs w:val="16"/>
          <w:color w:val="auto"/>
        </w:rPr>
        <w:t>The Central Risk Management is divided into the following units: Credit Division -</w:t>
      </w:r>
    </w:p>
    <w:p>
      <w:pPr>
        <w:spacing w:after="0" w:line="1" w:lineRule="exact"/>
        <w:rPr>
          <w:rFonts w:ascii="Arial" w:cs="Arial" w:eastAsia="Arial" w:hAnsi="Arial"/>
          <w:sz w:val="16"/>
          <w:szCs w:val="16"/>
          <w:color w:val="auto"/>
        </w:rPr>
      </w:pPr>
    </w:p>
    <w:p>
      <w:pPr>
        <w:ind w:left="276" w:right="80"/>
        <w:spacing w:after="0" w:line="303" w:lineRule="auto"/>
        <w:rPr>
          <w:rFonts w:ascii="Arial" w:cs="Arial" w:eastAsia="Arial" w:hAnsi="Arial"/>
          <w:sz w:val="16"/>
          <w:szCs w:val="16"/>
          <w:color w:val="auto"/>
        </w:rPr>
      </w:pPr>
      <w:r>
        <w:rPr>
          <w:rFonts w:ascii="Arial" w:cs="Arial" w:eastAsia="Arial" w:hAnsi="Arial"/>
          <w:sz w:val="15"/>
          <w:szCs w:val="15"/>
          <w:color w:val="auto"/>
        </w:rPr>
        <w:t>The Credit Division is responsible for ensuring the quality of the wholesale banking portfolio in accordance with the Group’s risk strategy and appetite on the basis of an efficient management of the lending process relying on well-defined lending policies and highly trained personnel with best lending practices.</w:t>
      </w:r>
    </w:p>
    <w:p>
      <w:pPr>
        <w:spacing w:after="0" w:line="133" w:lineRule="exact"/>
        <w:rPr>
          <w:rFonts w:ascii="Arial" w:cs="Arial" w:eastAsia="Arial" w:hAnsi="Arial"/>
          <w:sz w:val="16"/>
          <w:szCs w:val="16"/>
          <w:color w:val="auto"/>
        </w:rPr>
      </w:pPr>
    </w:p>
    <w:p>
      <w:pPr>
        <w:ind w:left="276"/>
        <w:spacing w:after="0"/>
        <w:rPr>
          <w:rFonts w:ascii="Arial" w:cs="Arial" w:eastAsia="Arial" w:hAnsi="Arial"/>
          <w:sz w:val="16"/>
          <w:szCs w:val="16"/>
          <w:color w:val="auto"/>
        </w:rPr>
      </w:pPr>
      <w:r>
        <w:rPr>
          <w:rFonts w:ascii="Arial" w:cs="Arial" w:eastAsia="Arial" w:hAnsi="Arial"/>
          <w:sz w:val="16"/>
          <w:szCs w:val="16"/>
          <w:color w:val="auto"/>
        </w:rPr>
        <w:t>Risk Management Division -</w:t>
      </w:r>
    </w:p>
    <w:p>
      <w:pPr>
        <w:spacing w:after="0" w:line="195" w:lineRule="exact"/>
        <w:rPr>
          <w:rFonts w:ascii="Arial" w:cs="Arial" w:eastAsia="Arial" w:hAnsi="Arial"/>
          <w:sz w:val="16"/>
          <w:szCs w:val="16"/>
          <w:color w:val="auto"/>
        </w:rPr>
      </w:pPr>
    </w:p>
    <w:p>
      <w:pPr>
        <w:ind w:left="276" w:right="120"/>
        <w:spacing w:after="0" w:line="312" w:lineRule="auto"/>
        <w:rPr>
          <w:rFonts w:ascii="Arial" w:cs="Arial" w:eastAsia="Arial" w:hAnsi="Arial"/>
          <w:sz w:val="16"/>
          <w:szCs w:val="16"/>
          <w:color w:val="auto"/>
        </w:rPr>
      </w:pPr>
      <w:r>
        <w:rPr>
          <w:rFonts w:ascii="Arial" w:cs="Arial" w:eastAsia="Arial" w:hAnsi="Arial"/>
          <w:sz w:val="14"/>
          <w:szCs w:val="14"/>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It also has the task of informing Board of Directors regarding: global exposure and by type of risk, as well as the specific exposure of each Group company.</w:t>
      </w:r>
    </w:p>
    <w:p>
      <w:pPr>
        <w:spacing w:after="0" w:line="130" w:lineRule="exact"/>
        <w:rPr>
          <w:rFonts w:ascii="Arial" w:cs="Arial" w:eastAsia="Arial" w:hAnsi="Arial"/>
          <w:sz w:val="16"/>
          <w:szCs w:val="16"/>
          <w:color w:val="auto"/>
        </w:rPr>
      </w:pPr>
    </w:p>
    <w:p>
      <w:pPr>
        <w:ind w:left="276"/>
        <w:spacing w:after="0" w:line="258" w:lineRule="auto"/>
        <w:rPr>
          <w:rFonts w:ascii="Arial" w:cs="Arial" w:eastAsia="Arial" w:hAnsi="Arial"/>
          <w:sz w:val="16"/>
          <w:szCs w:val="16"/>
          <w:color w:val="auto"/>
        </w:rPr>
      </w:pPr>
      <w:r>
        <w:rPr>
          <w:rFonts w:ascii="Arial" w:cs="Arial" w:eastAsia="Arial" w:hAnsi="Arial"/>
          <w:sz w:val="16"/>
          <w:szCs w:val="16"/>
          <w:color w:val="auto"/>
        </w:rPr>
        <w:t>The Risk Management Division consists of the following departments: Operational and Insurance Risk Management Department, Methodology and Modeling for Risk Management Department, Market Risk Management Department, Credit and Corporate Risk Management Department, Global Risk Management Department and Model Risk Management Department.</w:t>
      </w:r>
    </w:p>
    <w:p>
      <w:pPr>
        <w:spacing w:after="0" w:line="354" w:lineRule="exact"/>
        <w:rPr>
          <w:rFonts w:ascii="Arial" w:cs="Arial" w:eastAsia="Arial" w:hAnsi="Arial"/>
          <w:sz w:val="16"/>
          <w:szCs w:val="16"/>
          <w:color w:val="auto"/>
        </w:rPr>
      </w:pPr>
    </w:p>
    <w:p>
      <w:pPr>
        <w:ind w:left="5036" w:hanging="91"/>
        <w:spacing w:after="0"/>
        <w:tabs>
          <w:tab w:leader="none" w:pos="503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11430</wp:posOffset>
            </wp:positionV>
            <wp:extent cx="726313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56"/>
          </w:cols>
          <w:pgMar w:left="804" w:top="814" w:right="239" w:bottom="1440" w:gutter="0" w:footer="0" w:header="0"/>
        </w:sectPr>
      </w:pPr>
    </w:p>
    <w:bookmarkStart w:id="131" w:name="page132"/>
    <w:bookmarkEnd w:id="131"/>
    <w:p>
      <w:pPr>
        <w:ind w:left="561"/>
        <w:spacing w:after="0"/>
        <w:rPr>
          <w:sz w:val="20"/>
          <w:szCs w:val="20"/>
          <w:color w:val="auto"/>
        </w:rPr>
      </w:pPr>
      <w:r>
        <w:rPr>
          <w:rFonts w:ascii="Arial" w:cs="Arial" w:eastAsia="Arial" w:hAnsi="Arial"/>
          <w:sz w:val="16"/>
          <w:szCs w:val="16"/>
          <w:color w:val="auto"/>
        </w:rPr>
        <w:t>Retail Banking Risk Division -</w:t>
      </w:r>
    </w:p>
    <w:p>
      <w:pPr>
        <w:spacing w:after="0" w:line="195" w:lineRule="exact"/>
        <w:rPr>
          <w:sz w:val="20"/>
          <w:szCs w:val="20"/>
          <w:color w:val="auto"/>
        </w:rPr>
      </w:pPr>
    </w:p>
    <w:p>
      <w:pPr>
        <w:ind w:left="561" w:right="320"/>
        <w:spacing w:after="0" w:line="269" w:lineRule="auto"/>
        <w:rPr>
          <w:sz w:val="20"/>
          <w:szCs w:val="20"/>
          <w:color w:val="auto"/>
        </w:rPr>
      </w:pPr>
      <w:r>
        <w:rPr>
          <w:rFonts w:ascii="Arial" w:cs="Arial" w:eastAsia="Arial" w:hAnsi="Arial"/>
          <w:sz w:val="16"/>
          <w:szCs w:val="16"/>
          <w:color w:val="auto"/>
        </w:rPr>
        <w:t>This division is responsible for ensuring the quality of retail portfolio and the development of credit policies that are consistent with the overall guidelines and risk policies set by the Board of Credicorp.</w:t>
      </w:r>
    </w:p>
    <w:p>
      <w:pPr>
        <w:spacing w:after="0" w:line="157" w:lineRule="exact"/>
        <w:rPr>
          <w:sz w:val="20"/>
          <w:szCs w:val="20"/>
          <w:color w:val="auto"/>
        </w:rPr>
      </w:pPr>
    </w:p>
    <w:p>
      <w:pPr>
        <w:ind w:left="561"/>
        <w:spacing w:after="0"/>
        <w:rPr>
          <w:sz w:val="20"/>
          <w:szCs w:val="20"/>
          <w:color w:val="auto"/>
        </w:rPr>
      </w:pPr>
      <w:r>
        <w:rPr>
          <w:rFonts w:ascii="Arial" w:cs="Arial" w:eastAsia="Arial" w:hAnsi="Arial"/>
          <w:sz w:val="16"/>
          <w:szCs w:val="16"/>
          <w:color w:val="auto"/>
        </w:rPr>
        <w:t>Treasury Risk Management -</w:t>
      </w:r>
    </w:p>
    <w:p>
      <w:pPr>
        <w:spacing w:after="0" w:line="195" w:lineRule="exact"/>
        <w:rPr>
          <w:sz w:val="20"/>
          <w:szCs w:val="20"/>
          <w:color w:val="auto"/>
        </w:rPr>
      </w:pPr>
    </w:p>
    <w:p>
      <w:pPr>
        <w:ind w:left="561" w:right="200"/>
        <w:spacing w:after="0" w:line="342" w:lineRule="auto"/>
        <w:rPr>
          <w:sz w:val="20"/>
          <w:szCs w:val="20"/>
          <w:color w:val="auto"/>
        </w:rPr>
      </w:pPr>
      <w:r>
        <w:rPr>
          <w:rFonts w:ascii="Arial" w:cs="Arial" w:eastAsia="Arial" w:hAnsi="Arial"/>
          <w:sz w:val="14"/>
          <w:szCs w:val="14"/>
          <w:color w:val="auto"/>
        </w:rPr>
        <w:t>The Treasury Risk Management is responsible for planning, coordinating and monitoring the implementation of risk measurement methodologies and limits used by the Treasury Division approved by the Risk Committee. Also, it is responsible for assessing hedge derivatives effectiveness and investments valuation.</w:t>
      </w:r>
    </w:p>
    <w:p>
      <w:pPr>
        <w:spacing w:after="0" w:line="110" w:lineRule="exact"/>
        <w:rPr>
          <w:sz w:val="20"/>
          <w:szCs w:val="20"/>
          <w:color w:val="auto"/>
        </w:rPr>
      </w:pPr>
    </w:p>
    <w:p>
      <w:pPr>
        <w:ind w:left="561"/>
        <w:spacing w:after="0"/>
        <w:rPr>
          <w:sz w:val="20"/>
          <w:szCs w:val="20"/>
          <w:color w:val="auto"/>
        </w:rPr>
      </w:pPr>
      <w:r>
        <w:rPr>
          <w:rFonts w:ascii="Arial" w:cs="Arial" w:eastAsia="Arial" w:hAnsi="Arial"/>
          <w:sz w:val="16"/>
          <w:szCs w:val="16"/>
          <w:color w:val="auto"/>
        </w:rPr>
        <w:t>Cybersecurity Management –</w:t>
      </w:r>
    </w:p>
    <w:p>
      <w:pPr>
        <w:spacing w:after="0" w:line="195" w:lineRule="exact"/>
        <w:rPr>
          <w:sz w:val="20"/>
          <w:szCs w:val="20"/>
          <w:color w:val="auto"/>
        </w:rPr>
      </w:pPr>
    </w:p>
    <w:p>
      <w:pPr>
        <w:ind w:left="561" w:right="140"/>
        <w:spacing w:after="0" w:line="254" w:lineRule="auto"/>
        <w:rPr>
          <w:sz w:val="20"/>
          <w:szCs w:val="20"/>
          <w:color w:val="auto"/>
        </w:rPr>
      </w:pPr>
      <w:r>
        <w:rPr>
          <w:rFonts w:ascii="Arial" w:cs="Arial" w:eastAsia="Arial" w:hAnsi="Arial"/>
          <w:sz w:val="16"/>
          <w:szCs w:val="16"/>
          <w:color w:val="auto"/>
        </w:rPr>
        <w:t>The Cybersecurity Management area establishes polices and regulatory framework for information security and cybersecurity risk management. It is also responsible for designing and implementing the strategies used to create and monitor controls that enable the permanent evaluation of regulatory framework effectiveness. In addition, the area supervises the performance of the functions of the responsible units, monitoring the processes used for the identification, assessment, recording and treatment of information security and cybersecurity risks.</w:t>
      </w:r>
    </w:p>
    <w:p>
      <w:pPr>
        <w:spacing w:after="0" w:line="169" w:lineRule="exact"/>
        <w:rPr>
          <w:sz w:val="20"/>
          <w:szCs w:val="20"/>
          <w:color w:val="auto"/>
        </w:rPr>
      </w:pPr>
    </w:p>
    <w:p>
      <w:pPr>
        <w:ind w:left="561" w:hanging="276"/>
        <w:spacing w:after="0"/>
        <w:tabs>
          <w:tab w:leader="none" w:pos="56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Internal Audit Division and Compliance Division -</w:t>
      </w:r>
    </w:p>
    <w:p>
      <w:pPr>
        <w:spacing w:after="0" w:line="195" w:lineRule="exact"/>
        <w:rPr>
          <w:rFonts w:ascii="Arial" w:cs="Arial" w:eastAsia="Arial" w:hAnsi="Arial"/>
          <w:sz w:val="16"/>
          <w:szCs w:val="16"/>
          <w:color w:val="auto"/>
        </w:rPr>
      </w:pPr>
    </w:p>
    <w:p>
      <w:pPr>
        <w:ind w:left="561" w:right="240"/>
        <w:spacing w:after="0" w:line="254" w:lineRule="auto"/>
        <w:rPr>
          <w:rFonts w:ascii="Arial" w:cs="Arial" w:eastAsia="Arial" w:hAnsi="Arial"/>
          <w:sz w:val="16"/>
          <w:szCs w:val="16"/>
          <w:color w:val="auto"/>
        </w:rPr>
      </w:pPr>
      <w:r>
        <w:rPr>
          <w:rFonts w:ascii="Arial" w:cs="Arial" w:eastAsia="Arial" w:hAnsi="Arial"/>
          <w:sz w:val="16"/>
          <w:szCs w:val="16"/>
          <w:color w:val="auto"/>
        </w:rPr>
        <w:t>The Audit Division is in charge of monitoring on an ongoing basis the effectiveness and efficiency of the risk management function in the Group, verifying compliance with regulations, policies, objectives and guidelines set by the Board of Directors. On the other hand, it evaluates sufficiency and integration level of Group’s information and database systems. Finally, it ensures that independence is maintained between the functions of the risk management and business units, for each of the Group’s companies.</w:t>
      </w:r>
    </w:p>
    <w:p>
      <w:pPr>
        <w:spacing w:after="0" w:line="169" w:lineRule="exact"/>
        <w:rPr>
          <w:rFonts w:ascii="Arial" w:cs="Arial" w:eastAsia="Arial" w:hAnsi="Arial"/>
          <w:sz w:val="16"/>
          <w:szCs w:val="16"/>
          <w:color w:val="auto"/>
        </w:rPr>
      </w:pPr>
    </w:p>
    <w:p>
      <w:pPr>
        <w:ind w:left="561"/>
        <w:spacing w:after="0"/>
        <w:rPr>
          <w:rFonts w:ascii="Arial" w:cs="Arial" w:eastAsia="Arial" w:hAnsi="Arial"/>
          <w:sz w:val="16"/>
          <w:szCs w:val="16"/>
          <w:color w:val="auto"/>
        </w:rPr>
      </w:pPr>
      <w:r>
        <w:rPr>
          <w:rFonts w:ascii="Arial" w:cs="Arial" w:eastAsia="Arial" w:hAnsi="Arial"/>
          <w:sz w:val="16"/>
          <w:szCs w:val="16"/>
          <w:color w:val="auto"/>
        </w:rPr>
        <w:t>Compliance Division is responsible for ensuring corporate compliance of regulations and internal Code of Ethics.</w:t>
      </w:r>
    </w:p>
    <w:p>
      <w:pPr>
        <w:spacing w:after="0" w:line="195" w:lineRule="exact"/>
        <w:rPr>
          <w:rFonts w:ascii="Arial" w:cs="Arial" w:eastAsia="Arial" w:hAnsi="Arial"/>
          <w:sz w:val="16"/>
          <w:szCs w:val="16"/>
          <w:color w:val="auto"/>
        </w:rPr>
      </w:pPr>
    </w:p>
    <w:p>
      <w:pPr>
        <w:ind w:left="281" w:hanging="281"/>
        <w:spacing w:after="0"/>
        <w:tabs>
          <w:tab w:leader="none" w:pos="28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Risk measurement and reporting systems -</w:t>
      </w:r>
    </w:p>
    <w:p>
      <w:pPr>
        <w:spacing w:after="0" w:line="195" w:lineRule="exact"/>
        <w:rPr>
          <w:rFonts w:ascii="Arial" w:cs="Arial" w:eastAsia="Arial" w:hAnsi="Arial"/>
          <w:sz w:val="16"/>
          <w:szCs w:val="16"/>
          <w:color w:val="auto"/>
        </w:rPr>
      </w:pPr>
    </w:p>
    <w:p>
      <w:pPr>
        <w:ind w:left="281" w:right="40"/>
        <w:spacing w:after="0" w:line="258" w:lineRule="auto"/>
        <w:rPr>
          <w:rFonts w:ascii="Arial" w:cs="Arial" w:eastAsia="Arial" w:hAnsi="Arial"/>
          <w:sz w:val="16"/>
          <w:szCs w:val="16"/>
          <w:color w:val="auto"/>
        </w:rPr>
      </w:pPr>
      <w:r>
        <w:rPr>
          <w:rFonts w:ascii="Arial" w:cs="Arial" w:eastAsia="Arial" w:hAnsi="Arial"/>
          <w:sz w:val="16"/>
          <w:szCs w:val="16"/>
          <w:color w:val="auto"/>
        </w:rPr>
        <w:t>Credicorp has independent databases that are subsequently integrated through corporate reports. These reports enable it to monitor at an aggregate and detailed level, the different types of risks to which each company is exposed. The system provides the ability to comply with the needs for reviewing the risk appetite requested by the above-mentioned committees and departments; as well as complying with regulatory requirements.</w:t>
      </w:r>
    </w:p>
    <w:p>
      <w:pPr>
        <w:spacing w:after="0" w:line="165" w:lineRule="exact"/>
        <w:rPr>
          <w:rFonts w:ascii="Arial" w:cs="Arial" w:eastAsia="Arial" w:hAnsi="Arial"/>
          <w:sz w:val="16"/>
          <w:szCs w:val="16"/>
          <w:color w:val="auto"/>
        </w:rPr>
      </w:pPr>
    </w:p>
    <w:p>
      <w:pPr>
        <w:ind w:left="281" w:hanging="281"/>
        <w:spacing w:after="0"/>
        <w:tabs>
          <w:tab w:leader="none" w:pos="28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Risk mitigation -</w:t>
      </w:r>
    </w:p>
    <w:p>
      <w:pPr>
        <w:spacing w:after="0" w:line="195" w:lineRule="exact"/>
        <w:rPr>
          <w:rFonts w:ascii="Arial" w:cs="Arial" w:eastAsia="Arial" w:hAnsi="Arial"/>
          <w:sz w:val="16"/>
          <w:szCs w:val="16"/>
          <w:color w:val="auto"/>
        </w:rPr>
      </w:pPr>
    </w:p>
    <w:p>
      <w:pPr>
        <w:ind w:left="281" w:right="580"/>
        <w:spacing w:after="0" w:line="269" w:lineRule="auto"/>
        <w:rPr>
          <w:rFonts w:ascii="Arial" w:cs="Arial" w:eastAsia="Arial" w:hAnsi="Arial"/>
          <w:sz w:val="16"/>
          <w:szCs w:val="16"/>
          <w:color w:val="auto"/>
        </w:rPr>
      </w:pPr>
      <w:r>
        <w:rPr>
          <w:rFonts w:ascii="Arial" w:cs="Arial" w:eastAsia="Arial" w:hAnsi="Arial"/>
          <w:sz w:val="16"/>
          <w:szCs w:val="16"/>
          <w:color w:val="auto"/>
        </w:rPr>
        <w:t>Depending on the type of risk, the Group uses mitigating instruments to reduce its exposure, such as guarantees, derivatives, controls and insurance, among others. Furthermore, it has policies linked to risk appetite and established procedures for each type of risk.</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The Group actively uses guarantees to reduce its credit risks.</w:t>
      </w:r>
    </w:p>
    <w:p>
      <w:pPr>
        <w:spacing w:after="0" w:line="195" w:lineRule="exact"/>
        <w:rPr>
          <w:rFonts w:ascii="Arial" w:cs="Arial" w:eastAsia="Arial" w:hAnsi="Arial"/>
          <w:sz w:val="16"/>
          <w:szCs w:val="16"/>
          <w:color w:val="auto"/>
        </w:rPr>
      </w:pPr>
    </w:p>
    <w:p>
      <w:pPr>
        <w:ind w:left="281" w:hanging="281"/>
        <w:spacing w:after="0"/>
        <w:tabs>
          <w:tab w:leader="none" w:pos="28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Risk appetite -</w:t>
      </w:r>
    </w:p>
    <w:p>
      <w:pPr>
        <w:spacing w:after="0" w:line="195" w:lineRule="exact"/>
        <w:rPr>
          <w:rFonts w:ascii="Arial" w:cs="Arial" w:eastAsia="Arial" w:hAnsi="Arial"/>
          <w:sz w:val="16"/>
          <w:szCs w:val="16"/>
          <w:color w:val="auto"/>
        </w:rPr>
      </w:pPr>
    </w:p>
    <w:p>
      <w:pPr>
        <w:jc w:val="both"/>
        <w:ind w:left="281"/>
        <w:spacing w:after="0" w:line="258" w:lineRule="auto"/>
        <w:rPr>
          <w:rFonts w:ascii="Arial" w:cs="Arial" w:eastAsia="Arial" w:hAnsi="Arial"/>
          <w:sz w:val="16"/>
          <w:szCs w:val="16"/>
          <w:color w:val="auto"/>
        </w:rPr>
      </w:pPr>
      <w:r>
        <w:rPr>
          <w:rFonts w:ascii="Arial" w:cs="Arial" w:eastAsia="Arial" w:hAnsi="Arial"/>
          <w:sz w:val="16"/>
          <w:szCs w:val="16"/>
          <w:color w:val="auto"/>
        </w:rPr>
        <w:t>Based on corporate risk management, Group's Board of Directors approves the risk appetite framework to define the maximum level of risk that the organization is willing to take as seeks its strategic and financial objectives, maintaining a corporate vision in individual decisions of each entity. This Risk Appetite framework is based on "core" and "specific" metrics:</w:t>
      </w:r>
    </w:p>
    <w:p>
      <w:pPr>
        <w:spacing w:after="0" w:line="354" w:lineRule="exact"/>
        <w:rPr>
          <w:rFonts w:ascii="Arial" w:cs="Arial" w:eastAsia="Arial" w:hAnsi="Arial"/>
          <w:sz w:val="16"/>
          <w:szCs w:val="16"/>
          <w:color w:val="auto"/>
        </w:rPr>
      </w:pPr>
    </w:p>
    <w:p>
      <w:pPr>
        <w:ind w:left="5321" w:hanging="91"/>
        <w:spacing w:after="0"/>
        <w:tabs>
          <w:tab w:leader="none" w:pos="5321" w:val="left"/>
        </w:tabs>
        <w:numPr>
          <w:ilvl w:val="2"/>
          <w:numId w:val="159"/>
        </w:numPr>
        <w:rPr>
          <w:rFonts w:ascii="Arial" w:cs="Arial" w:eastAsia="Arial" w:hAnsi="Arial"/>
          <w:sz w:val="16"/>
          <w:szCs w:val="16"/>
          <w:color w:val="auto"/>
        </w:rPr>
      </w:pPr>
      <w:r>
        <w:rPr>
          <w:rFonts w:ascii="Arial" w:cs="Arial" w:eastAsia="Arial" w:hAnsi="Arial"/>
          <w:sz w:val="16"/>
          <w:szCs w:val="16"/>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4" w:right="219" w:bottom="1440" w:gutter="0" w:footer="0" w:header="0"/>
        </w:sectPr>
      </w:pPr>
    </w:p>
    <w:bookmarkStart w:id="132" w:name="page133"/>
    <w:bookmarkEnd w:id="132"/>
    <w:p>
      <w:pPr>
        <w:ind w:left="281"/>
        <w:spacing w:after="0"/>
        <w:rPr>
          <w:sz w:val="20"/>
          <w:szCs w:val="20"/>
          <w:color w:val="auto"/>
        </w:rPr>
      </w:pPr>
      <w:r>
        <w:rPr>
          <w:rFonts w:ascii="Arial" w:cs="Arial" w:eastAsia="Arial" w:hAnsi="Arial"/>
          <w:sz w:val="14"/>
          <w:szCs w:val="14"/>
          <w:color w:val="auto"/>
        </w:rPr>
        <w:t>Core metrics are intended to preserve the organization’s strategic pillars, defined as solvency, liquidity, profit and growth, income stability and balance sheet structure.</w:t>
      </w:r>
    </w:p>
    <w:p>
      <w:pPr>
        <w:spacing w:after="0" w:line="218" w:lineRule="exact"/>
        <w:rPr>
          <w:sz w:val="20"/>
          <w:szCs w:val="20"/>
          <w:color w:val="auto"/>
        </w:rPr>
      </w:pPr>
    </w:p>
    <w:p>
      <w:pPr>
        <w:ind w:left="281" w:right="160"/>
        <w:spacing w:after="0" w:line="303" w:lineRule="auto"/>
        <w:rPr>
          <w:sz w:val="20"/>
          <w:szCs w:val="20"/>
          <w:color w:val="auto"/>
        </w:rPr>
      </w:pPr>
      <w:r>
        <w:rPr>
          <w:rFonts w:ascii="Arial" w:cs="Arial" w:eastAsia="Arial" w:hAnsi="Arial"/>
          <w:sz w:val="15"/>
          <w:szCs w:val="15"/>
          <w:color w:val="auto"/>
        </w:rPr>
        <w:t>Specific metrics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w:t>
      </w:r>
    </w:p>
    <w:p>
      <w:pPr>
        <w:spacing w:after="0" w:line="133" w:lineRule="exact"/>
        <w:rPr>
          <w:sz w:val="20"/>
          <w:szCs w:val="20"/>
          <w:color w:val="auto"/>
        </w:rPr>
      </w:pPr>
    </w:p>
    <w:p>
      <w:pPr>
        <w:ind w:left="281"/>
        <w:spacing w:after="0"/>
        <w:rPr>
          <w:sz w:val="20"/>
          <w:szCs w:val="20"/>
          <w:color w:val="auto"/>
        </w:rPr>
      </w:pPr>
      <w:r>
        <w:rPr>
          <w:rFonts w:ascii="Arial" w:cs="Arial" w:eastAsia="Arial" w:hAnsi="Arial"/>
          <w:sz w:val="16"/>
          <w:szCs w:val="16"/>
          <w:color w:val="auto"/>
        </w:rPr>
        <w:t>Risk appetite is instrumented through the following elements:</w:t>
      </w:r>
    </w:p>
    <w:p>
      <w:pPr>
        <w:spacing w:after="0" w:line="195" w:lineRule="exact"/>
        <w:rPr>
          <w:sz w:val="20"/>
          <w:szCs w:val="20"/>
          <w:color w:val="auto"/>
        </w:rPr>
      </w:pPr>
    </w:p>
    <w:p>
      <w:pPr>
        <w:ind w:left="561" w:hanging="276"/>
        <w:spacing w:after="0"/>
        <w:tabs>
          <w:tab w:leader="none" w:pos="56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Risk appetite statement: Establishes explicit general principles and the qualitative declarations which complement the risk strategy.</w:t>
      </w:r>
    </w:p>
    <w:p>
      <w:pPr>
        <w:spacing w:after="0" w:line="195" w:lineRule="exact"/>
        <w:rPr>
          <w:rFonts w:ascii="Arial" w:cs="Arial" w:eastAsia="Arial" w:hAnsi="Arial"/>
          <w:sz w:val="16"/>
          <w:szCs w:val="16"/>
          <w:color w:val="auto"/>
        </w:rPr>
      </w:pPr>
    </w:p>
    <w:p>
      <w:pPr>
        <w:ind w:left="561" w:hanging="276"/>
        <w:spacing w:after="0"/>
        <w:tabs>
          <w:tab w:leader="none" w:pos="56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Metrics scorecards: These are used to define the levels of risk exposure in the different strategic pillars.</w:t>
      </w:r>
    </w:p>
    <w:p>
      <w:pPr>
        <w:spacing w:after="0" w:line="195" w:lineRule="exact"/>
        <w:rPr>
          <w:rFonts w:ascii="Arial" w:cs="Arial" w:eastAsia="Arial" w:hAnsi="Arial"/>
          <w:sz w:val="16"/>
          <w:szCs w:val="16"/>
          <w:color w:val="auto"/>
        </w:rPr>
      </w:pPr>
    </w:p>
    <w:p>
      <w:pPr>
        <w:ind w:left="561" w:right="500" w:hanging="276"/>
        <w:spacing w:after="0" w:line="269" w:lineRule="auto"/>
        <w:tabs>
          <w:tab w:leader="none" w:pos="56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Limits: Allows control over the risk-taking process within the tolerance threshold established by the Board. They also provide accountability for the risk-taking process and define guidelines regarding the target risk profile.</w:t>
      </w:r>
    </w:p>
    <w:p>
      <w:pPr>
        <w:spacing w:after="0" w:line="156" w:lineRule="exact"/>
        <w:rPr>
          <w:rFonts w:ascii="Arial" w:cs="Arial" w:eastAsia="Arial" w:hAnsi="Arial"/>
          <w:sz w:val="16"/>
          <w:szCs w:val="16"/>
          <w:color w:val="auto"/>
        </w:rPr>
      </w:pPr>
    </w:p>
    <w:p>
      <w:pPr>
        <w:ind w:left="561" w:hanging="276"/>
        <w:spacing w:after="0"/>
        <w:tabs>
          <w:tab w:leader="none" w:pos="56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Government scheme: Seeks to guarantee compliance of the framework through different roles and responsibilities assigned to the units involved.</w:t>
      </w:r>
    </w:p>
    <w:p>
      <w:pPr>
        <w:spacing w:after="0" w:line="195" w:lineRule="exact"/>
        <w:rPr>
          <w:rFonts w:ascii="Arial" w:cs="Arial" w:eastAsia="Arial" w:hAnsi="Arial"/>
          <w:sz w:val="16"/>
          <w:szCs w:val="16"/>
          <w:color w:val="auto"/>
        </w:rPr>
      </w:pPr>
    </w:p>
    <w:p>
      <w:pPr>
        <w:ind w:left="281" w:hanging="281"/>
        <w:spacing w:after="0"/>
        <w:tabs>
          <w:tab w:leader="none" w:pos="28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Risk concentration -</w:t>
      </w:r>
    </w:p>
    <w:p>
      <w:pPr>
        <w:spacing w:after="0" w:line="195"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Concentrations arise when a reduced and representative number of all of the counterparties of the Group are engaged in similar business activities, or activities in the same geographic region, or have similar economic and political conditions among others.</w:t>
      </w:r>
    </w:p>
    <w:p>
      <w:pPr>
        <w:spacing w:after="0" w:line="156"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In order to avoid excessive concentrations of risk, the policies and procedures include specific guidelines to guarantee a diversified portfolio.</w:t>
      </w:r>
    </w:p>
    <w:p>
      <w:pPr>
        <w:spacing w:after="0" w:line="384" w:lineRule="exact"/>
        <w:rPr>
          <w:rFonts w:ascii="Arial" w:cs="Arial" w:eastAsia="Arial" w:hAnsi="Arial"/>
          <w:sz w:val="16"/>
          <w:szCs w:val="16"/>
          <w:color w:val="auto"/>
        </w:rPr>
      </w:pPr>
    </w:p>
    <w:p>
      <w:pPr>
        <w:ind w:left="5321" w:hanging="91"/>
        <w:spacing w:after="0"/>
        <w:tabs>
          <w:tab w:leader="none" w:pos="5321" w:val="left"/>
        </w:tabs>
        <w:numPr>
          <w:ilvl w:val="2"/>
          <w:numId w:val="160"/>
        </w:numPr>
        <w:rPr>
          <w:rFonts w:ascii="Arial" w:cs="Arial" w:eastAsia="Arial" w:hAnsi="Arial"/>
          <w:sz w:val="16"/>
          <w:szCs w:val="16"/>
          <w:color w:val="auto"/>
        </w:rPr>
      </w:pPr>
      <w:r>
        <w:rPr>
          <w:rFonts w:ascii="Arial" w:cs="Arial" w:eastAsia="Arial" w:hAnsi="Arial"/>
          <w:sz w:val="16"/>
          <w:szCs w:val="16"/>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61"/>
          </w:cols>
          <w:pgMar w:left="519" w:top="814" w:right="21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33.1Credit risk -</w:t>
      </w:r>
    </w:p>
    <w:p>
      <w:pPr>
        <w:spacing w:after="0" w:line="199" w:lineRule="exact"/>
        <w:rPr>
          <w:sz w:val="20"/>
          <w:szCs w:val="20"/>
          <w:color w:val="auto"/>
        </w:rPr>
      </w:pPr>
    </w:p>
    <w:p>
      <w:pPr>
        <w:ind w:left="560" w:right="180" w:hanging="281"/>
        <w:spacing w:after="0" w:line="269" w:lineRule="auto"/>
        <w:tabs>
          <w:tab w:leader="none" w:pos="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probability of suffering losses caused by debtors or counterparties failing to comply with payment obligations in on or off the balance sheet exposures.</w:t>
      </w:r>
    </w:p>
    <w:p>
      <w:pPr>
        <w:spacing w:after="0" w:line="156" w:lineRule="exact"/>
        <w:rPr>
          <w:rFonts w:ascii="Arial" w:cs="Arial" w:eastAsia="Arial" w:hAnsi="Arial"/>
          <w:sz w:val="16"/>
          <w:szCs w:val="16"/>
          <w:color w:val="auto"/>
        </w:rPr>
      </w:pPr>
    </w:p>
    <w:p>
      <w:pPr>
        <w:ind w:left="560" w:right="20"/>
        <w:spacing w:after="0" w:line="277" w:lineRule="auto"/>
        <w:rPr>
          <w:rFonts w:ascii="Arial" w:cs="Arial" w:eastAsia="Arial" w:hAnsi="Arial"/>
          <w:sz w:val="16"/>
          <w:szCs w:val="16"/>
          <w:color w:val="auto"/>
        </w:rPr>
      </w:pPr>
      <w:r>
        <w:rPr>
          <w:rFonts w:ascii="Arial" w:cs="Arial" w:eastAsia="Arial" w:hAnsi="Arial"/>
          <w:sz w:val="15"/>
          <w:szCs w:val="15"/>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which expose Credicorp to risks similar to direct loans. Likewise, credit risk arises from derivative financial instruments that present showing positive fair values. Finally, all exposure to credit risk (direct or indirect) is mitigated by the control processes and policies.</w:t>
      </w:r>
    </w:p>
    <w:p>
      <w:pPr>
        <w:spacing w:after="0" w:line="151"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5"/>
          <w:szCs w:val="15"/>
          <w:color w:val="auto"/>
        </w:rPr>
        <w:t>As part of the management of this type of risk, Credicorp assigns impairment provisions for its loan portfolio at the date of the statement of financial position.</w:t>
      </w:r>
    </w:p>
    <w:p>
      <w:pPr>
        <w:spacing w:after="0" w:line="206" w:lineRule="exact"/>
        <w:rPr>
          <w:rFonts w:ascii="Arial" w:cs="Arial" w:eastAsia="Arial" w:hAnsi="Arial"/>
          <w:sz w:val="16"/>
          <w:szCs w:val="16"/>
          <w:color w:val="auto"/>
        </w:rPr>
      </w:pPr>
    </w:p>
    <w:p>
      <w:pPr>
        <w:ind w:left="560"/>
        <w:spacing w:after="0" w:line="258" w:lineRule="auto"/>
        <w:rPr>
          <w:rFonts w:ascii="Arial" w:cs="Arial" w:eastAsia="Arial" w:hAnsi="Arial"/>
          <w:sz w:val="16"/>
          <w:szCs w:val="16"/>
          <w:color w:val="auto"/>
        </w:rPr>
      </w:pPr>
      <w:r>
        <w:rPr>
          <w:rFonts w:ascii="Arial" w:cs="Arial" w:eastAsia="Arial" w:hAnsi="Arial"/>
          <w:sz w:val="16"/>
          <w:szCs w:val="16"/>
          <w:color w:val="auto"/>
        </w:rPr>
        <w:t>The Group defines the levels of credit risk assumed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w:t>
      </w:r>
    </w:p>
    <w:p>
      <w:pPr>
        <w:spacing w:after="0" w:line="165" w:lineRule="exact"/>
        <w:rPr>
          <w:rFonts w:ascii="Arial" w:cs="Arial" w:eastAsia="Arial" w:hAnsi="Arial"/>
          <w:sz w:val="16"/>
          <w:szCs w:val="16"/>
          <w:color w:val="auto"/>
        </w:rPr>
      </w:pPr>
    </w:p>
    <w:p>
      <w:pPr>
        <w:ind w:left="560" w:right="420"/>
        <w:spacing w:after="0" w:line="269" w:lineRule="auto"/>
        <w:rPr>
          <w:rFonts w:ascii="Arial" w:cs="Arial" w:eastAsia="Arial" w:hAnsi="Arial"/>
          <w:sz w:val="16"/>
          <w:szCs w:val="16"/>
          <w:color w:val="auto"/>
        </w:rPr>
      </w:pPr>
      <w:r>
        <w:rPr>
          <w:rFonts w:ascii="Arial" w:cs="Arial" w:eastAsia="Arial" w:hAnsi="Arial"/>
          <w:sz w:val="16"/>
          <w:szCs w:val="16"/>
          <w:color w:val="auto"/>
        </w:rPr>
        <w:t>Exposure to credit risk is managed through regular analysis of the ability of debtors and potential debtors to meet interest and principal repayment obligations and by changing the credit limits when it is appropriate. Other specific control measures are outlined below:</w:t>
      </w:r>
    </w:p>
    <w:p>
      <w:pPr>
        <w:spacing w:after="0" w:line="156" w:lineRule="exact"/>
        <w:rPr>
          <w:rFonts w:ascii="Arial" w:cs="Arial" w:eastAsia="Arial" w:hAnsi="Arial"/>
          <w:sz w:val="16"/>
          <w:szCs w:val="16"/>
          <w:color w:val="auto"/>
        </w:rPr>
      </w:pPr>
    </w:p>
    <w:p>
      <w:pPr>
        <w:ind w:left="840" w:hanging="276"/>
        <w:spacing w:after="0"/>
        <w:tabs>
          <w:tab w:leader="none" w:pos="84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Collateral -</w:t>
      </w:r>
    </w:p>
    <w:p>
      <w:pPr>
        <w:spacing w:after="0" w:line="195" w:lineRule="exact"/>
        <w:rPr>
          <w:rFonts w:ascii="Arial" w:cs="Arial" w:eastAsia="Arial" w:hAnsi="Arial"/>
          <w:sz w:val="16"/>
          <w:szCs w:val="16"/>
          <w:color w:val="auto"/>
        </w:rPr>
      </w:pPr>
    </w:p>
    <w:p>
      <w:pPr>
        <w:ind w:left="840" w:right="280"/>
        <w:spacing w:after="0" w:line="342" w:lineRule="auto"/>
        <w:rPr>
          <w:rFonts w:ascii="Arial" w:cs="Arial" w:eastAsia="Arial" w:hAnsi="Arial"/>
          <w:sz w:val="16"/>
          <w:szCs w:val="16"/>
          <w:color w:val="auto"/>
        </w:rPr>
      </w:pPr>
      <w:r>
        <w:rPr>
          <w:rFonts w:ascii="Arial" w:cs="Arial" w:eastAsia="Arial" w:hAnsi="Arial"/>
          <w:sz w:val="14"/>
          <w:szCs w:val="14"/>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110" w:lineRule="exact"/>
        <w:rPr>
          <w:rFonts w:ascii="Arial" w:cs="Arial" w:eastAsia="Arial" w:hAnsi="Arial"/>
          <w:sz w:val="16"/>
          <w:szCs w:val="16"/>
          <w:color w:val="auto"/>
        </w:rPr>
      </w:pPr>
    </w:p>
    <w:p>
      <w:pPr>
        <w:ind w:left="1140" w:right="320" w:hanging="292"/>
        <w:spacing w:after="0" w:line="269" w:lineRule="auto"/>
        <w:tabs>
          <w:tab w:leader="none" w:pos="114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For loans and advances, collateral includes, among others, mortgages on residential properties; liens on business assets such as plants, inventory and accounts receivable; and liens on financial instruments such as debt securities and equity securities.</w:t>
      </w:r>
    </w:p>
    <w:p>
      <w:pPr>
        <w:spacing w:after="0" w:line="156" w:lineRule="exact"/>
        <w:rPr>
          <w:rFonts w:ascii="Arial" w:cs="Arial" w:eastAsia="Arial" w:hAnsi="Arial"/>
          <w:sz w:val="16"/>
          <w:szCs w:val="16"/>
          <w:color w:val="auto"/>
        </w:rPr>
      </w:pPr>
    </w:p>
    <w:p>
      <w:pPr>
        <w:ind w:left="1140" w:right="260" w:hanging="292"/>
        <w:spacing w:after="0" w:line="269" w:lineRule="auto"/>
        <w:tabs>
          <w:tab w:leader="none" w:pos="114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Long-term loans and financing to corporate entities are generally guaranteed. Loans to micro business generally have no collateral. In order to minimize credit loss, the Group will seek additional collateral from the counterparty as soon as impairment indicators arise.</w:t>
      </w:r>
    </w:p>
    <w:p>
      <w:pPr>
        <w:spacing w:after="0" w:line="156" w:lineRule="exact"/>
        <w:rPr>
          <w:rFonts w:ascii="Arial" w:cs="Arial" w:eastAsia="Arial" w:hAnsi="Arial"/>
          <w:sz w:val="16"/>
          <w:szCs w:val="16"/>
          <w:color w:val="auto"/>
        </w:rPr>
      </w:pPr>
    </w:p>
    <w:p>
      <w:pPr>
        <w:ind w:left="1140" w:hanging="292"/>
        <w:spacing w:after="0"/>
        <w:tabs>
          <w:tab w:leader="none" w:pos="114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For repurchase agreements and securities lending, collateral consists of fixed income instruments and cash.</w:t>
      </w:r>
    </w:p>
    <w:p>
      <w:pPr>
        <w:spacing w:after="0" w:line="195" w:lineRule="exact"/>
        <w:rPr>
          <w:sz w:val="20"/>
          <w:szCs w:val="20"/>
          <w:color w:val="auto"/>
        </w:rPr>
      </w:pPr>
    </w:p>
    <w:p>
      <w:pPr>
        <w:ind w:left="840" w:right="480"/>
        <w:spacing w:after="0" w:line="342" w:lineRule="auto"/>
        <w:rPr>
          <w:sz w:val="20"/>
          <w:szCs w:val="20"/>
          <w:color w:val="auto"/>
        </w:rPr>
      </w:pPr>
      <w:r>
        <w:rPr>
          <w:rFonts w:ascii="Arial" w:cs="Arial" w:eastAsia="Arial" w:hAnsi="Arial"/>
          <w:sz w:val="14"/>
          <w:szCs w:val="14"/>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10" w:lineRule="exact"/>
        <w:rPr>
          <w:sz w:val="20"/>
          <w:szCs w:val="20"/>
          <w:color w:val="auto"/>
        </w:rPr>
      </w:pPr>
    </w:p>
    <w:p>
      <w:pPr>
        <w:ind w:left="840" w:right="140"/>
        <w:spacing w:after="0" w:line="283" w:lineRule="auto"/>
        <w:rPr>
          <w:sz w:val="20"/>
          <w:szCs w:val="20"/>
          <w:color w:val="auto"/>
        </w:rPr>
      </w:pPr>
      <w:r>
        <w:rPr>
          <w:rFonts w:ascii="Arial" w:cs="Arial" w:eastAsia="Arial" w:hAnsi="Arial"/>
          <w:sz w:val="15"/>
          <w:szCs w:val="15"/>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seized assets in an orderly manner. The proceeds are used to reduce or repay the outstanding claim. In general, the Group does not use seized assets for its own business.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134" w:name="page135"/>
    <w:bookmarkEnd w:id="134"/>
    <w:p>
      <w:pPr>
        <w:ind w:left="561" w:hanging="276"/>
        <w:spacing w:after="0"/>
        <w:tabs>
          <w:tab w:leader="none" w:pos="561" w:val="left"/>
        </w:tabs>
        <w:numPr>
          <w:ilvl w:val="1"/>
          <w:numId w:val="162"/>
        </w:numPr>
        <w:rPr>
          <w:rFonts w:ascii="Arial" w:cs="Arial" w:eastAsia="Arial" w:hAnsi="Arial"/>
          <w:sz w:val="16"/>
          <w:szCs w:val="16"/>
          <w:color w:val="auto"/>
        </w:rPr>
      </w:pPr>
      <w:r>
        <w:rPr>
          <w:rFonts w:ascii="Arial" w:cs="Arial" w:eastAsia="Arial" w:hAnsi="Arial"/>
          <w:sz w:val="16"/>
          <w:szCs w:val="16"/>
          <w:color w:val="auto"/>
        </w:rPr>
        <w:t>Derivatives -</w:t>
      </w:r>
    </w:p>
    <w:p>
      <w:pPr>
        <w:spacing w:after="0" w:line="195" w:lineRule="exact"/>
        <w:rPr>
          <w:rFonts w:ascii="Arial" w:cs="Arial" w:eastAsia="Arial" w:hAnsi="Arial"/>
          <w:sz w:val="16"/>
          <w:szCs w:val="16"/>
          <w:color w:val="auto"/>
        </w:rPr>
      </w:pPr>
    </w:p>
    <w:p>
      <w:pPr>
        <w:ind w:left="561" w:right="60"/>
        <w:spacing w:after="0" w:line="254" w:lineRule="auto"/>
        <w:rPr>
          <w:rFonts w:ascii="Arial" w:cs="Arial" w:eastAsia="Arial" w:hAnsi="Arial"/>
          <w:sz w:val="16"/>
          <w:szCs w:val="16"/>
          <w:color w:val="auto"/>
        </w:rPr>
      </w:pPr>
      <w:r>
        <w:rPr>
          <w:rFonts w:ascii="Arial" w:cs="Arial" w:eastAsia="Arial" w:hAnsi="Arial"/>
          <w:sz w:val="16"/>
          <w:szCs w:val="16"/>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 Collateral or other security is not usually obtained for this type of risk exposure.</w:t>
      </w:r>
    </w:p>
    <w:p>
      <w:pPr>
        <w:spacing w:after="0" w:line="169" w:lineRule="exact"/>
        <w:rPr>
          <w:rFonts w:ascii="Arial" w:cs="Arial" w:eastAsia="Arial" w:hAnsi="Arial"/>
          <w:sz w:val="16"/>
          <w:szCs w:val="16"/>
          <w:color w:val="auto"/>
        </w:rPr>
      </w:pPr>
    </w:p>
    <w:p>
      <w:pPr>
        <w:jc w:val="both"/>
        <w:ind w:left="561" w:right="320"/>
        <w:spacing w:after="0" w:line="258" w:lineRule="auto"/>
        <w:rPr>
          <w:rFonts w:ascii="Arial" w:cs="Arial" w:eastAsia="Arial" w:hAnsi="Arial"/>
          <w:sz w:val="16"/>
          <w:szCs w:val="16"/>
          <w:color w:val="auto"/>
        </w:rPr>
      </w:pPr>
      <w:r>
        <w:rPr>
          <w:rFonts w:ascii="Arial" w:cs="Arial" w:eastAsia="Arial" w:hAnsi="Arial"/>
          <w:sz w:val="16"/>
          <w:szCs w:val="16"/>
          <w:color w:val="auto"/>
        </w:rPr>
        <w:t>With respect to derivatives agreed with non-financial customers, collateral has been pledged to secure the overall amount; with respect to financial counterparties, collateral granted is that required under the clearing provisions issued by the International Swaps and Derivatives Association Inc. (ISDA) or the local framework agreement.</w:t>
      </w:r>
    </w:p>
    <w:p>
      <w:pPr>
        <w:spacing w:after="0" w:line="165" w:lineRule="exact"/>
        <w:rPr>
          <w:rFonts w:ascii="Arial" w:cs="Arial" w:eastAsia="Arial" w:hAnsi="Arial"/>
          <w:sz w:val="16"/>
          <w:szCs w:val="16"/>
          <w:color w:val="auto"/>
        </w:rPr>
      </w:pPr>
    </w:p>
    <w:p>
      <w:pPr>
        <w:ind w:left="561" w:hanging="276"/>
        <w:spacing w:after="0"/>
        <w:tabs>
          <w:tab w:leader="none" w:pos="561" w:val="left"/>
        </w:tabs>
        <w:numPr>
          <w:ilvl w:val="1"/>
          <w:numId w:val="162"/>
        </w:numPr>
        <w:rPr>
          <w:rFonts w:ascii="Arial" w:cs="Arial" w:eastAsia="Arial" w:hAnsi="Arial"/>
          <w:sz w:val="16"/>
          <w:szCs w:val="16"/>
          <w:color w:val="auto"/>
        </w:rPr>
      </w:pPr>
      <w:r>
        <w:rPr>
          <w:rFonts w:ascii="Arial" w:cs="Arial" w:eastAsia="Arial" w:hAnsi="Arial"/>
          <w:sz w:val="16"/>
          <w:szCs w:val="16"/>
          <w:color w:val="auto"/>
        </w:rPr>
        <w:t>Credit-related commitments -</w:t>
      </w:r>
    </w:p>
    <w:p>
      <w:pPr>
        <w:spacing w:after="0" w:line="195" w:lineRule="exact"/>
        <w:rPr>
          <w:rFonts w:ascii="Arial" w:cs="Arial" w:eastAsia="Arial" w:hAnsi="Arial"/>
          <w:sz w:val="16"/>
          <w:szCs w:val="16"/>
          <w:color w:val="auto"/>
        </w:rPr>
      </w:pPr>
    </w:p>
    <w:p>
      <w:pPr>
        <w:ind w:left="561" w:right="40"/>
        <w:spacing w:after="0" w:line="277" w:lineRule="auto"/>
        <w:rPr>
          <w:rFonts w:ascii="Arial" w:cs="Arial" w:eastAsia="Arial" w:hAnsi="Arial"/>
          <w:sz w:val="16"/>
          <w:szCs w:val="16"/>
          <w:color w:val="auto"/>
        </w:rPr>
      </w:pPr>
      <w:r>
        <w:rPr>
          <w:rFonts w:ascii="Arial" w:cs="Arial" w:eastAsia="Arial" w:hAnsi="Arial"/>
          <w:sz w:val="15"/>
          <w:szCs w:val="15"/>
          <w:color w:val="auto"/>
        </w:rPr>
        <w:t>The primary purpose of these instruments is to ensure that funds are available to a customer as required. Guarantees and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51" w:lineRule="exact"/>
        <w:rPr>
          <w:rFonts w:ascii="Arial" w:cs="Arial" w:eastAsia="Arial" w:hAnsi="Arial"/>
          <w:sz w:val="16"/>
          <w:szCs w:val="16"/>
          <w:color w:val="auto"/>
        </w:rPr>
      </w:pPr>
    </w:p>
    <w:p>
      <w:pPr>
        <w:ind w:left="561"/>
        <w:spacing w:after="0" w:line="254" w:lineRule="auto"/>
        <w:rPr>
          <w:rFonts w:ascii="Arial" w:cs="Arial" w:eastAsia="Arial" w:hAnsi="Arial"/>
          <w:sz w:val="16"/>
          <w:szCs w:val="16"/>
          <w:color w:val="auto"/>
        </w:rPr>
      </w:pPr>
      <w:r>
        <w:rPr>
          <w:rFonts w:ascii="Arial" w:cs="Arial" w:eastAsia="Arial" w:hAnsi="Arial"/>
          <w:sz w:val="16"/>
          <w:szCs w:val="16"/>
          <w:color w:val="auto"/>
        </w:rPr>
        <w:t>In order to manage credit risk, as part of the Group’s risk management structure, there is a Credit Risk Management Department, the major functions of which are to implement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recommending global risk exposures by economic sector, among others.</w:t>
      </w:r>
    </w:p>
    <w:p>
      <w:pPr>
        <w:spacing w:after="0" w:line="169" w:lineRule="exact"/>
        <w:rPr>
          <w:rFonts w:ascii="Arial" w:cs="Arial" w:eastAsia="Arial" w:hAnsi="Arial"/>
          <w:sz w:val="16"/>
          <w:szCs w:val="16"/>
          <w:color w:val="auto"/>
        </w:rPr>
      </w:pPr>
    </w:p>
    <w:p>
      <w:pPr>
        <w:ind w:left="561"/>
        <w:spacing w:after="0" w:line="252" w:lineRule="auto"/>
        <w:rPr>
          <w:rFonts w:ascii="Arial" w:cs="Arial" w:eastAsia="Arial" w:hAnsi="Arial"/>
          <w:sz w:val="16"/>
          <w:szCs w:val="16"/>
          <w:color w:val="auto"/>
        </w:rPr>
      </w:pPr>
      <w:r>
        <w:rPr>
          <w:rFonts w:ascii="Arial" w:cs="Arial" w:eastAsia="Arial" w:hAnsi="Arial"/>
          <w:sz w:val="16"/>
          <w:szCs w:val="16"/>
          <w:color w:val="auto"/>
        </w:rPr>
        <w:t>For enhanced risk identification, there are internal credit scoring models, which have been prepared and implemented for the main business segments. Each model is related to a defined group of rating or scoring bands. Customers who are inside a band are characterized by having a similar risk level (within the band); however, they are different compared to the other band. For retail customers, these scoring models are highly related to management (admission, follow-up, campaigns, etc.) from different portfolios. On the other hand, for non-retail customers, ratings mainly serve as support for making credit decisions in admission, follow-up and price allocation, etc.</w:t>
      </w:r>
    </w:p>
    <w:p>
      <w:pPr>
        <w:spacing w:after="0" w:line="171" w:lineRule="exact"/>
        <w:rPr>
          <w:rFonts w:ascii="Arial" w:cs="Arial" w:eastAsia="Arial" w:hAnsi="Arial"/>
          <w:sz w:val="16"/>
          <w:szCs w:val="16"/>
          <w:color w:val="auto"/>
        </w:rPr>
      </w:pPr>
    </w:p>
    <w:p>
      <w:pPr>
        <w:ind w:left="561" w:right="60"/>
        <w:spacing w:after="0" w:line="251" w:lineRule="auto"/>
        <w:rPr>
          <w:rFonts w:ascii="Arial" w:cs="Arial" w:eastAsia="Arial" w:hAnsi="Arial"/>
          <w:sz w:val="16"/>
          <w:szCs w:val="16"/>
          <w:color w:val="auto"/>
        </w:rPr>
      </w:pPr>
      <w:r>
        <w:rPr>
          <w:rFonts w:ascii="Arial" w:cs="Arial" w:eastAsia="Arial" w:hAnsi="Arial"/>
          <w:sz w:val="16"/>
          <w:szCs w:val="16"/>
          <w:color w:val="auto"/>
        </w:rPr>
        <w:t>The Group has a Credit Division, which establishes the overall credit policies for each of the businesses in which the Group decides to take part. These credit policies are set forth based on the guidelines established by the Board of Directors and in compliance with statutory financial laws and regulations. The main activities are to establish the costumer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and to monitor credit-granting activities within the different autonomous entities, among others.</w:t>
      </w:r>
    </w:p>
    <w:p>
      <w:pPr>
        <w:spacing w:after="0" w:line="173" w:lineRule="exact"/>
        <w:rPr>
          <w:rFonts w:ascii="Arial" w:cs="Arial" w:eastAsia="Arial" w:hAnsi="Arial"/>
          <w:sz w:val="16"/>
          <w:szCs w:val="16"/>
          <w:color w:val="auto"/>
        </w:rPr>
      </w:pPr>
    </w:p>
    <w:p>
      <w:pPr>
        <w:ind w:left="281" w:right="500" w:hanging="281"/>
        <w:spacing w:after="0" w:line="269" w:lineRule="auto"/>
        <w:tabs>
          <w:tab w:leader="none" w:pos="28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maximum exposure to credit risk at December 31, 2018 and 2017, before the effect of mitigation through any collateral, is the carrying amount of each class of financial assets indicated in Notes 33.7(a), 33.7(b) and the contingent credits detailed in Note 20(a).</w:t>
      </w:r>
    </w:p>
    <w:p>
      <w:pPr>
        <w:spacing w:after="0" w:line="346" w:lineRule="exact"/>
        <w:rPr>
          <w:rFonts w:ascii="Arial" w:cs="Arial" w:eastAsia="Arial" w:hAnsi="Arial"/>
          <w:sz w:val="16"/>
          <w:szCs w:val="16"/>
          <w:color w:val="auto"/>
        </w:rPr>
      </w:pPr>
    </w:p>
    <w:p>
      <w:pPr>
        <w:ind w:left="5321" w:hanging="91"/>
        <w:spacing w:after="0"/>
        <w:tabs>
          <w:tab w:leader="none" w:pos="5321" w:val="left"/>
        </w:tabs>
        <w:numPr>
          <w:ilvl w:val="2"/>
          <w:numId w:val="163"/>
        </w:numPr>
        <w:rPr>
          <w:rFonts w:ascii="Arial" w:cs="Arial" w:eastAsia="Arial" w:hAnsi="Arial"/>
          <w:sz w:val="16"/>
          <w:szCs w:val="16"/>
          <w:color w:val="auto"/>
        </w:rPr>
      </w:pPr>
      <w:r>
        <w:rPr>
          <w:rFonts w:ascii="Arial" w:cs="Arial" w:eastAsia="Arial" w:hAnsi="Arial"/>
          <w:sz w:val="16"/>
          <w:szCs w:val="16"/>
          <w:color w:val="auto"/>
        </w:rPr>
        <w:t>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4" w:right="259" w:bottom="1440" w:gutter="0" w:footer="0" w:header="0"/>
        </w:sectPr>
      </w:pPr>
    </w:p>
    <w:bookmarkStart w:id="135" w:name="page136"/>
    <w:bookmarkEnd w:id="135"/>
    <w:p>
      <w:pPr>
        <w:ind w:left="281" w:right="380"/>
        <w:spacing w:after="0" w:line="269" w:lineRule="auto"/>
        <w:rPr>
          <w:sz w:val="20"/>
          <w:szCs w:val="20"/>
          <w:color w:val="auto"/>
        </w:rPr>
      </w:pPr>
      <w:r>
        <w:rPr>
          <w:rFonts w:ascii="Arial" w:cs="Arial" w:eastAsia="Arial" w:hAnsi="Arial"/>
          <w:sz w:val="16"/>
          <w:szCs w:val="16"/>
          <w:color w:val="auto"/>
        </w:rPr>
        <w:t>Management is confident of its ability to continue controlling and maintaining minimal credit risk exposure within the Group, considering both its loan and securities portfolio.</w:t>
      </w:r>
    </w:p>
    <w:p>
      <w:pPr>
        <w:spacing w:after="0" w:line="157" w:lineRule="exact"/>
        <w:rPr>
          <w:sz w:val="20"/>
          <w:szCs w:val="20"/>
          <w:color w:val="auto"/>
        </w:rPr>
      </w:pPr>
    </w:p>
    <w:p>
      <w:pPr>
        <w:ind w:left="281" w:hanging="281"/>
        <w:spacing w:after="0"/>
        <w:tabs>
          <w:tab w:leader="none" w:pos="28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Credit risk management for loans -</w:t>
      </w:r>
    </w:p>
    <w:p>
      <w:pPr>
        <w:spacing w:after="0" w:line="195" w:lineRule="exact"/>
        <w:rPr>
          <w:rFonts w:ascii="Arial" w:cs="Arial" w:eastAsia="Arial" w:hAnsi="Arial"/>
          <w:sz w:val="16"/>
          <w:szCs w:val="16"/>
          <w:color w:val="auto"/>
        </w:rPr>
      </w:pPr>
    </w:p>
    <w:p>
      <w:pPr>
        <w:ind w:left="281" w:right="320"/>
        <w:spacing w:after="0" w:line="258" w:lineRule="auto"/>
        <w:rPr>
          <w:rFonts w:ascii="Arial" w:cs="Arial" w:eastAsia="Arial" w:hAnsi="Arial"/>
          <w:sz w:val="16"/>
          <w:szCs w:val="16"/>
          <w:color w:val="auto"/>
        </w:rPr>
      </w:pPr>
      <w:r>
        <w:rPr>
          <w:rFonts w:ascii="Arial" w:cs="Arial" w:eastAsia="Arial" w:hAnsi="Arial"/>
          <w:sz w:val="16"/>
          <w:szCs w:val="16"/>
          <w:color w:val="auto"/>
        </w:rPr>
        <w:t>The management of credit risk is mainly based on rating and scoring of the internal models of each company of the Group. In Credicorp, a quantitative and qualitative analysis is made of each client, with regard to his financial position, his credit behavior in the System and the market in which it operates; which is carried out continuously, so as to assemble the risk profile of each operation and client with a credit position in the Group.</w:t>
      </w:r>
    </w:p>
    <w:p>
      <w:pPr>
        <w:spacing w:after="0" w:line="165" w:lineRule="exact"/>
        <w:rPr>
          <w:rFonts w:ascii="Arial" w:cs="Arial" w:eastAsia="Arial" w:hAnsi="Arial"/>
          <w:sz w:val="16"/>
          <w:szCs w:val="16"/>
          <w:color w:val="auto"/>
        </w:rPr>
      </w:pPr>
    </w:p>
    <w:p>
      <w:pPr>
        <w:ind w:left="281"/>
        <w:spacing w:after="0" w:line="269" w:lineRule="auto"/>
        <w:rPr>
          <w:rFonts w:ascii="Arial" w:cs="Arial" w:eastAsia="Arial" w:hAnsi="Arial"/>
          <w:sz w:val="16"/>
          <w:szCs w:val="16"/>
          <w:color w:val="auto"/>
        </w:rPr>
      </w:pPr>
      <w:r>
        <w:rPr>
          <w:rFonts w:ascii="Arial" w:cs="Arial" w:eastAsia="Arial" w:hAnsi="Arial"/>
          <w:sz w:val="16"/>
          <w:szCs w:val="16"/>
          <w:color w:val="auto"/>
        </w:rPr>
        <w:t>In the Group, a loan is internally classified as past due, depending on three aspects: the number of days in arrears based on the contractually agreed due date, the subsidiary and the type of credit:</w:t>
      </w:r>
    </w:p>
    <w:p>
      <w:pPr>
        <w:spacing w:after="0" w:line="156" w:lineRule="exact"/>
        <w:rPr>
          <w:rFonts w:ascii="Arial" w:cs="Arial" w:eastAsia="Arial" w:hAnsi="Arial"/>
          <w:sz w:val="16"/>
          <w:szCs w:val="16"/>
          <w:color w:val="auto"/>
        </w:rPr>
      </w:pPr>
    </w:p>
    <w:p>
      <w:pPr>
        <w:ind w:left="561" w:hanging="276"/>
        <w:spacing w:after="0"/>
        <w:tabs>
          <w:tab w:leader="none" w:pos="561" w:val="left"/>
        </w:tabs>
        <w:numPr>
          <w:ilvl w:val="1"/>
          <w:numId w:val="164"/>
        </w:numPr>
        <w:rPr>
          <w:rFonts w:ascii="Arial" w:cs="Arial" w:eastAsia="Arial" w:hAnsi="Arial"/>
          <w:sz w:val="16"/>
          <w:szCs w:val="16"/>
          <w:color w:val="auto"/>
        </w:rPr>
      </w:pPr>
      <w:r>
        <w:rPr>
          <w:rFonts w:ascii="Arial" w:cs="Arial" w:eastAsia="Arial" w:hAnsi="Arial"/>
          <w:sz w:val="16"/>
          <w:szCs w:val="16"/>
          <w:color w:val="auto"/>
        </w:rPr>
        <w:t>Banco de Crédito del Perú, Mibanco, Solución Empresa Administradora Hipotecaria S.A. and Edyficar S.A.S. consider a loan past due:</w:t>
      </w:r>
    </w:p>
    <w:p>
      <w:pPr>
        <w:spacing w:after="0" w:line="195" w:lineRule="exact"/>
        <w:rPr>
          <w:rFonts w:ascii="Arial" w:cs="Arial" w:eastAsia="Arial" w:hAnsi="Arial"/>
          <w:sz w:val="16"/>
          <w:szCs w:val="16"/>
          <w:color w:val="auto"/>
        </w:rPr>
      </w:pPr>
    </w:p>
    <w:p>
      <w:pPr>
        <w:ind w:left="861" w:hanging="292"/>
        <w:spacing w:after="0"/>
        <w:tabs>
          <w:tab w:leader="none" w:pos="861" w:val="left"/>
        </w:tabs>
        <w:numPr>
          <w:ilvl w:val="2"/>
          <w:numId w:val="164"/>
        </w:numPr>
        <w:rPr>
          <w:rFonts w:ascii="Arial" w:cs="Arial" w:eastAsia="Arial" w:hAnsi="Arial"/>
          <w:sz w:val="16"/>
          <w:szCs w:val="16"/>
          <w:color w:val="auto"/>
        </w:rPr>
      </w:pPr>
      <w:r>
        <w:rPr>
          <w:rFonts w:ascii="Arial" w:cs="Arial" w:eastAsia="Arial" w:hAnsi="Arial"/>
          <w:sz w:val="16"/>
          <w:szCs w:val="16"/>
          <w:color w:val="auto"/>
        </w:rPr>
        <w:t>For corporate enterprises, large and medium companies after 15 days in arrears.</w:t>
      </w:r>
    </w:p>
    <w:p>
      <w:pPr>
        <w:spacing w:after="0" w:line="16" w:lineRule="exact"/>
        <w:rPr>
          <w:rFonts w:ascii="Arial" w:cs="Arial" w:eastAsia="Arial" w:hAnsi="Arial"/>
          <w:sz w:val="16"/>
          <w:szCs w:val="16"/>
          <w:color w:val="auto"/>
        </w:rPr>
      </w:pPr>
    </w:p>
    <w:p>
      <w:pPr>
        <w:ind w:left="861" w:hanging="292"/>
        <w:spacing w:after="0"/>
        <w:tabs>
          <w:tab w:leader="none" w:pos="861" w:val="left"/>
        </w:tabs>
        <w:numPr>
          <w:ilvl w:val="2"/>
          <w:numId w:val="164"/>
        </w:numPr>
        <w:rPr>
          <w:rFonts w:ascii="Arial" w:cs="Arial" w:eastAsia="Arial" w:hAnsi="Arial"/>
          <w:sz w:val="16"/>
          <w:szCs w:val="16"/>
          <w:color w:val="auto"/>
        </w:rPr>
      </w:pPr>
      <w:r>
        <w:rPr>
          <w:rFonts w:ascii="Arial" w:cs="Arial" w:eastAsia="Arial" w:hAnsi="Arial"/>
          <w:sz w:val="16"/>
          <w:szCs w:val="16"/>
          <w:color w:val="auto"/>
        </w:rPr>
        <w:t>For small and microenterprises after 30 days past due.</w:t>
      </w:r>
    </w:p>
    <w:p>
      <w:pPr>
        <w:spacing w:after="0" w:line="5" w:lineRule="exact"/>
        <w:rPr>
          <w:rFonts w:ascii="Arial" w:cs="Arial" w:eastAsia="Arial" w:hAnsi="Arial"/>
          <w:sz w:val="16"/>
          <w:szCs w:val="16"/>
          <w:color w:val="auto"/>
        </w:rPr>
      </w:pPr>
    </w:p>
    <w:p>
      <w:pPr>
        <w:ind w:left="861" w:hanging="292"/>
        <w:spacing w:after="0"/>
        <w:tabs>
          <w:tab w:leader="none" w:pos="861" w:val="left"/>
        </w:tabs>
        <w:numPr>
          <w:ilvl w:val="2"/>
          <w:numId w:val="164"/>
        </w:numPr>
        <w:rPr>
          <w:rFonts w:ascii="Arial" w:cs="Arial" w:eastAsia="Arial" w:hAnsi="Arial"/>
          <w:sz w:val="16"/>
          <w:szCs w:val="16"/>
          <w:color w:val="auto"/>
        </w:rPr>
      </w:pPr>
      <w:r>
        <w:rPr>
          <w:rFonts w:ascii="Arial" w:cs="Arial" w:eastAsia="Arial" w:hAnsi="Arial"/>
          <w:sz w:val="16"/>
          <w:szCs w:val="16"/>
          <w:color w:val="auto"/>
        </w:rPr>
        <w:t>For overdrafts, after 30 days past due.</w:t>
      </w:r>
    </w:p>
    <w:p>
      <w:pPr>
        <w:spacing w:after="0" w:line="5" w:lineRule="exact"/>
        <w:rPr>
          <w:rFonts w:ascii="Arial" w:cs="Arial" w:eastAsia="Arial" w:hAnsi="Arial"/>
          <w:sz w:val="16"/>
          <w:szCs w:val="16"/>
          <w:color w:val="auto"/>
        </w:rPr>
      </w:pPr>
    </w:p>
    <w:p>
      <w:pPr>
        <w:ind w:left="861" w:right="180" w:hanging="292"/>
        <w:spacing w:after="0" w:line="254" w:lineRule="auto"/>
        <w:tabs>
          <w:tab w:leader="none" w:pos="861" w:val="left"/>
        </w:tabs>
        <w:numPr>
          <w:ilvl w:val="2"/>
          <w:numId w:val="164"/>
        </w:numPr>
        <w:rPr>
          <w:rFonts w:ascii="Arial" w:cs="Arial" w:eastAsia="Arial" w:hAnsi="Arial"/>
          <w:sz w:val="16"/>
          <w:szCs w:val="16"/>
          <w:color w:val="auto"/>
        </w:rPr>
      </w:pPr>
      <w:r>
        <w:rPr>
          <w:rFonts w:ascii="Arial" w:cs="Arial" w:eastAsia="Arial" w:hAnsi="Arial"/>
          <w:sz w:val="16"/>
          <w:szCs w:val="16"/>
          <w:color w:val="auto"/>
        </w:rPr>
        <w:t>For consumer, mortgage and lease operation products, quotas are considered past due internally when they are between 30 and 90 days in arrears; after 90 days, the pending loan balance is considered past due.</w:t>
      </w:r>
    </w:p>
    <w:p>
      <w:pPr>
        <w:spacing w:after="0" w:line="168" w:lineRule="exact"/>
        <w:rPr>
          <w:rFonts w:ascii="Arial" w:cs="Arial" w:eastAsia="Arial" w:hAnsi="Arial"/>
          <w:sz w:val="16"/>
          <w:szCs w:val="16"/>
          <w:color w:val="auto"/>
        </w:rPr>
      </w:pPr>
    </w:p>
    <w:p>
      <w:pPr>
        <w:ind w:left="561" w:hanging="276"/>
        <w:spacing w:after="0"/>
        <w:tabs>
          <w:tab w:leader="none" w:pos="561"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Atlantic Security Bank considers a credit past due when its payment schedule of capital and/or interest exceed 30 days in arrears.</w:t>
      </w:r>
    </w:p>
    <w:p>
      <w:pPr>
        <w:spacing w:after="0" w:line="195" w:lineRule="exact"/>
        <w:rPr>
          <w:rFonts w:ascii="Arial" w:cs="Arial" w:eastAsia="Arial" w:hAnsi="Arial"/>
          <w:sz w:val="16"/>
          <w:szCs w:val="16"/>
          <w:color w:val="auto"/>
        </w:rPr>
      </w:pPr>
    </w:p>
    <w:p>
      <w:pPr>
        <w:ind w:left="561" w:hanging="276"/>
        <w:spacing w:after="0"/>
        <w:tabs>
          <w:tab w:leader="none" w:pos="561" w:val="left"/>
        </w:tabs>
        <w:numPr>
          <w:ilvl w:val="1"/>
          <w:numId w:val="164"/>
        </w:numPr>
        <w:rPr>
          <w:rFonts w:ascii="Arial" w:cs="Arial" w:eastAsia="Arial" w:hAnsi="Arial"/>
          <w:sz w:val="16"/>
          <w:szCs w:val="16"/>
          <w:color w:val="auto"/>
        </w:rPr>
      </w:pPr>
      <w:r>
        <w:rPr>
          <w:rFonts w:ascii="Arial" w:cs="Arial" w:eastAsia="Arial" w:hAnsi="Arial"/>
          <w:sz w:val="16"/>
          <w:szCs w:val="16"/>
          <w:color w:val="auto"/>
        </w:rPr>
        <w:t>Banco de Crédito de Bolivia considers a credit as an internal past due with effect from day 30 in arrears.</w:t>
      </w:r>
    </w:p>
    <w:p>
      <w:pPr>
        <w:spacing w:after="0" w:line="19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Estimate of the expected loss -</w:t>
      </w:r>
    </w:p>
    <w:p>
      <w:pPr>
        <w:spacing w:after="0" w:line="195" w:lineRule="exact"/>
        <w:rPr>
          <w:sz w:val="20"/>
          <w:szCs w:val="20"/>
          <w:color w:val="auto"/>
        </w:rPr>
      </w:pPr>
    </w:p>
    <w:p>
      <w:pPr>
        <w:ind w:left="281" w:right="140"/>
        <w:spacing w:after="0" w:line="269" w:lineRule="auto"/>
        <w:rPr>
          <w:sz w:val="20"/>
          <w:szCs w:val="20"/>
          <w:color w:val="auto"/>
        </w:rPr>
      </w:pPr>
      <w:r>
        <w:rPr>
          <w:rFonts w:ascii="Arial" w:cs="Arial" w:eastAsia="Arial" w:hAnsi="Arial"/>
          <w:sz w:val="16"/>
          <w:szCs w:val="16"/>
          <w:color w:val="auto"/>
        </w:rPr>
        <w:t>The measurement of the credit loss is based on the product of the following parameters: (i) probability of default (PD) (ii) loss given default (LGD), and (iii) Exposure at default (EAD); discounted at the reporting period, using the effective interest rate. The definition of the parameters is presented below:</w:t>
      </w:r>
    </w:p>
    <w:p>
      <w:pPr>
        <w:spacing w:after="0" w:line="157" w:lineRule="exact"/>
        <w:rPr>
          <w:sz w:val="20"/>
          <w:szCs w:val="20"/>
          <w:color w:val="auto"/>
        </w:rPr>
      </w:pPr>
    </w:p>
    <w:p>
      <w:pPr>
        <w:ind w:left="561" w:right="300" w:hanging="276"/>
        <w:spacing w:after="0" w:line="269" w:lineRule="auto"/>
        <w:tabs>
          <w:tab w:leader="none" w:pos="56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Probability of Default (PD): this is a measurement of credit rating given internally to a customer, designed to estimate their probability of default within a specific horizon. The process of obtaining the PD is carried out through scoring and rating tools.</w:t>
      </w:r>
    </w:p>
    <w:p>
      <w:pPr>
        <w:spacing w:after="0" w:line="156" w:lineRule="exact"/>
        <w:rPr>
          <w:rFonts w:ascii="Arial" w:cs="Arial" w:eastAsia="Arial" w:hAnsi="Arial"/>
          <w:sz w:val="16"/>
          <w:szCs w:val="16"/>
          <w:color w:val="auto"/>
        </w:rPr>
      </w:pPr>
    </w:p>
    <w:p>
      <w:pPr>
        <w:ind w:left="561"/>
        <w:spacing w:after="0"/>
        <w:rPr>
          <w:rFonts w:ascii="Arial" w:cs="Arial" w:eastAsia="Arial" w:hAnsi="Arial"/>
          <w:sz w:val="16"/>
          <w:szCs w:val="16"/>
          <w:color w:val="auto"/>
        </w:rPr>
      </w:pPr>
      <w:r>
        <w:rPr>
          <w:rFonts w:ascii="Arial" w:cs="Arial" w:eastAsia="Arial" w:hAnsi="Arial"/>
          <w:sz w:val="16"/>
          <w:szCs w:val="16"/>
          <w:color w:val="auto"/>
        </w:rPr>
        <w:t>The Group considers that a financial instrument is in default if it meets the following conditions depending on the type of asset:</w:t>
      </w:r>
    </w:p>
    <w:p>
      <w:pPr>
        <w:spacing w:after="0" w:line="195" w:lineRule="exact"/>
        <w:rPr>
          <w:rFonts w:ascii="Arial" w:cs="Arial" w:eastAsia="Arial" w:hAnsi="Arial"/>
          <w:sz w:val="16"/>
          <w:szCs w:val="16"/>
          <w:color w:val="auto"/>
        </w:rPr>
      </w:pPr>
    </w:p>
    <w:p>
      <w:pPr>
        <w:ind w:left="861" w:right="620" w:hanging="292"/>
        <w:spacing w:after="0" w:line="269" w:lineRule="auto"/>
        <w:tabs>
          <w:tab w:leader="none" w:pos="86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Consumer Products, Credit Card and SME: If the costumer, at some point, presents arrears equal to or greater than 60 days and/or has operations that are refinanced, restructured, in pre-judicial, judicial proceedings or written off.</w:t>
      </w:r>
    </w:p>
    <w:p>
      <w:pPr>
        <w:spacing w:after="0" w:line="156" w:lineRule="exact"/>
        <w:rPr>
          <w:rFonts w:ascii="Arial" w:cs="Arial" w:eastAsia="Arial" w:hAnsi="Arial"/>
          <w:sz w:val="16"/>
          <w:szCs w:val="16"/>
          <w:color w:val="auto"/>
        </w:rPr>
      </w:pPr>
    </w:p>
    <w:p>
      <w:pPr>
        <w:ind w:left="861" w:right="360" w:hanging="292"/>
        <w:spacing w:after="0" w:line="269" w:lineRule="auto"/>
        <w:tabs>
          <w:tab w:leader="none" w:pos="86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Mortgage Product: If the customer, at some point, presents arrears equal to or greater 120 days and/or has operations that are refinanced, restructured, in pre-judicial, judicial proceedings or written off.</w:t>
      </w:r>
    </w:p>
    <w:p>
      <w:pPr>
        <w:spacing w:after="0" w:line="156" w:lineRule="exact"/>
        <w:rPr>
          <w:rFonts w:ascii="Arial" w:cs="Arial" w:eastAsia="Arial" w:hAnsi="Arial"/>
          <w:sz w:val="16"/>
          <w:szCs w:val="16"/>
          <w:color w:val="auto"/>
        </w:rPr>
      </w:pPr>
    </w:p>
    <w:p>
      <w:pPr>
        <w:ind w:left="861" w:right="180" w:hanging="292"/>
        <w:spacing w:after="0" w:line="258" w:lineRule="auto"/>
        <w:tabs>
          <w:tab w:leader="none" w:pos="86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Commercial Banking: Those customers that are in the Special Accounts portfolio or have risk classification as deficient, doubtful or lost, or have refinanced, judicial or written off operations. Also, a customer can be considered as Default in case of signs of significant qualitative impairment so as to consider it in said stage.</w:t>
      </w:r>
    </w:p>
    <w:p>
      <w:pPr>
        <w:spacing w:after="0" w:line="354" w:lineRule="exact"/>
        <w:rPr>
          <w:rFonts w:ascii="Arial" w:cs="Arial" w:eastAsia="Arial" w:hAnsi="Arial"/>
          <w:sz w:val="16"/>
          <w:szCs w:val="16"/>
          <w:color w:val="auto"/>
        </w:rPr>
      </w:pPr>
    </w:p>
    <w:p>
      <w:pPr>
        <w:ind w:left="5321" w:hanging="91"/>
        <w:spacing w:after="0"/>
        <w:tabs>
          <w:tab w:leader="none" w:pos="5321" w:val="left"/>
        </w:tabs>
        <w:numPr>
          <w:ilvl w:val="2"/>
          <w:numId w:val="165"/>
        </w:numPr>
        <w:rPr>
          <w:rFonts w:ascii="Arial" w:cs="Arial" w:eastAsia="Arial" w:hAnsi="Arial"/>
          <w:sz w:val="16"/>
          <w:szCs w:val="16"/>
          <w:color w:val="auto"/>
        </w:rPr>
      </w:pPr>
      <w:r>
        <w:rPr>
          <w:rFonts w:ascii="Arial" w:cs="Arial" w:eastAsia="Arial" w:hAnsi="Arial"/>
          <w:sz w:val="16"/>
          <w:szCs w:val="16"/>
          <w:color w:val="auto"/>
        </w:rPr>
        <w:t>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4" w:right="259" w:bottom="1440" w:gutter="0" w:footer="0" w:header="0"/>
        </w:sectPr>
      </w:pPr>
    </w:p>
    <w:bookmarkStart w:id="136" w:name="page137"/>
    <w:bookmarkEnd w:id="136"/>
    <w:p>
      <w:pPr>
        <w:ind w:left="580" w:hanging="292"/>
        <w:spacing w:after="0" w:line="303" w:lineRule="auto"/>
        <w:tabs>
          <w:tab w:leader="none" w:pos="58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Investments: If the instrument has a Default rating according to external rating agencies such as Fitch, Standard &amp; Poors or Moody's or with an indicator of arrears equal to or greater than 90 days. Also, a customer can be considered as Default in case of signs of significant qualitative impairment.</w:t>
      </w:r>
    </w:p>
    <w:p>
      <w:pPr>
        <w:spacing w:after="0" w:line="133" w:lineRule="exact"/>
        <w:rPr>
          <w:rFonts w:ascii="Arial" w:cs="Arial" w:eastAsia="Arial" w:hAnsi="Arial"/>
          <w:sz w:val="15"/>
          <w:szCs w:val="15"/>
          <w:color w:val="auto"/>
        </w:rPr>
      </w:pPr>
    </w:p>
    <w:p>
      <w:pPr>
        <w:ind w:left="280" w:right="120" w:hanging="276"/>
        <w:spacing w:after="0" w:line="269" w:lineRule="auto"/>
        <w:tabs>
          <w:tab w:leader="none" w:pos="2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Loss Given Default (LGD): Is a measurement which estimates the severity of the loss which would be incurred at the time of the default. It has two approaches in the estimate of the severity of the loss, depending on the stage of the customer:</w:t>
      </w:r>
    </w:p>
    <w:p>
      <w:pPr>
        <w:spacing w:after="0" w:line="156" w:lineRule="exact"/>
        <w:rPr>
          <w:rFonts w:ascii="Arial" w:cs="Arial" w:eastAsia="Arial" w:hAnsi="Arial"/>
          <w:sz w:val="16"/>
          <w:szCs w:val="16"/>
          <w:color w:val="auto"/>
        </w:rPr>
      </w:pPr>
    </w:p>
    <w:p>
      <w:pPr>
        <w:ind w:left="580" w:right="60" w:hanging="292"/>
        <w:spacing w:after="0" w:line="269" w:lineRule="auto"/>
        <w:tabs>
          <w:tab w:leader="none" w:pos="5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LGD Workout: The LGD workout is the real loss of the customers who have arrived at the stage of default. The recoveries and costs of each one of the operations are used in order to calculate it (Includes open and closed recovery processes).</w:t>
      </w:r>
    </w:p>
    <w:p>
      <w:pPr>
        <w:spacing w:after="0" w:line="156" w:lineRule="exact"/>
        <w:rPr>
          <w:rFonts w:ascii="Arial" w:cs="Arial" w:eastAsia="Arial" w:hAnsi="Arial"/>
          <w:sz w:val="16"/>
          <w:szCs w:val="16"/>
          <w:color w:val="auto"/>
        </w:rPr>
      </w:pPr>
    </w:p>
    <w:p>
      <w:pPr>
        <w:ind w:left="580" w:right="200" w:hanging="292"/>
        <w:spacing w:after="0" w:line="269" w:lineRule="auto"/>
        <w:tabs>
          <w:tab w:leader="none" w:pos="5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LGD ELBE (Expected Loss Best Estimate): The LGD ELBE is the loss of the contracts in a default situation, based on the time in arrears of the operation (The longer the operation is in default, the greater will be the loss level).</w:t>
      </w:r>
    </w:p>
    <w:p>
      <w:pPr>
        <w:spacing w:after="0" w:line="156" w:lineRule="exact"/>
        <w:rPr>
          <w:rFonts w:ascii="Arial" w:cs="Arial" w:eastAsia="Arial" w:hAnsi="Arial"/>
          <w:sz w:val="16"/>
          <w:szCs w:val="16"/>
          <w:color w:val="auto"/>
        </w:rPr>
      </w:pPr>
    </w:p>
    <w:p>
      <w:pPr>
        <w:ind w:left="280" w:right="520" w:hanging="276"/>
        <w:spacing w:after="0" w:line="269" w:lineRule="auto"/>
        <w:tabs>
          <w:tab w:leader="none" w:pos="2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Exposure at Default (EAD): Is a measurement which estimates the exposure at the time of the customer goes into default, taking into account changes in future exposure, for example, in the case of prepayments and/or greater utilization of unused lines.</w:t>
      </w:r>
    </w:p>
    <w:p>
      <w:pPr>
        <w:spacing w:after="0" w:line="15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Accordingly, the estimated of the parameters take into consideration information regarding the actual conditions, as well as the projections of future macroeconomic events and conditions in three scenarios (base, optimistic and pessimistic) which are analyzed in order to obtain the expected loss.</w:t>
      </w:r>
    </w:p>
    <w:p>
      <w:pPr>
        <w:spacing w:after="0" w:line="15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fundamental difference between the credit loss of an account considered as Stage 1 and Stage 2 is the PD horizon. Specifically, the estimates of Stage 1 use a maximum PD of 12 months, while those in Stage 2 will use a PD measured for the entire life of the instrument. The estimates of Stage 3 will be carried out on the basis of a best estimate LGD.</w:t>
      </w:r>
    </w:p>
    <w:p>
      <w:pPr>
        <w:spacing w:after="0" w:line="165" w:lineRule="exact"/>
        <w:rPr>
          <w:sz w:val="20"/>
          <w:szCs w:val="20"/>
          <w:color w:val="auto"/>
        </w:rPr>
      </w:pPr>
    </w:p>
    <w:p>
      <w:pPr>
        <w:ind w:right="540"/>
        <w:spacing w:after="0" w:line="269" w:lineRule="auto"/>
        <w:rPr>
          <w:sz w:val="20"/>
          <w:szCs w:val="20"/>
          <w:color w:val="auto"/>
        </w:rPr>
      </w:pPr>
      <w:r>
        <w:rPr>
          <w:rFonts w:ascii="Arial" w:cs="Arial" w:eastAsia="Arial" w:hAnsi="Arial"/>
          <w:sz w:val="16"/>
          <w:szCs w:val="16"/>
          <w:color w:val="auto"/>
        </w:rPr>
        <w:t>In those cases, in which the portfolio is immaterial and does not have credit score models, the option was to extrapolate the loss ratio of portfolios with comparable characteristics.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information:</w:t>
      </w:r>
    </w:p>
    <w:p>
      <w:pPr>
        <w:spacing w:after="0" w:line="195"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color w:val="auto"/>
        </w:rPr>
        <w:t>The measurement of expected credit losses for each stage and the evaluation of significant increases in credit risk consider information on previous events and current conditions, as well as reasonable projections based on future events and economic conditions.</w:t>
      </w:r>
    </w:p>
    <w:p>
      <w:pPr>
        <w:spacing w:after="0" w:line="157"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color w:val="auto"/>
        </w:rPr>
        <w:t>For the estimation of the risk parameters (PD, LGD, EAD), used in the calculation of the provision in stages 1 and 2, the significance of the macroeconomic variables (or their variations) that have the greatest influence on each portfolio was tested. Each macroeconomic scenario used in calculating the expected loss considers projections of relevant macroeconomic variables, such as the gross domestic product (GDP), employment, terms of trade, inflation, among others, for a period of 3 years and a long-term projection.</w:t>
      </w:r>
    </w:p>
    <w:p>
      <w:pPr>
        <w:spacing w:after="0" w:line="169"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The estimate of the expected loss for stages 1, 2 and 3 is a weighted estimate that considers three future macroeconomic scenarios. The base, optimistic and pessimistic scenarios, as well as the probability of occurrence of each scenario, are macroeconomic projections provided by the Economic Studies Management. It should be noted that the scenario design is adjusted quarterly. All the scenarios considered apply to portfolios subject to expected credit losses with the same probabilities.</w:t>
      </w:r>
    </w:p>
    <w:p>
      <w:pPr>
        <w:spacing w:after="0" w:line="320"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4" w:right="2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Changes from one stage to another</w:t>
      </w:r>
    </w:p>
    <w:p>
      <w:pPr>
        <w:spacing w:after="0" w:line="195"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at the reporting date compared to the origin. This classification is updated monthly. As the IFRS 9 states, this classification depends on the following criteria:</w:t>
      </w:r>
    </w:p>
    <w:p>
      <w:pPr>
        <w:spacing w:after="0" w:line="157" w:lineRule="exact"/>
        <w:rPr>
          <w:sz w:val="20"/>
          <w:szCs w:val="20"/>
          <w:color w:val="auto"/>
        </w:rPr>
      </w:pPr>
    </w:p>
    <w:p>
      <w:pPr>
        <w:ind w:left="280" w:hanging="276"/>
        <w:spacing w:after="0"/>
        <w:tabs>
          <w:tab w:leader="none" w:pos="2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of delay.</w:t>
      </w:r>
    </w:p>
    <w:p>
      <w:pPr>
        <w:spacing w:after="0" w:line="16" w:lineRule="exact"/>
        <w:rPr>
          <w:rFonts w:ascii="Arial" w:cs="Arial" w:eastAsia="Arial" w:hAnsi="Arial"/>
          <w:sz w:val="16"/>
          <w:szCs w:val="16"/>
          <w:color w:val="auto"/>
        </w:rPr>
      </w:pPr>
    </w:p>
    <w:p>
      <w:pPr>
        <w:ind w:left="280" w:hanging="276"/>
        <w:spacing w:after="0" w:line="247" w:lineRule="auto"/>
        <w:tabs>
          <w:tab w:leader="none" w:pos="2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Additionally, significant risk thresholds were established based on absolute and relative thresholds that depend on the level of risk in which the instrument originated. The thresholds differ for each of the portfolios considered.</w:t>
      </w:r>
    </w:p>
    <w:p>
      <w:pPr>
        <w:ind w:left="280" w:hanging="276"/>
        <w:spacing w:after="0" w:line="254" w:lineRule="auto"/>
        <w:tabs>
          <w:tab w:leader="none" w:pos="2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Additional qualitative reviews are carried out based on the segmentation of risks used in the management of Retail Banking and an individual review in Wholesale Banking.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Additionally, all those accounts classified as default at the reporting date according to the management definition used by the Group are considered as stage 3.</w:t>
      </w:r>
    </w:p>
    <w:p>
      <w:pPr>
        <w:spacing w:after="0" w:line="207" w:lineRule="exact"/>
        <w:rPr>
          <w:sz w:val="20"/>
          <w:szCs w:val="20"/>
          <w:color w:val="auto"/>
        </w:rPr>
      </w:pPr>
    </w:p>
    <w:p>
      <w:pPr>
        <w:jc w:val="both"/>
        <w:ind w:right="160"/>
        <w:spacing w:after="0" w:line="312" w:lineRule="auto"/>
        <w:rPr>
          <w:sz w:val="20"/>
          <w:szCs w:val="20"/>
          <w:color w:val="auto"/>
        </w:rPr>
      </w:pPr>
      <w:r>
        <w:rPr>
          <w:rFonts w:ascii="Arial" w:cs="Arial" w:eastAsia="Arial" w:hAnsi="Arial"/>
          <w:sz w:val="14"/>
          <w:szCs w:val="14"/>
          <w:color w:val="auto"/>
        </w:rPr>
        <w:t>Evaluations of a significant increase in risk from initial recognition and credit deterioration are carried out independently on each reporting date. Assets can be moved in both directions from one phase to another; in this sense, a financial asset that migrated to stage 2 will return to stage 1, if its credit risk did not increase significantly from its initial recognition until a subsequent reporting period. Likewise, an asset that is in stage 3 will return to stage 2 if the credit is no longer considered to be impaired.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Expected life</w:t>
      </w:r>
    </w:p>
    <w:p>
      <w:pPr>
        <w:spacing w:after="0" w:line="195"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For the instruments in stage 2 or 3, the reserves for losses will cover the expected credit losses during the expected time of the remaining useful life of the instrument. For most instruments, the expected life is limited to the remaining contractual life, adjusted by expected anticipated payments. In the case of revolving products, a statistical analysis was carried out in order to determine what would be the expected life period.</w:t>
      </w:r>
    </w:p>
    <w:p>
      <w:pPr>
        <w:spacing w:after="0" w:line="355"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60"/>
          </w:cols>
          <w:pgMar w:left="800" w:top="815" w:right="239" w:bottom="1440" w:gutter="0" w:footer="0" w:header="0"/>
        </w:sectPr>
      </w:pPr>
    </w:p>
    <w:bookmarkStart w:id="138" w:name="page139"/>
    <w:bookmarkEnd w:id="138"/>
    <w:p>
      <w:pPr>
        <w:ind w:left="560"/>
        <w:spacing w:after="0"/>
        <w:rPr>
          <w:sz w:val="20"/>
          <w:szCs w:val="20"/>
          <w:color w:val="auto"/>
        </w:rPr>
      </w:pPr>
      <w:r>
        <w:rPr>
          <w:rFonts w:ascii="Arial" w:cs="Arial" w:eastAsia="Arial" w:hAnsi="Arial"/>
          <w:sz w:val="16"/>
          <w:szCs w:val="16"/>
          <w:color w:val="auto"/>
        </w:rPr>
        <w:t>The following is a summary of the direct credits classified into three important groups and their respective allowance for each of the types of loans:</w:t>
      </w:r>
    </w:p>
    <w:p>
      <w:pPr>
        <w:spacing w:after="0" w:line="195" w:lineRule="exact"/>
        <w:rPr>
          <w:sz w:val="20"/>
          <w:szCs w:val="20"/>
          <w:color w:val="auto"/>
        </w:rPr>
      </w:pPr>
    </w:p>
    <w:p>
      <w:pPr>
        <w:ind w:left="840" w:hanging="276"/>
        <w:spacing w:after="0"/>
        <w:tabs>
          <w:tab w:leader="none" w:pos="84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Loans neither past due nor impaired, which comprise those direct loans which currently do not have characteristics of delinquency and which are not in default.</w:t>
      </w:r>
    </w:p>
    <w:p>
      <w:pPr>
        <w:spacing w:after="0" w:line="28" w:lineRule="exact"/>
        <w:rPr>
          <w:rFonts w:ascii="Arial" w:cs="Arial" w:eastAsia="Arial" w:hAnsi="Arial"/>
          <w:sz w:val="15"/>
          <w:szCs w:val="15"/>
          <w:color w:val="auto"/>
        </w:rPr>
      </w:pPr>
    </w:p>
    <w:p>
      <w:pPr>
        <w:ind w:left="840" w:right="420" w:hanging="276"/>
        <w:spacing w:after="0" w:line="247" w:lineRule="auto"/>
        <w:tabs>
          <w:tab w:leader="none" w:pos="8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Past due but unimpaired loans, which comprise all of the loans of customers who are not in default, but have failed to make a payment at its contractual maturity, according to the provisions of the rules of IFRS 7.</w:t>
      </w:r>
    </w:p>
    <w:p>
      <w:pPr>
        <w:ind w:left="840" w:hanging="276"/>
        <w:spacing w:after="0"/>
        <w:tabs>
          <w:tab w:leader="none" w:pos="8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Impaired loans, those considered to be in stage 3 or default.</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Commercial loans</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Stage 1</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Stage 2</w:t>
            </w: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Stage 3</w:t>
            </w:r>
          </w:p>
        </w:tc>
        <w:tc>
          <w:tcPr>
            <w:tcW w:w="880" w:type="dxa"/>
            <w:vAlign w:val="bottom"/>
          </w:tcPr>
          <w:p>
            <w:pPr>
              <w:jc w:val="right"/>
              <w:ind w:right="20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4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860" w:type="dxa"/>
            <w:vAlign w:val="bottom"/>
            <w:tcBorders>
              <w:top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8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5"/>
                <w:szCs w:val="15"/>
                <w:color w:val="auto"/>
              </w:rPr>
            </w:pPr>
          </w:p>
        </w:tc>
      </w:tr>
      <w:tr>
        <w:trPr>
          <w:trHeight w:val="190"/>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Neither past due nor 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55,085,853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4,950,181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60,036,034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56,125,417</w:t>
            </w:r>
          </w:p>
        </w:tc>
        <w:tc>
          <w:tcPr>
            <w:tcW w:w="80" w:type="dxa"/>
            <w:vAlign w:val="bottom"/>
            <w:shd w:val="clear" w:color="auto" w:fill="CCEEFF"/>
          </w:tcPr>
          <w:p>
            <w:pPr>
              <w:spacing w:after="0"/>
              <w:rPr>
                <w:sz w:val="16"/>
                <w:szCs w:val="16"/>
                <w:color w:val="auto"/>
              </w:rPr>
            </w:pPr>
          </w:p>
        </w:tc>
      </w:tr>
      <w:tr>
        <w:trPr>
          <w:trHeight w:val="190"/>
        </w:trPr>
        <w:tc>
          <w:tcPr>
            <w:tcW w:w="4500" w:type="dxa"/>
            <w:vAlign w:val="bottom"/>
            <w:gridSpan w:val="2"/>
          </w:tcPr>
          <w:p>
            <w:pPr>
              <w:spacing w:after="0"/>
              <w:rPr>
                <w:sz w:val="20"/>
                <w:szCs w:val="20"/>
                <w:color w:val="auto"/>
              </w:rPr>
            </w:pPr>
            <w:r>
              <w:rPr>
                <w:rFonts w:ascii="Arial" w:cs="Arial" w:eastAsia="Arial" w:hAnsi="Arial"/>
                <w:sz w:val="16"/>
                <w:szCs w:val="16"/>
                <w:color w:val="auto"/>
              </w:rPr>
              <w:t>Past due but not impaired</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998,105</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254,514</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1,252,619</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757,552</w:t>
            </w:r>
          </w:p>
        </w:tc>
        <w:tc>
          <w:tcPr>
            <w:tcW w:w="80" w:type="dxa"/>
            <w:vAlign w:val="bottom"/>
          </w:tcPr>
          <w:p>
            <w:pPr>
              <w:spacing w:after="0"/>
              <w:rPr>
                <w:sz w:val="16"/>
                <w:szCs w:val="16"/>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2,321,335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2,321,335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1,572,579</w:t>
            </w:r>
          </w:p>
        </w:tc>
        <w:tc>
          <w:tcPr>
            <w:tcW w:w="80" w:type="dxa"/>
            <w:vAlign w:val="bottom"/>
            <w:shd w:val="clear" w:color="auto" w:fill="CCEEFF"/>
          </w:tcPr>
          <w:p>
            <w:pPr>
              <w:spacing w:after="0"/>
              <w:rPr>
                <w:sz w:val="17"/>
                <w:szCs w:val="17"/>
                <w:color w:val="auto"/>
              </w:rPr>
            </w:pPr>
          </w:p>
        </w:tc>
      </w:tr>
      <w:tr>
        <w:trPr>
          <w:trHeight w:val="233"/>
        </w:trPr>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56,083,958</w:t>
            </w:r>
          </w:p>
        </w:tc>
        <w:tc>
          <w:tcPr>
            <w:tcW w:w="22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5,204,695</w:t>
            </w:r>
          </w:p>
        </w:tc>
        <w:tc>
          <w:tcPr>
            <w:tcW w:w="2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2,321,335</w:t>
            </w:r>
          </w:p>
        </w:tc>
        <w:tc>
          <w:tcPr>
            <w:tcW w:w="1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63,609,988</w:t>
            </w:r>
          </w:p>
        </w:tc>
        <w:tc>
          <w:tcPr>
            <w:tcW w:w="18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58,455,548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66"/>
        </w:trPr>
        <w:tc>
          <w:tcPr>
            <w:tcW w:w="4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1"/>
        </w:trPr>
        <w:tc>
          <w:tcPr>
            <w:tcW w:w="45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287,961</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146,455</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1,023,771</w:t>
            </w:r>
          </w:p>
        </w:tc>
        <w:tc>
          <w:tcPr>
            <w:tcW w:w="880" w:type="dxa"/>
            <w:vAlign w:val="bottom"/>
          </w:tcPr>
          <w:p>
            <w:pPr>
              <w:jc w:val="right"/>
              <w:spacing w:after="0"/>
              <w:rPr>
                <w:sz w:val="20"/>
                <w:szCs w:val="20"/>
                <w:color w:val="auto"/>
              </w:rPr>
            </w:pPr>
            <w:r>
              <w:rPr>
                <w:rFonts w:ascii="Arial" w:cs="Arial" w:eastAsia="Arial" w:hAnsi="Arial"/>
                <w:sz w:val="16"/>
                <w:szCs w:val="16"/>
                <w:color w:val="auto"/>
              </w:rPr>
              <w:t>1,458,187</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1,237,616</w:t>
            </w:r>
          </w:p>
        </w:tc>
        <w:tc>
          <w:tcPr>
            <w:tcW w:w="80" w:type="dxa"/>
            <w:vAlign w:val="bottom"/>
          </w:tcPr>
          <w:p>
            <w:pPr>
              <w:spacing w:after="0"/>
              <w:rPr>
                <w:sz w:val="17"/>
                <w:szCs w:val="17"/>
                <w:color w:val="auto"/>
              </w:rPr>
            </w:pPr>
          </w:p>
        </w:tc>
      </w:tr>
      <w:tr>
        <w:trPr>
          <w:trHeight w:val="182"/>
        </w:trPr>
        <w:tc>
          <w:tcPr>
            <w:tcW w:w="4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3"/>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Total, net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55,795,997</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5,058,240</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1,297,564</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62,151,801</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57,217,932</w:t>
            </w:r>
          </w:p>
        </w:tc>
        <w:tc>
          <w:tcPr>
            <w:tcW w:w="8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Residential mortgage loans</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Stage 1</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Stage 2</w:t>
            </w: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Stage 3</w:t>
            </w:r>
          </w:p>
        </w:tc>
        <w:tc>
          <w:tcPr>
            <w:tcW w:w="880" w:type="dxa"/>
            <w:vAlign w:val="bottom"/>
          </w:tcPr>
          <w:p>
            <w:pPr>
              <w:jc w:val="right"/>
              <w:ind w:right="20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4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860" w:type="dxa"/>
            <w:vAlign w:val="bottom"/>
            <w:tcBorders>
              <w:top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8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5"/>
                <w:szCs w:val="15"/>
                <w:color w:val="auto"/>
              </w:rPr>
            </w:pPr>
          </w:p>
        </w:tc>
      </w:tr>
      <w:tr>
        <w:trPr>
          <w:trHeight w:val="190"/>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Neither past due nor 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15,431,424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495,131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15,926,555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14,064,927</w:t>
            </w:r>
          </w:p>
        </w:tc>
        <w:tc>
          <w:tcPr>
            <w:tcW w:w="80" w:type="dxa"/>
            <w:vAlign w:val="bottom"/>
            <w:shd w:val="clear" w:color="auto" w:fill="CCEEFF"/>
          </w:tcPr>
          <w:p>
            <w:pPr>
              <w:spacing w:after="0"/>
              <w:rPr>
                <w:sz w:val="16"/>
                <w:szCs w:val="16"/>
                <w:color w:val="auto"/>
              </w:rPr>
            </w:pPr>
          </w:p>
        </w:tc>
      </w:tr>
      <w:tr>
        <w:trPr>
          <w:trHeight w:val="190"/>
        </w:trPr>
        <w:tc>
          <w:tcPr>
            <w:tcW w:w="4500" w:type="dxa"/>
            <w:vAlign w:val="bottom"/>
            <w:gridSpan w:val="2"/>
          </w:tcPr>
          <w:p>
            <w:pPr>
              <w:spacing w:after="0"/>
              <w:rPr>
                <w:sz w:val="20"/>
                <w:szCs w:val="20"/>
                <w:color w:val="auto"/>
              </w:rPr>
            </w:pPr>
            <w:r>
              <w:rPr>
                <w:rFonts w:ascii="Arial" w:cs="Arial" w:eastAsia="Arial" w:hAnsi="Arial"/>
                <w:sz w:val="16"/>
                <w:szCs w:val="16"/>
                <w:color w:val="auto"/>
              </w:rPr>
              <w:t>Past due but not impaired</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617,686</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267,418</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885,104</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521,550</w:t>
            </w:r>
          </w:p>
        </w:tc>
        <w:tc>
          <w:tcPr>
            <w:tcW w:w="80" w:type="dxa"/>
            <w:vAlign w:val="bottom"/>
          </w:tcPr>
          <w:p>
            <w:pPr>
              <w:spacing w:after="0"/>
              <w:rPr>
                <w:sz w:val="16"/>
                <w:szCs w:val="16"/>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959,033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959,033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865,610</w:t>
            </w:r>
          </w:p>
        </w:tc>
        <w:tc>
          <w:tcPr>
            <w:tcW w:w="80" w:type="dxa"/>
            <w:vAlign w:val="bottom"/>
            <w:shd w:val="clear" w:color="auto" w:fill="CCEEFF"/>
          </w:tcPr>
          <w:p>
            <w:pPr>
              <w:spacing w:after="0"/>
              <w:rPr>
                <w:sz w:val="17"/>
                <w:szCs w:val="17"/>
                <w:color w:val="auto"/>
              </w:rPr>
            </w:pPr>
          </w:p>
        </w:tc>
      </w:tr>
      <w:tr>
        <w:trPr>
          <w:trHeight w:val="233"/>
        </w:trPr>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16,049,110</w:t>
            </w:r>
          </w:p>
        </w:tc>
        <w:tc>
          <w:tcPr>
            <w:tcW w:w="22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762,549</w:t>
            </w:r>
          </w:p>
        </w:tc>
        <w:tc>
          <w:tcPr>
            <w:tcW w:w="2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959,033</w:t>
            </w:r>
          </w:p>
        </w:tc>
        <w:tc>
          <w:tcPr>
            <w:tcW w:w="1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17,770,692</w:t>
            </w:r>
          </w:p>
        </w:tc>
        <w:tc>
          <w:tcPr>
            <w:tcW w:w="18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15,452,087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66"/>
        </w:trPr>
        <w:tc>
          <w:tcPr>
            <w:tcW w:w="4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1"/>
        </w:trPr>
        <w:tc>
          <w:tcPr>
            <w:tcW w:w="45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31,479</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22,404</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470,286</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524,169</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228,287</w:t>
            </w:r>
          </w:p>
        </w:tc>
        <w:tc>
          <w:tcPr>
            <w:tcW w:w="80" w:type="dxa"/>
            <w:vAlign w:val="bottom"/>
          </w:tcPr>
          <w:p>
            <w:pPr>
              <w:spacing w:after="0"/>
              <w:rPr>
                <w:sz w:val="17"/>
                <w:szCs w:val="17"/>
                <w:color w:val="auto"/>
              </w:rPr>
            </w:pPr>
          </w:p>
        </w:tc>
      </w:tr>
      <w:tr>
        <w:trPr>
          <w:trHeight w:val="182"/>
        </w:trPr>
        <w:tc>
          <w:tcPr>
            <w:tcW w:w="4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3"/>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Total, net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16,017,631</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740,145</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488,747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17,246,523</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15,223,800</w:t>
            </w:r>
          </w:p>
        </w:tc>
        <w:tc>
          <w:tcPr>
            <w:tcW w:w="8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Microbusiness loans</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Stage 1</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Stage 2</w:t>
            </w: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Stage 3</w:t>
            </w:r>
          </w:p>
        </w:tc>
        <w:tc>
          <w:tcPr>
            <w:tcW w:w="880" w:type="dxa"/>
            <w:vAlign w:val="bottom"/>
          </w:tcPr>
          <w:p>
            <w:pPr>
              <w:jc w:val="right"/>
              <w:ind w:right="20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4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860" w:type="dxa"/>
            <w:vAlign w:val="bottom"/>
            <w:tcBorders>
              <w:top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8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5"/>
                <w:szCs w:val="15"/>
                <w:color w:val="auto"/>
              </w:rPr>
            </w:pPr>
          </w:p>
        </w:tc>
      </w:tr>
      <w:tr>
        <w:trPr>
          <w:trHeight w:val="190"/>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Neither past due nor 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11,845,358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1,626,944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13,472,302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12,288,639</w:t>
            </w:r>
          </w:p>
        </w:tc>
        <w:tc>
          <w:tcPr>
            <w:tcW w:w="80" w:type="dxa"/>
            <w:vAlign w:val="bottom"/>
            <w:shd w:val="clear" w:color="auto" w:fill="CCEEFF"/>
          </w:tcPr>
          <w:p>
            <w:pPr>
              <w:spacing w:after="0"/>
              <w:rPr>
                <w:sz w:val="16"/>
                <w:szCs w:val="16"/>
                <w:color w:val="auto"/>
              </w:rPr>
            </w:pPr>
          </w:p>
        </w:tc>
      </w:tr>
      <w:tr>
        <w:trPr>
          <w:trHeight w:val="190"/>
        </w:trPr>
        <w:tc>
          <w:tcPr>
            <w:tcW w:w="4500" w:type="dxa"/>
            <w:vAlign w:val="bottom"/>
            <w:gridSpan w:val="2"/>
          </w:tcPr>
          <w:p>
            <w:pPr>
              <w:spacing w:after="0"/>
              <w:rPr>
                <w:sz w:val="20"/>
                <w:szCs w:val="20"/>
                <w:color w:val="auto"/>
              </w:rPr>
            </w:pPr>
            <w:r>
              <w:rPr>
                <w:rFonts w:ascii="Arial" w:cs="Arial" w:eastAsia="Arial" w:hAnsi="Arial"/>
                <w:sz w:val="16"/>
                <w:szCs w:val="16"/>
                <w:color w:val="auto"/>
              </w:rPr>
              <w:t>Past due but not impaired</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192,588</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334,039</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526,627</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379,283</w:t>
            </w:r>
          </w:p>
        </w:tc>
        <w:tc>
          <w:tcPr>
            <w:tcW w:w="80" w:type="dxa"/>
            <w:vAlign w:val="bottom"/>
          </w:tcPr>
          <w:p>
            <w:pPr>
              <w:spacing w:after="0"/>
              <w:rPr>
                <w:sz w:val="16"/>
                <w:szCs w:val="16"/>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1,254,526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1,254,526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1,259,635</w:t>
            </w:r>
          </w:p>
        </w:tc>
        <w:tc>
          <w:tcPr>
            <w:tcW w:w="80" w:type="dxa"/>
            <w:vAlign w:val="bottom"/>
            <w:shd w:val="clear" w:color="auto" w:fill="CCEEFF"/>
          </w:tcPr>
          <w:p>
            <w:pPr>
              <w:spacing w:after="0"/>
              <w:rPr>
                <w:sz w:val="17"/>
                <w:szCs w:val="17"/>
                <w:color w:val="auto"/>
              </w:rPr>
            </w:pPr>
          </w:p>
        </w:tc>
      </w:tr>
      <w:tr>
        <w:trPr>
          <w:trHeight w:val="233"/>
        </w:trPr>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12,037,946</w:t>
            </w:r>
          </w:p>
        </w:tc>
        <w:tc>
          <w:tcPr>
            <w:tcW w:w="22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1,960,983</w:t>
            </w:r>
          </w:p>
        </w:tc>
        <w:tc>
          <w:tcPr>
            <w:tcW w:w="2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1,254,526</w:t>
            </w:r>
          </w:p>
        </w:tc>
        <w:tc>
          <w:tcPr>
            <w:tcW w:w="1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15,253,455</w:t>
            </w:r>
          </w:p>
        </w:tc>
        <w:tc>
          <w:tcPr>
            <w:tcW w:w="18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13,927,557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66"/>
        </w:trPr>
        <w:tc>
          <w:tcPr>
            <w:tcW w:w="4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1"/>
        </w:trPr>
        <w:tc>
          <w:tcPr>
            <w:tcW w:w="45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340,576</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262,777</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978,834</w:t>
            </w:r>
          </w:p>
        </w:tc>
        <w:tc>
          <w:tcPr>
            <w:tcW w:w="880" w:type="dxa"/>
            <w:vAlign w:val="bottom"/>
          </w:tcPr>
          <w:p>
            <w:pPr>
              <w:jc w:val="right"/>
              <w:spacing w:after="0"/>
              <w:rPr>
                <w:sz w:val="20"/>
                <w:szCs w:val="20"/>
                <w:color w:val="auto"/>
              </w:rPr>
            </w:pPr>
            <w:r>
              <w:rPr>
                <w:rFonts w:ascii="Arial" w:cs="Arial" w:eastAsia="Arial" w:hAnsi="Arial"/>
                <w:sz w:val="16"/>
                <w:szCs w:val="16"/>
                <w:color w:val="auto"/>
              </w:rPr>
              <w:t>1,582,187</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1,476,578</w:t>
            </w:r>
          </w:p>
        </w:tc>
        <w:tc>
          <w:tcPr>
            <w:tcW w:w="80" w:type="dxa"/>
            <w:vAlign w:val="bottom"/>
          </w:tcPr>
          <w:p>
            <w:pPr>
              <w:spacing w:after="0"/>
              <w:rPr>
                <w:sz w:val="17"/>
                <w:szCs w:val="17"/>
                <w:color w:val="auto"/>
              </w:rPr>
            </w:pPr>
          </w:p>
        </w:tc>
      </w:tr>
      <w:tr>
        <w:trPr>
          <w:trHeight w:val="182"/>
        </w:trPr>
        <w:tc>
          <w:tcPr>
            <w:tcW w:w="4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3"/>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Total, net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11,697,370</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1,698,206</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275,692</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13,671,268</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12,450,979</w:t>
            </w:r>
          </w:p>
        </w:tc>
        <w:tc>
          <w:tcPr>
            <w:tcW w:w="8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Consumer loans</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Stage 1</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Stage 2</w:t>
            </w: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Stage 3</w:t>
            </w:r>
          </w:p>
        </w:tc>
        <w:tc>
          <w:tcPr>
            <w:tcW w:w="880" w:type="dxa"/>
            <w:vAlign w:val="bottom"/>
          </w:tcPr>
          <w:p>
            <w:pPr>
              <w:jc w:val="right"/>
              <w:ind w:right="20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3"/>
        </w:trPr>
        <w:tc>
          <w:tcPr>
            <w:tcW w:w="560" w:type="dxa"/>
            <w:vAlign w:val="bottom"/>
          </w:tcPr>
          <w:p>
            <w:pPr>
              <w:spacing w:after="0"/>
              <w:rPr>
                <w:sz w:val="15"/>
                <w:szCs w:val="15"/>
                <w:color w:val="auto"/>
              </w:rPr>
            </w:pPr>
          </w:p>
        </w:tc>
        <w:tc>
          <w:tcPr>
            <w:tcW w:w="4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860" w:type="dxa"/>
            <w:vAlign w:val="bottom"/>
            <w:tcBorders>
              <w:top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80" w:type="dxa"/>
            <w:vAlign w:val="bottom"/>
          </w:tcPr>
          <w:p>
            <w:pPr>
              <w:spacing w:after="0"/>
              <w:rPr>
                <w:sz w:val="15"/>
                <w:szCs w:val="15"/>
                <w:color w:val="auto"/>
              </w:rPr>
            </w:pPr>
          </w:p>
        </w:tc>
        <w:tc>
          <w:tcPr>
            <w:tcW w:w="8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Neither past due nor 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10,516,815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1,652,491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12,169,306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10,789,457</w:t>
            </w:r>
          </w:p>
        </w:tc>
        <w:tc>
          <w:tcPr>
            <w:tcW w:w="116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Past due but not impaired</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218,995</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235,627</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454,622</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262,443</w:t>
            </w:r>
          </w:p>
        </w:tc>
        <w:tc>
          <w:tcPr>
            <w:tcW w:w="1160" w:type="dxa"/>
            <w:vAlign w:val="bottom"/>
          </w:tcPr>
          <w:p>
            <w:pPr>
              <w:spacing w:after="0"/>
              <w:rPr>
                <w:sz w:val="16"/>
                <w:szCs w:val="16"/>
                <w:color w:val="auto"/>
              </w:rPr>
            </w:pPr>
          </w:p>
        </w:tc>
      </w:tr>
      <w:tr>
        <w:trPr>
          <w:trHeight w:val="202"/>
        </w:trPr>
        <w:tc>
          <w:tcPr>
            <w:tcW w:w="56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702,561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702,561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877,822</w:t>
            </w:r>
          </w:p>
        </w:tc>
        <w:tc>
          <w:tcPr>
            <w:tcW w:w="1160" w:type="dxa"/>
            <w:vAlign w:val="bottom"/>
          </w:tcPr>
          <w:p>
            <w:pPr>
              <w:spacing w:after="0"/>
              <w:rPr>
                <w:sz w:val="17"/>
                <w:szCs w:val="17"/>
                <w:color w:val="auto"/>
              </w:rPr>
            </w:pPr>
          </w:p>
        </w:tc>
      </w:tr>
      <w:tr>
        <w:trPr>
          <w:trHeight w:val="233"/>
        </w:trPr>
        <w:tc>
          <w:tcPr>
            <w:tcW w:w="560" w:type="dxa"/>
            <w:vAlign w:val="bottom"/>
          </w:tcPr>
          <w:p>
            <w:pPr>
              <w:spacing w:after="0"/>
              <w:rPr>
                <w:sz w:val="20"/>
                <w:szCs w:val="20"/>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10,735,810</w:t>
            </w:r>
          </w:p>
        </w:tc>
        <w:tc>
          <w:tcPr>
            <w:tcW w:w="22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1,888,118</w:t>
            </w:r>
          </w:p>
        </w:tc>
        <w:tc>
          <w:tcPr>
            <w:tcW w:w="2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702,561</w:t>
            </w:r>
          </w:p>
        </w:tc>
        <w:tc>
          <w:tcPr>
            <w:tcW w:w="1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13,326,489</w:t>
            </w:r>
          </w:p>
        </w:tc>
        <w:tc>
          <w:tcPr>
            <w:tcW w:w="18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11,929,722</w:t>
            </w:r>
          </w:p>
        </w:tc>
        <w:tc>
          <w:tcPr>
            <w:tcW w:w="100" w:type="dxa"/>
            <w:vAlign w:val="bottom"/>
            <w:tcBorders>
              <w:bottom w:val="single" w:sz="8" w:color="CCEEFF"/>
            </w:tcBorders>
          </w:tcPr>
          <w:p>
            <w:pPr>
              <w:spacing w:after="0"/>
              <w:rPr>
                <w:sz w:val="20"/>
                <w:szCs w:val="20"/>
                <w:color w:val="auto"/>
              </w:rPr>
            </w:pPr>
          </w:p>
        </w:tc>
        <w:tc>
          <w:tcPr>
            <w:tcW w:w="1160" w:type="dxa"/>
            <w:vAlign w:val="bottom"/>
          </w:tcPr>
          <w:p>
            <w:pPr>
              <w:spacing w:after="0"/>
              <w:rPr>
                <w:sz w:val="20"/>
                <w:szCs w:val="20"/>
                <w:color w:val="auto"/>
              </w:rPr>
            </w:pPr>
          </w:p>
        </w:tc>
      </w:tr>
      <w:tr>
        <w:trPr>
          <w:trHeight w:val="166"/>
        </w:trPr>
        <w:tc>
          <w:tcPr>
            <w:tcW w:w="560" w:type="dxa"/>
            <w:vAlign w:val="bottom"/>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tcPr>
          <w:p>
            <w:pPr>
              <w:spacing w:after="0"/>
              <w:rPr>
                <w:sz w:val="14"/>
                <w:szCs w:val="14"/>
                <w:color w:val="auto"/>
              </w:rPr>
            </w:pPr>
          </w:p>
        </w:tc>
      </w:tr>
      <w:tr>
        <w:trPr>
          <w:trHeight w:val="201"/>
        </w:trPr>
        <w:tc>
          <w:tcPr>
            <w:tcW w:w="5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284,207</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494,956</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608,686</w:t>
            </w:r>
          </w:p>
        </w:tc>
        <w:tc>
          <w:tcPr>
            <w:tcW w:w="880" w:type="dxa"/>
            <w:vAlign w:val="bottom"/>
          </w:tcPr>
          <w:p>
            <w:pPr>
              <w:jc w:val="right"/>
              <w:spacing w:after="0"/>
              <w:rPr>
                <w:sz w:val="20"/>
                <w:szCs w:val="20"/>
                <w:color w:val="auto"/>
              </w:rPr>
            </w:pPr>
            <w:r>
              <w:rPr>
                <w:rFonts w:ascii="Arial" w:cs="Arial" w:eastAsia="Arial" w:hAnsi="Arial"/>
                <w:sz w:val="16"/>
                <w:szCs w:val="16"/>
                <w:color w:val="auto"/>
              </w:rPr>
              <w:t>1,387,849</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1,558,017</w:t>
            </w:r>
          </w:p>
        </w:tc>
        <w:tc>
          <w:tcPr>
            <w:tcW w:w="1160" w:type="dxa"/>
            <w:vAlign w:val="bottom"/>
          </w:tcPr>
          <w:p>
            <w:pPr>
              <w:spacing w:after="0"/>
              <w:rPr>
                <w:sz w:val="17"/>
                <w:szCs w:val="17"/>
                <w:color w:val="auto"/>
              </w:rPr>
            </w:pPr>
          </w:p>
        </w:tc>
      </w:tr>
      <w:tr>
        <w:trPr>
          <w:trHeight w:val="182"/>
        </w:trPr>
        <w:tc>
          <w:tcPr>
            <w:tcW w:w="560" w:type="dxa"/>
            <w:vAlign w:val="bottom"/>
          </w:tcPr>
          <w:p>
            <w:pPr>
              <w:spacing w:after="0"/>
              <w:rPr>
                <w:sz w:val="15"/>
                <w:szCs w:val="15"/>
                <w:color w:val="auto"/>
              </w:rPr>
            </w:pPr>
          </w:p>
        </w:tc>
        <w:tc>
          <w:tcPr>
            <w:tcW w:w="4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213"/>
        </w:trPr>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Total, net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10,451,603</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1,393,162</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93,875</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11,938,640</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10,371,705</w:t>
            </w:r>
          </w:p>
        </w:tc>
        <w:tc>
          <w:tcPr>
            <w:tcW w:w="11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45"/>
        </w:trPr>
        <w:tc>
          <w:tcPr>
            <w:tcW w:w="5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- 132 -</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15" w:right="219" w:bottom="1440" w:gutter="0" w:footer="0" w:header="0"/>
        </w:sectPr>
      </w:pPr>
    </w:p>
    <w:bookmarkStart w:id="139" w:name="page140"/>
    <w:bookmarkEnd w:id="139"/>
    <w:p>
      <w:pPr>
        <w:ind w:left="281"/>
        <w:spacing w:after="0"/>
        <w:rPr>
          <w:sz w:val="20"/>
          <w:szCs w:val="20"/>
          <w:color w:val="auto"/>
        </w:rPr>
      </w:pPr>
      <w:r>
        <w:rPr>
          <w:rFonts w:ascii="Arial" w:cs="Arial" w:eastAsia="Arial" w:hAnsi="Arial"/>
          <w:sz w:val="16"/>
          <w:szCs w:val="16"/>
          <w:color w:val="auto"/>
        </w:rPr>
        <w:t>In accordance with IFRS 7, the entire loan balance is considered past due when debtors have failed to make a payment when contractually due.</w:t>
      </w:r>
    </w:p>
    <w:p>
      <w:pPr>
        <w:spacing w:after="0" w:line="19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Explanations on variations in the allowance for loan losses are presented below:</w:t>
      </w:r>
    </w:p>
    <w:p>
      <w:pPr>
        <w:spacing w:after="0" w:line="195" w:lineRule="exact"/>
        <w:rPr>
          <w:sz w:val="20"/>
          <w:szCs w:val="20"/>
          <w:color w:val="auto"/>
        </w:rPr>
      </w:pPr>
    </w:p>
    <w:p>
      <w:pPr>
        <w:ind w:left="561" w:right="360" w:hanging="276"/>
        <w:spacing w:after="0" w:line="254" w:lineRule="auto"/>
        <w:tabs>
          <w:tab w:leader="none" w:pos="56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Commercial loans: Increase is mainly due to the increase in credit risk of the construction sector, whose effect is an increase in the allowance for S/136.0 million, approximately.</w:t>
      </w:r>
    </w:p>
    <w:p>
      <w:pPr>
        <w:ind w:left="561" w:right="340" w:hanging="276"/>
        <w:spacing w:after="0" w:line="247" w:lineRule="auto"/>
        <w:tabs>
          <w:tab w:leader="none" w:pos="56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Residential mortgage Loans: The increase is due to the methodological change in IFRS 9 for calculation of the allowance for loan losses that affected, mainly, the loans in stage 3.</w:t>
      </w:r>
    </w:p>
    <w:p>
      <w:pPr>
        <w:ind w:left="561" w:right="280" w:hanging="276"/>
        <w:spacing w:after="0" w:line="247" w:lineRule="auto"/>
        <w:tabs>
          <w:tab w:leader="none" w:pos="56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Micro business loans: The increase in the allowance for loan losses is less than the increase in the gross balance due to write-offs and sales of impaired loans made during the period.</w:t>
      </w:r>
    </w:p>
    <w:p>
      <w:pPr>
        <w:ind w:left="561" w:right="520" w:hanging="276"/>
        <w:spacing w:after="0" w:line="254" w:lineRule="auto"/>
        <w:tabs>
          <w:tab w:leader="none" w:pos="56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Consumer loans: The decrease in the allowance is mainly due to the decrease in credit risk of the portfolio during the period, which improves the quality of the portfolio on which the allowance is calculated.</w:t>
      </w:r>
    </w:p>
    <w:p>
      <w:pPr>
        <w:spacing w:after="0" w:line="168" w:lineRule="exact"/>
        <w:rPr>
          <w:sz w:val="20"/>
          <w:szCs w:val="20"/>
          <w:color w:val="auto"/>
        </w:rPr>
      </w:pPr>
    </w:p>
    <w:p>
      <w:pPr>
        <w:jc w:val="both"/>
        <w:ind w:left="281" w:right="120"/>
        <w:spacing w:after="0" w:line="258" w:lineRule="auto"/>
        <w:rPr>
          <w:sz w:val="20"/>
          <w:szCs w:val="20"/>
          <w:color w:val="auto"/>
        </w:rPr>
      </w:pPr>
      <w:r>
        <w:rPr>
          <w:rFonts w:ascii="Arial" w:cs="Arial" w:eastAsia="Arial" w:hAnsi="Arial"/>
          <w:sz w:val="16"/>
          <w:szCs w:val="16"/>
          <w:color w:val="auto"/>
        </w:rPr>
        <w:t>At December 31, 2018, the renegotiated credits amount to approximately S/1,281.5 million, of which S/339.6 million are classified as not past due nor impaired, S/270.3 million as past due but not impaired and S/671.6 million as impaired but not past due (S/915.6 million, S/339.6 million, S/165.3 million y S/410.7 million, respectively, at December 31, 2017).</w:t>
      </w:r>
    </w:p>
    <w:p>
      <w:pPr>
        <w:spacing w:after="0" w:line="170"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25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At December 31, 2018</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w w:val="87"/>
              </w:rPr>
              <w:t>At December 31, 2017</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80" w:type="dxa"/>
            <w:vAlign w:val="bottom"/>
          </w:tcPr>
          <w:p>
            <w:pPr>
              <w:spacing w:after="0"/>
              <w:rPr>
                <w:sz w:val="8"/>
                <w:szCs w:val="8"/>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5"/>
              </w:rPr>
              <w:t>Commercial</w:t>
            </w:r>
          </w:p>
        </w:tc>
        <w:tc>
          <w:tcPr>
            <w:tcW w:w="700" w:type="dxa"/>
            <w:vAlign w:val="bottom"/>
            <w:gridSpan w:val="2"/>
          </w:tcPr>
          <w:p>
            <w:pPr>
              <w:jc w:val="center"/>
              <w:ind w:right="80"/>
              <w:spacing w:after="0" w:line="103" w:lineRule="exact"/>
              <w:rPr>
                <w:sz w:val="20"/>
                <w:szCs w:val="20"/>
                <w:color w:val="auto"/>
              </w:rPr>
            </w:pPr>
            <w:r>
              <w:rPr>
                <w:rFonts w:ascii="Arial" w:cs="Arial" w:eastAsia="Arial" w:hAnsi="Arial"/>
                <w:sz w:val="11"/>
                <w:szCs w:val="11"/>
                <w:b w:val="1"/>
                <w:bCs w:val="1"/>
                <w:color w:val="auto"/>
              </w:rPr>
              <w:t>Residential</w:t>
            </w: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3"/>
              </w:rPr>
              <w:t>Microbusiness</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3"/>
              </w:rPr>
              <w:t>Consumer</w:t>
            </w:r>
          </w:p>
        </w:tc>
        <w:tc>
          <w:tcPr>
            <w:tcW w:w="600" w:type="dxa"/>
            <w:vAlign w:val="bottom"/>
          </w:tcPr>
          <w:p>
            <w:pPr>
              <w:spacing w:after="0"/>
              <w:rPr>
                <w:sz w:val="8"/>
                <w:szCs w:val="8"/>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8"/>
              </w:rPr>
              <w:t>Commercial</w:t>
            </w:r>
          </w:p>
        </w:tc>
        <w:tc>
          <w:tcPr>
            <w:tcW w:w="700" w:type="dxa"/>
            <w:vAlign w:val="bottom"/>
            <w:gridSpan w:val="2"/>
          </w:tcPr>
          <w:p>
            <w:pPr>
              <w:jc w:val="center"/>
              <w:ind w:right="100"/>
              <w:spacing w:after="0" w:line="103" w:lineRule="exact"/>
              <w:rPr>
                <w:sz w:val="20"/>
                <w:szCs w:val="20"/>
                <w:color w:val="auto"/>
              </w:rPr>
            </w:pPr>
            <w:r>
              <w:rPr>
                <w:rFonts w:ascii="Arial" w:cs="Arial" w:eastAsia="Arial" w:hAnsi="Arial"/>
                <w:sz w:val="11"/>
                <w:szCs w:val="11"/>
                <w:b w:val="1"/>
                <w:bCs w:val="1"/>
                <w:color w:val="auto"/>
              </w:rPr>
              <w:t>Residential</w:t>
            </w: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5"/>
              </w:rPr>
              <w:t>Microbusiness</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7"/>
              </w:rPr>
              <w:t>Consumer</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mortgage</w:t>
            </w:r>
          </w:p>
        </w:tc>
        <w:tc>
          <w:tcPr>
            <w:tcW w:w="106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3"/>
            <w:vMerge w:val="continue"/>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mortgage</w:t>
            </w:r>
          </w:p>
        </w:tc>
        <w:tc>
          <w:tcPr>
            <w:tcW w:w="104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258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loans</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loans</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loans</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loans</w:t>
            </w: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loans</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loans</w:t>
            </w:r>
          </w:p>
        </w:tc>
        <w:tc>
          <w:tcPr>
            <w:tcW w:w="8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loans</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66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5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0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5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Impaired loans</w:t>
            </w: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2,321,335</w:t>
            </w:r>
          </w:p>
        </w:tc>
        <w:tc>
          <w:tcPr>
            <w:tcW w:w="7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959,033</w:t>
            </w:r>
          </w:p>
        </w:tc>
        <w:tc>
          <w:tcPr>
            <w:tcW w:w="106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1,254,526</w:t>
            </w:r>
          </w:p>
        </w:tc>
        <w:tc>
          <w:tcPr>
            <w:tcW w:w="7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702,561</w:t>
            </w:r>
          </w:p>
        </w:tc>
        <w:tc>
          <w:tcPr>
            <w:tcW w:w="6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w w:val="82"/>
              </w:rPr>
              <w:t>5,237,455</w:t>
            </w:r>
          </w:p>
        </w:tc>
        <w:tc>
          <w:tcPr>
            <w:tcW w:w="8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1,572,579</w:t>
            </w:r>
          </w:p>
        </w:tc>
        <w:tc>
          <w:tcPr>
            <w:tcW w:w="1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865,610</w:t>
            </w:r>
          </w:p>
        </w:tc>
        <w:tc>
          <w:tcPr>
            <w:tcW w:w="104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1,259,635</w:t>
            </w:r>
          </w:p>
        </w:tc>
        <w:tc>
          <w:tcPr>
            <w:tcW w:w="7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877,822</w:t>
            </w:r>
          </w:p>
        </w:tc>
        <w:tc>
          <w:tcPr>
            <w:tcW w:w="6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w w:val="82"/>
              </w:rPr>
              <w:t>4,575,646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line="131" w:lineRule="exact"/>
              <w:rPr>
                <w:sz w:val="20"/>
                <w:szCs w:val="20"/>
                <w:color w:val="auto"/>
              </w:rPr>
            </w:pPr>
            <w:r>
              <w:rPr>
                <w:rFonts w:ascii="Arial" w:cs="Arial" w:eastAsia="Arial" w:hAnsi="Arial"/>
                <w:sz w:val="13"/>
                <w:szCs w:val="13"/>
                <w:color w:val="auto"/>
              </w:rPr>
              <w:t>Fair value of collateral</w:t>
            </w: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1,758,098</w:t>
            </w:r>
          </w:p>
        </w:tc>
        <w:tc>
          <w:tcPr>
            <w:tcW w:w="7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820,291</w:t>
            </w:r>
          </w:p>
        </w:tc>
        <w:tc>
          <w:tcPr>
            <w:tcW w:w="1060" w:type="dxa"/>
            <w:vAlign w:val="bottom"/>
            <w:gridSpan w:val="3"/>
          </w:tcPr>
          <w:p>
            <w:pPr>
              <w:jc w:val="right"/>
              <w:ind w:right="200"/>
              <w:spacing w:after="0" w:line="131" w:lineRule="exact"/>
              <w:rPr>
                <w:sz w:val="20"/>
                <w:szCs w:val="20"/>
                <w:color w:val="auto"/>
              </w:rPr>
            </w:pPr>
            <w:r>
              <w:rPr>
                <w:rFonts w:ascii="Arial" w:cs="Arial" w:eastAsia="Arial" w:hAnsi="Arial"/>
                <w:sz w:val="13"/>
                <w:szCs w:val="13"/>
                <w:color w:val="auto"/>
              </w:rPr>
              <w:t>422,330</w:t>
            </w:r>
          </w:p>
        </w:tc>
        <w:tc>
          <w:tcPr>
            <w:tcW w:w="74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189,811</w:t>
            </w:r>
          </w:p>
        </w:tc>
        <w:tc>
          <w:tcPr>
            <w:tcW w:w="600" w:type="dxa"/>
            <w:vAlign w:val="bottom"/>
          </w:tcPr>
          <w:p>
            <w:pPr>
              <w:ind w:left="100"/>
              <w:spacing w:after="0" w:line="131" w:lineRule="exact"/>
              <w:rPr>
                <w:sz w:val="20"/>
                <w:szCs w:val="20"/>
                <w:color w:val="auto"/>
              </w:rPr>
            </w:pPr>
            <w:r>
              <w:rPr>
                <w:rFonts w:ascii="Arial" w:cs="Arial" w:eastAsia="Arial" w:hAnsi="Arial"/>
                <w:sz w:val="13"/>
                <w:szCs w:val="13"/>
                <w:color w:val="auto"/>
                <w:w w:val="82"/>
              </w:rPr>
              <w:t>3,190,530</w:t>
            </w:r>
          </w:p>
        </w:tc>
        <w:tc>
          <w:tcPr>
            <w:tcW w:w="86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1,398,427</w:t>
            </w:r>
          </w:p>
        </w:tc>
        <w:tc>
          <w:tcPr>
            <w:tcW w:w="18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774,280</w:t>
            </w:r>
          </w:p>
        </w:tc>
        <w:tc>
          <w:tcPr>
            <w:tcW w:w="1040" w:type="dxa"/>
            <w:vAlign w:val="bottom"/>
            <w:gridSpan w:val="3"/>
          </w:tcPr>
          <w:p>
            <w:pPr>
              <w:jc w:val="right"/>
              <w:ind w:right="180"/>
              <w:spacing w:after="0" w:line="131" w:lineRule="exact"/>
              <w:rPr>
                <w:sz w:val="20"/>
                <w:szCs w:val="20"/>
                <w:color w:val="auto"/>
              </w:rPr>
            </w:pPr>
            <w:r>
              <w:rPr>
                <w:rFonts w:ascii="Arial" w:cs="Arial" w:eastAsia="Arial" w:hAnsi="Arial"/>
                <w:sz w:val="13"/>
                <w:szCs w:val="13"/>
                <w:color w:val="auto"/>
              </w:rPr>
              <w:t>485,281</w:t>
            </w:r>
          </w:p>
        </w:tc>
        <w:tc>
          <w:tcPr>
            <w:tcW w:w="7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229,578</w:t>
            </w:r>
          </w:p>
        </w:tc>
        <w:tc>
          <w:tcPr>
            <w:tcW w:w="600" w:type="dxa"/>
            <w:vAlign w:val="bottom"/>
          </w:tcPr>
          <w:p>
            <w:pPr>
              <w:ind w:left="100"/>
              <w:spacing w:after="0" w:line="131" w:lineRule="exact"/>
              <w:rPr>
                <w:sz w:val="20"/>
                <w:szCs w:val="20"/>
                <w:color w:val="auto"/>
              </w:rPr>
            </w:pPr>
            <w:r>
              <w:rPr>
                <w:rFonts w:ascii="Arial" w:cs="Arial" w:eastAsia="Arial" w:hAnsi="Arial"/>
                <w:sz w:val="13"/>
                <w:szCs w:val="13"/>
                <w:color w:val="auto"/>
                <w:w w:val="82"/>
              </w:rPr>
              <w:t>2,887,566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Allowance for loan losses</w:t>
            </w: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1,023,771</w:t>
            </w:r>
          </w:p>
        </w:tc>
        <w:tc>
          <w:tcPr>
            <w:tcW w:w="7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470,286</w:t>
            </w:r>
          </w:p>
        </w:tc>
        <w:tc>
          <w:tcPr>
            <w:tcW w:w="106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978,834</w:t>
            </w:r>
          </w:p>
        </w:tc>
        <w:tc>
          <w:tcPr>
            <w:tcW w:w="74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608,686</w:t>
            </w:r>
          </w:p>
        </w:tc>
        <w:tc>
          <w:tcPr>
            <w:tcW w:w="6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w w:val="82"/>
              </w:rPr>
              <w:t>3,081,577</w:t>
            </w:r>
          </w:p>
        </w:tc>
        <w:tc>
          <w:tcPr>
            <w:tcW w:w="104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749,882</w:t>
            </w:r>
          </w:p>
        </w:tc>
        <w:tc>
          <w:tcPr>
            <w:tcW w:w="7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215,997</w:t>
            </w:r>
          </w:p>
        </w:tc>
        <w:tc>
          <w:tcPr>
            <w:tcW w:w="1040" w:type="dxa"/>
            <w:vAlign w:val="bottom"/>
            <w:gridSpan w:val="3"/>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893,671</w:t>
            </w:r>
          </w:p>
        </w:tc>
        <w:tc>
          <w:tcPr>
            <w:tcW w:w="7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648,884</w:t>
            </w:r>
          </w:p>
        </w:tc>
        <w:tc>
          <w:tcPr>
            <w:tcW w:w="6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w w:val="82"/>
              </w:rPr>
              <w:t>2,508,434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
        <w:spacing w:after="0"/>
        <w:rPr>
          <w:sz w:val="20"/>
          <w:szCs w:val="20"/>
          <w:color w:val="auto"/>
        </w:rPr>
      </w:pPr>
      <w:r>
        <w:rPr>
          <w:rFonts w:ascii="Arial" w:cs="Arial" w:eastAsia="Arial" w:hAnsi="Arial"/>
          <w:sz w:val="16"/>
          <w:szCs w:val="16"/>
          <w:color w:val="auto"/>
        </w:rPr>
        <w:t>On the other hand, the breakdown of loans classified by maturity is shown below, according to the following criteria:</w:t>
      </w:r>
    </w:p>
    <w:p>
      <w:pPr>
        <w:spacing w:after="0" w:line="195" w:lineRule="exact"/>
        <w:rPr>
          <w:sz w:val="20"/>
          <w:szCs w:val="20"/>
          <w:color w:val="auto"/>
        </w:rPr>
      </w:pPr>
    </w:p>
    <w:p>
      <w:pPr>
        <w:ind w:left="281" w:right="340" w:hanging="281"/>
        <w:spacing w:after="0" w:line="254" w:lineRule="auto"/>
        <w:tabs>
          <w:tab w:leader="none" w:pos="28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Current loans which comprise those direct loans which do not currently have characteristics of delinquency, nor are they in default or stage 3, according to the rules of IFRS 9.</w:t>
      </w:r>
    </w:p>
    <w:p>
      <w:pPr>
        <w:ind w:left="281" w:hanging="281"/>
        <w:spacing w:after="0"/>
        <w:tabs>
          <w:tab w:leader="none" w:pos="281"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Current but impaired loans, which comprise those direct loans which do not currently have characteristics of delinquency, but are in default or stage 3, according to IFRS 9.</w:t>
      </w:r>
    </w:p>
    <w:p>
      <w:pPr>
        <w:spacing w:after="0" w:line="28" w:lineRule="exact"/>
        <w:rPr>
          <w:rFonts w:ascii="Arial" w:cs="Arial" w:eastAsia="Arial" w:hAnsi="Arial"/>
          <w:sz w:val="14"/>
          <w:szCs w:val="14"/>
          <w:color w:val="auto"/>
        </w:rPr>
      </w:pPr>
    </w:p>
    <w:p>
      <w:pPr>
        <w:ind w:left="281" w:right="60" w:hanging="281"/>
        <w:spacing w:after="0" w:line="247" w:lineRule="auto"/>
        <w:tabs>
          <w:tab w:leader="none" w:pos="28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Loans with payment delay of one day or more, but are not past due according to our internal guidelines. Comprise those direct loans of customers who have failed to make a payment at its contractual maturity, that is, with at least one day past-due. However, the days of delinquency are insufficient to be considered as past due under the Group’s internal criteria.</w:t>
      </w:r>
    </w:p>
    <w:p>
      <w:pPr>
        <w:ind w:left="281" w:hanging="281"/>
        <w:spacing w:after="0"/>
        <w:tabs>
          <w:tab w:leader="none" w:pos="28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Past due loans under internal criteria.</w:t>
      </w:r>
    </w:p>
    <w:p>
      <w:pPr>
        <w:spacing w:after="0" w:line="184" w:lineRule="exact"/>
        <w:rPr>
          <w:sz w:val="20"/>
          <w:szCs w:val="20"/>
          <w:color w:val="auto"/>
        </w:rPr>
      </w:pPr>
    </w:p>
    <w:p>
      <w:pPr>
        <w:ind w:left="1" w:right="140"/>
        <w:spacing w:after="0" w:line="269" w:lineRule="auto"/>
        <w:rPr>
          <w:sz w:val="20"/>
          <w:szCs w:val="20"/>
          <w:color w:val="auto"/>
        </w:rPr>
      </w:pPr>
      <w:r>
        <w:rPr>
          <w:rFonts w:ascii="Arial" w:cs="Arial" w:eastAsia="Arial" w:hAnsi="Arial"/>
          <w:sz w:val="16"/>
          <w:szCs w:val="16"/>
          <w:color w:val="auto"/>
        </w:rPr>
        <w:t>The total of the concepts: loans with a delay of payment from the first day and the amounts of the internal overdue loans reflect the totality of "past due" loans consistent with IFRS 7.</w:t>
      </w:r>
    </w:p>
    <w:p>
      <w:pPr>
        <w:sectPr>
          <w:pgSz w:w="11900" w:h="16838" w:orient="portrait"/>
          <w:cols w:equalWidth="0" w:num="1">
            <w:col w:w="11141"/>
          </w:cols>
          <w:pgMar w:left="519" w:top="8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141"/>
        <w:spacing w:after="0"/>
        <w:rPr>
          <w:sz w:val="20"/>
          <w:szCs w:val="20"/>
          <w:color w:val="auto"/>
        </w:rPr>
      </w:pPr>
      <w:r>
        <w:rPr>
          <w:rFonts w:ascii="Arial" w:cs="Arial" w:eastAsia="Arial" w:hAnsi="Arial"/>
          <w:sz w:val="11"/>
          <w:szCs w:val="11"/>
          <w:color w:val="auto"/>
        </w:rPr>
        <w:t>Neither past</w:t>
      </w:r>
    </w:p>
    <w:p>
      <w:pPr>
        <w:spacing w:after="0" w:line="14" w:lineRule="exact"/>
        <w:rPr>
          <w:sz w:val="20"/>
          <w:szCs w:val="20"/>
          <w:color w:val="auto"/>
        </w:rPr>
      </w:pPr>
    </w:p>
    <w:p>
      <w:pPr>
        <w:jc w:val="center"/>
        <w:ind w:left="281" w:right="140"/>
        <w:spacing w:after="0" w:line="247" w:lineRule="auto"/>
        <w:rPr>
          <w:sz w:val="20"/>
          <w:szCs w:val="20"/>
          <w:color w:val="auto"/>
        </w:rPr>
      </w:pPr>
      <w:r>
        <w:rPr>
          <w:rFonts w:ascii="Arial" w:cs="Arial" w:eastAsia="Arial" w:hAnsi="Arial"/>
          <w:sz w:val="11"/>
          <w:szCs w:val="11"/>
          <w:color w:val="auto"/>
        </w:rPr>
        <w:t>due nor impaired Past due but</w:t>
      </w:r>
    </w:p>
    <w:p>
      <w:pPr>
        <w:spacing w:after="0" w:line="1" w:lineRule="exact"/>
        <w:rPr>
          <w:sz w:val="20"/>
          <w:szCs w:val="20"/>
          <w:color w:val="auto"/>
        </w:rPr>
      </w:pPr>
    </w:p>
    <w:p>
      <w:pPr>
        <w:ind w:left="281" w:firstLine="114"/>
        <w:spacing w:after="0" w:line="258" w:lineRule="auto"/>
        <w:rPr>
          <w:sz w:val="20"/>
          <w:szCs w:val="20"/>
          <w:color w:val="auto"/>
        </w:rPr>
      </w:pPr>
      <w:r>
        <w:rPr>
          <w:rFonts w:ascii="Arial" w:cs="Arial" w:eastAsia="Arial" w:hAnsi="Arial"/>
          <w:sz w:val="11"/>
          <w:szCs w:val="11"/>
          <w:color w:val="auto"/>
        </w:rPr>
        <w:t>not impaired Impaired debt</w:t>
      </w:r>
    </w:p>
    <w:p>
      <w:pPr>
        <w:spacing w:after="0" w:line="1" w:lineRule="exact"/>
        <w:rPr>
          <w:sz w:val="20"/>
          <w:szCs w:val="20"/>
          <w:color w:val="auto"/>
        </w:rPr>
      </w:pPr>
    </w:p>
    <w:p>
      <w:pPr>
        <w:ind w:left="281"/>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As of December 31, 2018</w:t>
            </w: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As of December 31, 2017</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tcPr>
          <w:p>
            <w:pPr>
              <w:jc w:val="center"/>
              <w:ind w:right="100"/>
              <w:spacing w:after="0" w:line="103" w:lineRule="exact"/>
              <w:rPr>
                <w:sz w:val="20"/>
                <w:szCs w:val="20"/>
                <w:color w:val="auto"/>
              </w:rPr>
            </w:pPr>
            <w:r>
              <w:rPr>
                <w:rFonts w:ascii="Arial" w:cs="Arial" w:eastAsia="Arial" w:hAnsi="Arial"/>
                <w:sz w:val="11"/>
                <w:szCs w:val="11"/>
                <w:b w:val="1"/>
                <w:bCs w:val="1"/>
                <w:color w:val="auto"/>
              </w:rPr>
              <w:t>Loans with delays in</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tcPr>
          <w:p>
            <w:pPr>
              <w:jc w:val="center"/>
              <w:ind w:right="60"/>
              <w:spacing w:after="0" w:line="103" w:lineRule="exact"/>
              <w:rPr>
                <w:sz w:val="20"/>
                <w:szCs w:val="20"/>
                <w:color w:val="auto"/>
              </w:rPr>
            </w:pPr>
            <w:r>
              <w:rPr>
                <w:rFonts w:ascii="Arial" w:cs="Arial" w:eastAsia="Arial" w:hAnsi="Arial"/>
                <w:sz w:val="11"/>
                <w:szCs w:val="11"/>
                <w:b w:val="1"/>
                <w:bCs w:val="1"/>
                <w:color w:val="auto"/>
              </w:rPr>
              <w:t>Loans with delays in</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0"/>
              </w:rPr>
              <w:t>Current but</w:t>
            </w: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payments of one day</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Internal</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4"/>
              </w:rPr>
              <w:t>Total past</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0"/>
              </w:rPr>
              <w:t>Current but</w:t>
            </w:r>
          </w:p>
        </w:tc>
        <w:tc>
          <w:tcPr>
            <w:tcW w:w="1280" w:type="dxa"/>
            <w:vAlign w:val="bottom"/>
            <w:gridSpan w:val="3"/>
          </w:tcPr>
          <w:p>
            <w:pPr>
              <w:jc w:val="center"/>
              <w:ind w:right="60"/>
              <w:spacing w:after="0" w:line="131" w:lineRule="exact"/>
              <w:rPr>
                <w:sz w:val="20"/>
                <w:szCs w:val="20"/>
                <w:color w:val="auto"/>
              </w:rPr>
            </w:pPr>
            <w:r>
              <w:rPr>
                <w:rFonts w:ascii="Arial" w:cs="Arial" w:eastAsia="Arial" w:hAnsi="Arial"/>
                <w:sz w:val="13"/>
                <w:szCs w:val="13"/>
                <w:b w:val="1"/>
                <w:bCs w:val="1"/>
                <w:color w:val="auto"/>
                <w:w w:val="85"/>
              </w:rPr>
              <w:t>payments of one day</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Internal</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7"/>
              </w:rPr>
              <w:t>Total past</w:t>
            </w:r>
          </w:p>
        </w:tc>
        <w:tc>
          <w:tcPr>
            <w:tcW w:w="0" w:type="dxa"/>
            <w:vAlign w:val="bottom"/>
          </w:tcPr>
          <w:p>
            <w:pPr>
              <w:spacing w:after="0"/>
              <w:rPr>
                <w:sz w:val="1"/>
                <w:szCs w:val="1"/>
                <w:color w:val="auto"/>
              </w:rPr>
            </w:pPr>
          </w:p>
        </w:tc>
      </w:tr>
      <w:tr>
        <w:trPr>
          <w:trHeight w:val="130"/>
        </w:trPr>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3"/>
              </w:rPr>
              <w:t>Current</w:t>
            </w:r>
          </w:p>
        </w:tc>
        <w:tc>
          <w:tcPr>
            <w:tcW w:w="820" w:type="dxa"/>
            <w:vAlign w:val="bottom"/>
            <w:gridSpan w:val="3"/>
            <w:vMerge w:val="continue"/>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or more but not</w:t>
            </w:r>
          </w:p>
        </w:tc>
        <w:tc>
          <w:tcPr>
            <w:tcW w:w="70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3"/>
              </w:rPr>
              <w:t>Current</w:t>
            </w:r>
          </w:p>
        </w:tc>
        <w:tc>
          <w:tcPr>
            <w:tcW w:w="7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or more but not</w:t>
            </w:r>
          </w:p>
        </w:tc>
        <w:tc>
          <w:tcPr>
            <w:tcW w:w="7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8"/>
              </w:rPr>
              <w:t>impaired</w:t>
            </w: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considered internal</w:t>
            </w:r>
          </w:p>
        </w:tc>
        <w:tc>
          <w:tcPr>
            <w:tcW w:w="7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2"/>
              </w:rPr>
              <w:t>overdue</w:t>
            </w:r>
          </w:p>
        </w:tc>
        <w:tc>
          <w:tcPr>
            <w:tcW w:w="8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72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9"/>
              </w:rPr>
              <w:t>due under</w:t>
            </w: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8"/>
              </w:rPr>
              <w:t>impaired</w:t>
            </w:r>
          </w:p>
        </w:tc>
        <w:tc>
          <w:tcPr>
            <w:tcW w:w="6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considered internal</w:t>
            </w:r>
          </w:p>
        </w:tc>
        <w:tc>
          <w:tcPr>
            <w:tcW w:w="7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2"/>
              </w:rPr>
              <w:t>overdue</w:t>
            </w:r>
          </w:p>
        </w:tc>
        <w:tc>
          <w:tcPr>
            <w:tcW w:w="7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640" w:type="dxa"/>
            <w:vAlign w:val="bottom"/>
            <w:gridSpan w:val="2"/>
          </w:tcPr>
          <w:p>
            <w:pPr>
              <w:jc w:val="center"/>
              <w:ind w:right="20"/>
              <w:spacing w:after="0" w:line="131" w:lineRule="exact"/>
              <w:rPr>
                <w:sz w:val="20"/>
                <w:szCs w:val="20"/>
                <w:color w:val="auto"/>
              </w:rPr>
            </w:pPr>
            <w:r>
              <w:rPr>
                <w:rFonts w:ascii="Arial" w:cs="Arial" w:eastAsia="Arial" w:hAnsi="Arial"/>
                <w:sz w:val="13"/>
                <w:szCs w:val="13"/>
                <w:b w:val="1"/>
                <w:bCs w:val="1"/>
                <w:color w:val="auto"/>
                <w:w w:val="85"/>
              </w:rPr>
              <w:t>due under</w:t>
            </w:r>
          </w:p>
        </w:tc>
        <w:tc>
          <w:tcPr>
            <w:tcW w:w="0" w:type="dxa"/>
            <w:vAlign w:val="bottom"/>
          </w:tcPr>
          <w:p>
            <w:pPr>
              <w:spacing w:after="0"/>
              <w:rPr>
                <w:sz w:val="1"/>
                <w:szCs w:val="1"/>
                <w:color w:val="auto"/>
              </w:rPr>
            </w:pPr>
          </w:p>
        </w:tc>
      </w:tr>
      <w:tr>
        <w:trPr>
          <w:trHeight w:val="150"/>
        </w:trPr>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loans</w:t>
            </w:r>
          </w:p>
        </w:tc>
        <w:tc>
          <w:tcPr>
            <w:tcW w:w="6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loans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overdue loans</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loans</w:t>
            </w:r>
          </w:p>
        </w:tc>
        <w:tc>
          <w:tcPr>
            <w:tcW w:w="820" w:type="dxa"/>
            <w:vAlign w:val="bottom"/>
            <w:gridSpan w:val="2"/>
            <w:vMerge w:val="continue"/>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IFRS 7</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loans</w:t>
            </w:r>
          </w:p>
        </w:tc>
        <w:tc>
          <w:tcPr>
            <w:tcW w:w="6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loans</w:t>
            </w:r>
          </w:p>
        </w:tc>
        <w:tc>
          <w:tcPr>
            <w:tcW w:w="6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overdue loans</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loans</w:t>
            </w:r>
          </w:p>
        </w:tc>
        <w:tc>
          <w:tcPr>
            <w:tcW w:w="740" w:type="dxa"/>
            <w:vAlign w:val="bottom"/>
            <w:gridSpan w:val="2"/>
            <w:vMerge w:val="continue"/>
          </w:tcPr>
          <w:p>
            <w:pPr>
              <w:spacing w:after="0"/>
              <w:rPr>
                <w:sz w:val="13"/>
                <w:szCs w:val="1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IFRS 7</w:t>
            </w:r>
          </w:p>
        </w:tc>
        <w:tc>
          <w:tcPr>
            <w:tcW w:w="0" w:type="dxa"/>
            <w:vAlign w:val="bottom"/>
          </w:tcPr>
          <w:p>
            <w:pPr>
              <w:spacing w:after="0"/>
              <w:rPr>
                <w:sz w:val="1"/>
                <w:szCs w:val="1"/>
                <w:color w:val="auto"/>
              </w:rPr>
            </w:pPr>
          </w:p>
        </w:tc>
      </w:tr>
      <w:tr>
        <w:trPr>
          <w:trHeight w:val="156"/>
        </w:trPr>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3"/>
                <w:szCs w:val="13"/>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101,602,442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1,755</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101,604,197</w:t>
            </w:r>
          </w:p>
        </w:tc>
        <w:tc>
          <w:tcPr>
            <w:tcW w:w="120" w:type="dxa"/>
            <w:vAlign w:val="bottom"/>
          </w:tcPr>
          <w:p>
            <w:pPr>
              <w:spacing w:after="0"/>
              <w:rPr>
                <w:sz w:val="24"/>
                <w:szCs w:val="2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1,755</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93,268,440</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93,268,440</w:t>
            </w:r>
          </w:p>
        </w:tc>
        <w:tc>
          <w:tcPr>
            <w:tcW w:w="1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2,869,944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249,028</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3,118,972</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rPr>
              <w:t>3,118,972</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1,839,774</w:t>
            </w: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81,054</w:t>
            </w:r>
          </w:p>
        </w:tc>
        <w:tc>
          <w:tcPr>
            <w:tcW w:w="620" w:type="dxa"/>
            <w:vAlign w:val="bottom"/>
          </w:tcPr>
          <w:p>
            <w:pPr>
              <w:jc w:val="right"/>
              <w:spacing w:after="0"/>
              <w:rPr>
                <w:sz w:val="20"/>
                <w:szCs w:val="20"/>
                <w:color w:val="auto"/>
              </w:rPr>
            </w:pPr>
            <w:r>
              <w:rPr>
                <w:rFonts w:ascii="Arial" w:cs="Arial" w:eastAsia="Arial" w:hAnsi="Arial"/>
                <w:sz w:val="13"/>
                <w:szCs w:val="13"/>
                <w:color w:val="auto"/>
              </w:rPr>
              <w:t>1,920,828</w:t>
            </w:r>
          </w:p>
        </w:tc>
        <w:tc>
          <w:tcPr>
            <w:tcW w:w="12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1,920,828</w:t>
            </w:r>
          </w:p>
        </w:tc>
        <w:tc>
          <w:tcPr>
            <w:tcW w:w="0" w:type="dxa"/>
            <w:vAlign w:val="bottom"/>
          </w:tcPr>
          <w:p>
            <w:pPr>
              <w:spacing w:after="0"/>
              <w:rPr>
                <w:sz w:val="1"/>
                <w:szCs w:val="1"/>
                <w:color w:val="auto"/>
              </w:rPr>
            </w:pPr>
          </w:p>
        </w:tc>
      </w:tr>
      <w:tr>
        <w:trPr>
          <w:trHeight w:val="146"/>
        </w:trPr>
        <w:tc>
          <w:tcPr>
            <w:tcW w:w="7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1,582,189</w:t>
            </w:r>
          </w:p>
        </w:tc>
        <w:tc>
          <w:tcPr>
            <w:tcW w:w="120" w:type="dxa"/>
            <w:vAlign w:val="bottom"/>
          </w:tcPr>
          <w:p>
            <w:pPr>
              <w:spacing w:after="0"/>
              <w:rPr>
                <w:sz w:val="12"/>
                <w:szCs w:val="12"/>
                <w:color w:val="auto"/>
              </w:rPr>
            </w:pPr>
          </w:p>
        </w:tc>
        <w:tc>
          <w:tcPr>
            <w:tcW w:w="12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786,428</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6"/>
              </w:rPr>
              <w:t>2,868,838</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5,237,455</w:t>
            </w:r>
          </w:p>
        </w:tc>
        <w:tc>
          <w:tcPr>
            <w:tcW w:w="120" w:type="dxa"/>
            <w:vAlign w:val="bottom"/>
          </w:tcPr>
          <w:p>
            <w:pPr>
              <w:spacing w:after="0"/>
              <w:rPr>
                <w:sz w:val="12"/>
                <w:szCs w:val="12"/>
                <w:color w:val="auto"/>
              </w:rPr>
            </w:pPr>
          </w:p>
        </w:tc>
        <w:tc>
          <w:tcPr>
            <w:tcW w:w="72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3,655,266</w:t>
            </w: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734,582</w:t>
            </w:r>
          </w:p>
        </w:tc>
        <w:tc>
          <w:tcPr>
            <w:tcW w:w="128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901,204</w:t>
            </w:r>
          </w:p>
        </w:tc>
        <w:tc>
          <w:tcPr>
            <w:tcW w:w="7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6"/>
              </w:rPr>
              <w:t>2,939,860</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4,575,646</w:t>
            </w: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3,841,064</w:t>
            </w:r>
          </w:p>
        </w:tc>
        <w:tc>
          <w:tcPr>
            <w:tcW w:w="0" w:type="dxa"/>
            <w:vAlign w:val="bottom"/>
          </w:tcPr>
          <w:p>
            <w:pPr>
              <w:spacing w:after="0"/>
              <w:rPr>
                <w:sz w:val="1"/>
                <w:szCs w:val="1"/>
                <w:color w:val="auto"/>
              </w:rPr>
            </w:pPr>
          </w:p>
        </w:tc>
      </w:tr>
      <w:tr>
        <w:trPr>
          <w:trHeight w:val="134"/>
        </w:trPr>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4"/>
              </w:rPr>
              <w:t>101,602,442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1,582,189</w:t>
            </w:r>
          </w:p>
        </w:tc>
        <w:tc>
          <w:tcPr>
            <w:tcW w:w="1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3,656,372</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3,119,621</w:t>
            </w: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4"/>
              </w:rPr>
              <w:t>109,960,624</w:t>
            </w:r>
          </w:p>
        </w:tc>
        <w:tc>
          <w:tcPr>
            <w:tcW w:w="120" w:type="dxa"/>
            <w:vAlign w:val="bottom"/>
          </w:tcPr>
          <w:p>
            <w:pPr>
              <w:spacing w:after="0"/>
              <w:rPr>
                <w:sz w:val="11"/>
                <w:szCs w:val="11"/>
                <w:color w:val="auto"/>
              </w:rPr>
            </w:pPr>
          </w:p>
        </w:tc>
        <w:tc>
          <w:tcPr>
            <w:tcW w:w="600" w:type="dxa"/>
            <w:vAlign w:val="bottom"/>
            <w:tcBorders>
              <w:top w:val="single" w:sz="8" w:color="auto"/>
              <w:bottom w:val="single" w:sz="8" w:color="auto"/>
            </w:tcBorders>
          </w:tcPr>
          <w:p>
            <w:pPr>
              <w:ind w:left="100"/>
              <w:spacing w:after="0" w:line="134" w:lineRule="exact"/>
              <w:rPr>
                <w:sz w:val="20"/>
                <w:szCs w:val="20"/>
                <w:color w:val="auto"/>
              </w:rPr>
            </w:pPr>
            <w:r>
              <w:rPr>
                <w:rFonts w:ascii="Arial" w:cs="Arial" w:eastAsia="Arial" w:hAnsi="Arial"/>
                <w:sz w:val="13"/>
                <w:szCs w:val="13"/>
                <w:color w:val="auto"/>
                <w:w w:val="82"/>
              </w:rPr>
              <w:t>6,775,993</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5"/>
              </w:rPr>
              <w:t>93,268,440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734,582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2,740,978</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3,020,914</w:t>
            </w:r>
          </w:p>
        </w:tc>
        <w:tc>
          <w:tcPr>
            <w:tcW w:w="1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2"/>
              </w:rPr>
              <w:t>99,764,914</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20"/>
              <w:spacing w:after="0" w:line="134" w:lineRule="exact"/>
              <w:rPr>
                <w:sz w:val="20"/>
                <w:szCs w:val="20"/>
                <w:color w:val="auto"/>
              </w:rPr>
            </w:pPr>
            <w:r>
              <w:rPr>
                <w:rFonts w:ascii="Arial" w:cs="Arial" w:eastAsia="Arial" w:hAnsi="Arial"/>
                <w:sz w:val="13"/>
                <w:szCs w:val="13"/>
                <w:color w:val="auto"/>
              </w:rPr>
              <w:t>5,761,892</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-624205</wp:posOffset>
            </wp:positionV>
            <wp:extent cx="6826885" cy="2482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26885" cy="24828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-210185</wp:posOffset>
            </wp:positionV>
            <wp:extent cx="6826885" cy="901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26885" cy="90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1" w:space="100"/>
            <w:col w:w="10000"/>
          </w:cols>
          <w:pgMar w:left="519" w:top="814" w:right="239" w:bottom="1440" w:gutter="0" w:footer="0" w:header="0"/>
          <w:type w:val="continuous"/>
        </w:sectPr>
      </w:pPr>
    </w:p>
    <w:p>
      <w:pPr>
        <w:spacing w:after="0" w:line="167"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19050</wp:posOffset>
            </wp:positionV>
            <wp:extent cx="726313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4" w:right="2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4"/>
          <w:szCs w:val="14"/>
          <w:color w:val="auto"/>
        </w:rPr>
        <w:t>The classification of loans by type of banking and maturity is as follows:</w:t>
      </w:r>
    </w:p>
    <w:p>
      <w:pPr>
        <w:sectPr>
          <w:pgSz w:w="11900" w:h="16838" w:orient="portrait"/>
          <w:cols w:equalWidth="0" w:num="1">
            <w:col w:w="10900"/>
          </w:cols>
          <w:pgMar w:left="520" w:top="83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Commercial loans</w:t>
      </w:r>
    </w:p>
    <w:p>
      <w:pPr>
        <w:spacing w:after="0"/>
        <w:rPr>
          <w:sz w:val="20"/>
          <w:szCs w:val="20"/>
          <w:color w:val="auto"/>
        </w:rPr>
      </w:pPr>
      <w:r>
        <w:rPr>
          <w:rFonts w:ascii="Arial" w:cs="Arial" w:eastAsia="Arial" w:hAnsi="Arial"/>
          <w:sz w:val="11"/>
          <w:szCs w:val="11"/>
          <w:color w:val="auto"/>
        </w:rPr>
        <w:t>Residential mortgage loans</w:t>
      </w:r>
    </w:p>
    <w:p>
      <w:pPr>
        <w:spacing w:after="0" w:line="215" w:lineRule="auto"/>
        <w:rPr>
          <w:sz w:val="20"/>
          <w:szCs w:val="20"/>
          <w:color w:val="auto"/>
        </w:rPr>
      </w:pPr>
      <w:r>
        <w:rPr>
          <w:rFonts w:ascii="Arial" w:cs="Arial" w:eastAsia="Arial" w:hAnsi="Arial"/>
          <w:sz w:val="13"/>
          <w:szCs w:val="13"/>
          <w:color w:val="auto"/>
        </w:rPr>
        <w:t>Micro-business loans</w:t>
      </w:r>
    </w:p>
    <w:p>
      <w:pPr>
        <w:spacing w:after="0" w:line="228" w:lineRule="auto"/>
        <w:rPr>
          <w:sz w:val="20"/>
          <w:szCs w:val="20"/>
          <w:color w:val="auto"/>
        </w:rPr>
      </w:pPr>
      <w:r>
        <w:rPr>
          <w:rFonts w:ascii="Arial" w:cs="Arial" w:eastAsia="Arial" w:hAnsi="Arial"/>
          <w:sz w:val="13"/>
          <w:szCs w:val="13"/>
          <w:color w:val="auto"/>
        </w:rPr>
        <w:t>Consumer loans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ind w:left="640"/>
              <w:spacing w:after="0"/>
              <w:rPr>
                <w:sz w:val="20"/>
                <w:szCs w:val="20"/>
                <w:color w:val="auto"/>
              </w:rPr>
            </w:pPr>
            <w:r>
              <w:rPr>
                <w:rFonts w:ascii="Arial" w:cs="Arial" w:eastAsia="Arial" w:hAnsi="Arial"/>
                <w:sz w:val="13"/>
                <w:szCs w:val="13"/>
                <w:b w:val="1"/>
                <w:bCs w:val="1"/>
                <w:color w:val="auto"/>
                <w:w w:val="90"/>
              </w:rPr>
              <w:t>As of December 31, 2018</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0"/>
              </w:rPr>
              <w:t>As of December 31, 2017</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3"/>
          </w:tcPr>
          <w:p>
            <w:pPr>
              <w:jc w:val="center"/>
              <w:ind w:right="60"/>
              <w:spacing w:after="0" w:line="103" w:lineRule="exact"/>
              <w:rPr>
                <w:sz w:val="20"/>
                <w:szCs w:val="20"/>
                <w:color w:val="auto"/>
              </w:rPr>
            </w:pPr>
            <w:r>
              <w:rPr>
                <w:rFonts w:ascii="Arial" w:cs="Arial" w:eastAsia="Arial" w:hAnsi="Arial"/>
                <w:sz w:val="11"/>
                <w:szCs w:val="11"/>
                <w:b w:val="1"/>
                <w:bCs w:val="1"/>
                <w:color w:val="auto"/>
              </w:rPr>
              <w:t>Loans with delays in</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tcPr>
          <w:p>
            <w:pPr>
              <w:jc w:val="center"/>
              <w:ind w:right="160"/>
              <w:spacing w:after="0" w:line="103" w:lineRule="exact"/>
              <w:rPr>
                <w:sz w:val="20"/>
                <w:szCs w:val="20"/>
                <w:color w:val="auto"/>
              </w:rPr>
            </w:pPr>
            <w:r>
              <w:rPr>
                <w:rFonts w:ascii="Arial" w:cs="Arial" w:eastAsia="Arial" w:hAnsi="Arial"/>
                <w:sz w:val="11"/>
                <w:szCs w:val="11"/>
                <w:b w:val="1"/>
                <w:bCs w:val="1"/>
                <w:color w:val="auto"/>
              </w:rPr>
              <w:t>Loans with delays in</w:t>
            </w: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860" w:type="dxa"/>
            <w:vAlign w:val="bottom"/>
            <w:gridSpan w:val="3"/>
            <w:vMerge w:val="restart"/>
          </w:tcPr>
          <w:p>
            <w:pPr>
              <w:jc w:val="center"/>
              <w:ind w:left="17"/>
              <w:spacing w:after="0"/>
              <w:rPr>
                <w:sz w:val="20"/>
                <w:szCs w:val="20"/>
                <w:color w:val="auto"/>
              </w:rPr>
            </w:pPr>
            <w:r>
              <w:rPr>
                <w:rFonts w:ascii="Arial" w:cs="Arial" w:eastAsia="Arial" w:hAnsi="Arial"/>
                <w:sz w:val="13"/>
                <w:szCs w:val="13"/>
                <w:b w:val="1"/>
                <w:bCs w:val="1"/>
                <w:color w:val="auto"/>
                <w:w w:val="93"/>
              </w:rPr>
              <w:t>Current but</w:t>
            </w:r>
          </w:p>
        </w:tc>
        <w:tc>
          <w:tcPr>
            <w:tcW w:w="1320" w:type="dxa"/>
            <w:vAlign w:val="bottom"/>
            <w:gridSpan w:val="3"/>
          </w:tcPr>
          <w:p>
            <w:pPr>
              <w:jc w:val="center"/>
              <w:ind w:right="60"/>
              <w:spacing w:after="0" w:line="131" w:lineRule="exact"/>
              <w:rPr>
                <w:sz w:val="20"/>
                <w:szCs w:val="20"/>
                <w:color w:val="auto"/>
              </w:rPr>
            </w:pPr>
            <w:r>
              <w:rPr>
                <w:rFonts w:ascii="Arial" w:cs="Arial" w:eastAsia="Arial" w:hAnsi="Arial"/>
                <w:sz w:val="13"/>
                <w:szCs w:val="13"/>
                <w:b w:val="1"/>
                <w:bCs w:val="1"/>
                <w:color w:val="auto"/>
                <w:w w:val="85"/>
              </w:rPr>
              <w:t>payments of one day</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3"/>
              </w:rPr>
              <w:t>Internal</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0"/>
              </w:rPr>
              <w:t>Current but</w:t>
            </w:r>
          </w:p>
        </w:tc>
        <w:tc>
          <w:tcPr>
            <w:tcW w:w="160" w:type="dxa"/>
            <w:vAlign w:val="bottom"/>
          </w:tcPr>
          <w:p>
            <w:pPr>
              <w:spacing w:after="0"/>
              <w:rPr>
                <w:sz w:val="11"/>
                <w:szCs w:val="11"/>
                <w:color w:val="auto"/>
              </w:rPr>
            </w:pPr>
          </w:p>
        </w:tc>
        <w:tc>
          <w:tcPr>
            <w:tcW w:w="12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5"/>
              </w:rPr>
              <w:t>payments of one day</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3"/>
              </w:rPr>
              <w:t>Internal</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Current</w:t>
            </w:r>
          </w:p>
        </w:tc>
        <w:tc>
          <w:tcPr>
            <w:tcW w:w="8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or more but not</w:t>
            </w:r>
          </w:p>
        </w:tc>
        <w:tc>
          <w:tcPr>
            <w:tcW w:w="7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3"/>
              </w:rPr>
              <w:t>Current</w:t>
            </w: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9"/>
              </w:rPr>
              <w:t>or more but not</w:t>
            </w:r>
          </w:p>
        </w:tc>
        <w:tc>
          <w:tcPr>
            <w:tcW w:w="76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8"/>
              </w:rPr>
              <w:t>impaired</w:t>
            </w:r>
          </w:p>
        </w:tc>
        <w:tc>
          <w:tcPr>
            <w:tcW w:w="80" w:type="dxa"/>
            <w:vAlign w:val="bottom"/>
          </w:tcPr>
          <w:p>
            <w:pPr>
              <w:spacing w:after="0"/>
              <w:rPr>
                <w:sz w:val="11"/>
                <w:szCs w:val="11"/>
                <w:color w:val="auto"/>
              </w:rPr>
            </w:pPr>
          </w:p>
        </w:tc>
        <w:tc>
          <w:tcPr>
            <w:tcW w:w="12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6"/>
              </w:rPr>
              <w:t>considered internal</w:t>
            </w:r>
          </w:p>
        </w:tc>
        <w:tc>
          <w:tcPr>
            <w:tcW w:w="7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2"/>
              </w:rPr>
              <w:t>overdue</w:t>
            </w: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2"/>
            <w:vMerge w:val="continue"/>
          </w:tcPr>
          <w:p>
            <w:pPr>
              <w:spacing w:after="0"/>
              <w:rPr>
                <w:sz w:val="11"/>
                <w:szCs w:val="11"/>
                <w:color w:val="auto"/>
              </w:rPr>
            </w:pPr>
          </w:p>
        </w:tc>
        <w:tc>
          <w:tcPr>
            <w:tcW w:w="660" w:type="dxa"/>
            <w:vAlign w:val="bottom"/>
            <w:gridSpan w:val="2"/>
          </w:tcPr>
          <w:p>
            <w:pPr>
              <w:jc w:val="center"/>
              <w:ind w:right="20"/>
              <w:spacing w:after="0" w:line="131" w:lineRule="exact"/>
              <w:rPr>
                <w:sz w:val="20"/>
                <w:szCs w:val="20"/>
                <w:color w:val="auto"/>
              </w:rPr>
            </w:pPr>
            <w:r>
              <w:rPr>
                <w:rFonts w:ascii="Arial" w:cs="Arial" w:eastAsia="Arial" w:hAnsi="Arial"/>
                <w:sz w:val="13"/>
                <w:szCs w:val="13"/>
                <w:b w:val="1"/>
                <w:bCs w:val="1"/>
                <w:color w:val="auto"/>
                <w:w w:val="88"/>
              </w:rPr>
              <w:t>impaired</w:t>
            </w:r>
          </w:p>
        </w:tc>
        <w:tc>
          <w:tcPr>
            <w:tcW w:w="160" w:type="dxa"/>
            <w:vAlign w:val="bottom"/>
          </w:tcPr>
          <w:p>
            <w:pPr>
              <w:spacing w:after="0"/>
              <w:rPr>
                <w:sz w:val="11"/>
                <w:szCs w:val="11"/>
                <w:color w:val="auto"/>
              </w:rPr>
            </w:pPr>
          </w:p>
        </w:tc>
        <w:tc>
          <w:tcPr>
            <w:tcW w:w="12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6"/>
              </w:rPr>
              <w:t>considered internal</w:t>
            </w:r>
          </w:p>
        </w:tc>
        <w:tc>
          <w:tcPr>
            <w:tcW w:w="7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6"/>
              </w:rPr>
              <w:t>overdue</w:t>
            </w:r>
          </w:p>
        </w:tc>
        <w:tc>
          <w:tcPr>
            <w:tcW w:w="6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2"/>
              </w:rPr>
              <w:t>loans</w:t>
            </w:r>
          </w:p>
        </w:tc>
        <w:tc>
          <w:tcPr>
            <w:tcW w:w="14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loans</w:t>
            </w:r>
          </w:p>
        </w:tc>
        <w:tc>
          <w:tcPr>
            <w:tcW w:w="8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overdue loans</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80" w:type="dxa"/>
            <w:vAlign w:val="bottom"/>
            <w:gridSpan w:val="2"/>
            <w:vMerge w:val="continue"/>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loans</w:t>
            </w:r>
          </w:p>
        </w:tc>
        <w:tc>
          <w:tcPr>
            <w:tcW w:w="6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2"/>
              </w:rPr>
              <w:t>loans</w:t>
            </w:r>
          </w:p>
        </w:tc>
        <w:tc>
          <w:tcPr>
            <w:tcW w:w="16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overdue loans</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72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140" w:type="dxa"/>
            <w:vAlign w:val="bottom"/>
          </w:tcPr>
          <w:p>
            <w:pPr>
              <w:spacing w:after="0"/>
              <w:rPr>
                <w:sz w:val="9"/>
                <w:szCs w:val="9"/>
                <w:color w:val="auto"/>
              </w:rPr>
            </w:pPr>
          </w:p>
        </w:tc>
        <w:tc>
          <w:tcPr>
            <w:tcW w:w="6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140" w:type="dxa"/>
            <w:vAlign w:val="bottom"/>
          </w:tcPr>
          <w:p>
            <w:pPr>
              <w:spacing w:after="0"/>
              <w:rPr>
                <w:sz w:val="9"/>
                <w:szCs w:val="9"/>
                <w:color w:val="auto"/>
              </w:rPr>
            </w:pPr>
          </w:p>
        </w:tc>
        <w:tc>
          <w:tcPr>
            <w:tcW w:w="58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140" w:type="dxa"/>
            <w:vAlign w:val="bottom"/>
          </w:tcPr>
          <w:p>
            <w:pPr>
              <w:spacing w:after="0"/>
              <w:rPr>
                <w:sz w:val="9"/>
                <w:szCs w:val="9"/>
                <w:color w:val="auto"/>
              </w:rPr>
            </w:pPr>
          </w:p>
        </w:tc>
        <w:tc>
          <w:tcPr>
            <w:tcW w:w="720" w:type="dxa"/>
            <w:vAlign w:val="bottom"/>
            <w:tcBorders>
              <w:top w:val="single" w:sz="8" w:color="auto"/>
            </w:tcBorders>
          </w:tcPr>
          <w:p>
            <w:pPr>
              <w:jc w:val="right"/>
              <w:ind w:right="118"/>
              <w:spacing w:after="0" w:line="106" w:lineRule="exact"/>
              <w:rPr>
                <w:sz w:val="20"/>
                <w:szCs w:val="20"/>
                <w:color w:val="auto"/>
              </w:rPr>
            </w:pPr>
            <w:r>
              <w:rPr>
                <w:rFonts w:ascii="Arial" w:cs="Arial" w:eastAsia="Arial" w:hAnsi="Arial"/>
                <w:sz w:val="12"/>
                <w:szCs w:val="12"/>
                <w:b w:val="1"/>
                <w:bCs w:val="1"/>
                <w:color w:val="auto"/>
              </w:rPr>
              <w:t>S/(000)</w:t>
            </w:r>
          </w:p>
        </w:tc>
        <w:tc>
          <w:tcPr>
            <w:tcW w:w="160" w:type="dxa"/>
            <w:vAlign w:val="bottom"/>
          </w:tcPr>
          <w:p>
            <w:pPr>
              <w:spacing w:after="0"/>
              <w:rPr>
                <w:sz w:val="9"/>
                <w:szCs w:val="9"/>
                <w:color w:val="auto"/>
              </w:rPr>
            </w:pPr>
          </w:p>
        </w:tc>
        <w:tc>
          <w:tcPr>
            <w:tcW w:w="6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180" w:type="dxa"/>
            <w:vAlign w:val="bottom"/>
          </w:tcPr>
          <w:p>
            <w:pPr>
              <w:spacing w:after="0"/>
              <w:rPr>
                <w:sz w:val="9"/>
                <w:szCs w:val="9"/>
                <w:color w:val="auto"/>
              </w:rPr>
            </w:pPr>
          </w:p>
        </w:tc>
        <w:tc>
          <w:tcPr>
            <w:tcW w:w="6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160" w:type="dxa"/>
            <w:vAlign w:val="bottom"/>
          </w:tcPr>
          <w:p>
            <w:pPr>
              <w:spacing w:after="0"/>
              <w:rPr>
                <w:sz w:val="9"/>
                <w:szCs w:val="9"/>
                <w:color w:val="auto"/>
              </w:rPr>
            </w:pPr>
          </w:p>
        </w:tc>
        <w:tc>
          <w:tcPr>
            <w:tcW w:w="6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160" w:type="dxa"/>
            <w:vAlign w:val="bottom"/>
          </w:tcPr>
          <w:p>
            <w:pPr>
              <w:spacing w:after="0"/>
              <w:rPr>
                <w:sz w:val="9"/>
                <w:szCs w:val="9"/>
                <w:color w:val="auto"/>
              </w:rPr>
            </w:pPr>
          </w:p>
        </w:tc>
        <w:tc>
          <w:tcPr>
            <w:tcW w:w="660" w:type="dxa"/>
            <w:vAlign w:val="bottom"/>
            <w:tcBorders>
              <w:top w:val="single" w:sz="8" w:color="auto"/>
            </w:tcBorders>
          </w:tcPr>
          <w:p>
            <w:pPr>
              <w:jc w:val="right"/>
              <w:ind w:right="78"/>
              <w:spacing w:after="0" w:line="106"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60,034,357</w:t>
            </w:r>
          </w:p>
        </w:tc>
        <w:tc>
          <w:tcPr>
            <w:tcW w:w="86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797,776</w:t>
            </w:r>
          </w:p>
        </w:tc>
        <w:tc>
          <w:tcPr>
            <w:tcW w:w="118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1,541,975</w:t>
            </w:r>
          </w:p>
        </w:tc>
        <w:tc>
          <w:tcPr>
            <w:tcW w:w="14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color w:val="auto"/>
                <w:w w:val="96"/>
              </w:rPr>
              <w:t>1,235,880</w:t>
            </w:r>
          </w:p>
        </w:tc>
        <w:tc>
          <w:tcPr>
            <w:tcW w:w="140" w:type="dxa"/>
            <w:vAlign w:val="bottom"/>
          </w:tcPr>
          <w:p>
            <w:pPr>
              <w:spacing w:after="0"/>
              <w:rPr>
                <w:sz w:val="11"/>
                <w:szCs w:val="11"/>
                <w:color w:val="auto"/>
              </w:rPr>
            </w:pPr>
          </w:p>
        </w:tc>
        <w:tc>
          <w:tcPr>
            <w:tcW w:w="8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63,609,988</w:t>
            </w:r>
          </w:p>
        </w:tc>
        <w:tc>
          <w:tcPr>
            <w:tcW w:w="820" w:type="dxa"/>
            <w:vAlign w:val="bottom"/>
            <w:gridSpan w:val="2"/>
          </w:tcPr>
          <w:p>
            <w:pPr>
              <w:ind w:left="80"/>
              <w:spacing w:after="0" w:line="131" w:lineRule="exact"/>
              <w:rPr>
                <w:sz w:val="20"/>
                <w:szCs w:val="20"/>
                <w:color w:val="auto"/>
              </w:rPr>
            </w:pPr>
            <w:r>
              <w:rPr>
                <w:rFonts w:ascii="Arial" w:cs="Arial" w:eastAsia="Arial" w:hAnsi="Arial"/>
                <w:sz w:val="13"/>
                <w:szCs w:val="13"/>
                <w:color w:val="auto"/>
              </w:rPr>
              <w:t>56,125,417</w:t>
            </w:r>
          </w:p>
        </w:tc>
        <w:tc>
          <w:tcPr>
            <w:tcW w:w="640" w:type="dxa"/>
            <w:vAlign w:val="bottom"/>
          </w:tcPr>
          <w:p>
            <w:pPr>
              <w:ind w:left="240"/>
              <w:spacing w:after="0" w:line="131" w:lineRule="exact"/>
              <w:rPr>
                <w:sz w:val="20"/>
                <w:szCs w:val="20"/>
                <w:color w:val="auto"/>
              </w:rPr>
            </w:pPr>
            <w:r>
              <w:rPr>
                <w:rFonts w:ascii="Arial" w:cs="Arial" w:eastAsia="Arial" w:hAnsi="Arial"/>
                <w:sz w:val="13"/>
                <w:szCs w:val="13"/>
                <w:color w:val="auto"/>
                <w:w w:val="80"/>
              </w:rPr>
              <w:t>211,917</w:t>
            </w:r>
          </w:p>
        </w:tc>
        <w:tc>
          <w:tcPr>
            <w:tcW w:w="20" w:type="dxa"/>
            <w:vAlign w:val="bottom"/>
          </w:tcPr>
          <w:p>
            <w:pPr>
              <w:spacing w:after="0"/>
              <w:rPr>
                <w:sz w:val="11"/>
                <w:szCs w:val="11"/>
                <w:color w:val="auto"/>
              </w:rPr>
            </w:pPr>
          </w:p>
        </w:tc>
        <w:tc>
          <w:tcPr>
            <w:tcW w:w="142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790,739</w:t>
            </w:r>
          </w:p>
        </w:tc>
        <w:tc>
          <w:tcPr>
            <w:tcW w:w="7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1,327,475</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w w:val="98"/>
              </w:rPr>
              <w:t>58,455,548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15,926,555</w:t>
            </w:r>
          </w:p>
        </w:tc>
        <w:tc>
          <w:tcPr>
            <w:tcW w:w="86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258,149</w:t>
            </w:r>
          </w:p>
        </w:tc>
        <w:tc>
          <w:tcPr>
            <w:tcW w:w="132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1,054,112</w:t>
            </w:r>
          </w:p>
        </w:tc>
        <w:tc>
          <w:tcPr>
            <w:tcW w:w="7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531,876</w:t>
            </w:r>
          </w:p>
        </w:tc>
        <w:tc>
          <w:tcPr>
            <w:tcW w:w="8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17,770,692</w:t>
            </w:r>
          </w:p>
        </w:tc>
        <w:tc>
          <w:tcPr>
            <w:tcW w:w="820" w:type="dxa"/>
            <w:vAlign w:val="bottom"/>
            <w:gridSpan w:val="2"/>
          </w:tcPr>
          <w:p>
            <w:pPr>
              <w:ind w:left="80"/>
              <w:spacing w:after="0" w:line="131" w:lineRule="exact"/>
              <w:rPr>
                <w:sz w:val="20"/>
                <w:szCs w:val="20"/>
                <w:color w:val="auto"/>
              </w:rPr>
            </w:pPr>
            <w:r>
              <w:rPr>
                <w:rFonts w:ascii="Arial" w:cs="Arial" w:eastAsia="Arial" w:hAnsi="Arial"/>
                <w:sz w:val="13"/>
                <w:szCs w:val="13"/>
                <w:color w:val="auto"/>
              </w:rPr>
              <w:t>14,064,927</w:t>
            </w:r>
          </w:p>
        </w:tc>
        <w:tc>
          <w:tcPr>
            <w:tcW w:w="660" w:type="dxa"/>
            <w:vAlign w:val="bottom"/>
            <w:gridSpan w:val="2"/>
          </w:tcPr>
          <w:p>
            <w:pPr>
              <w:ind w:left="240"/>
              <w:spacing w:after="0" w:line="131" w:lineRule="exact"/>
              <w:rPr>
                <w:sz w:val="20"/>
                <w:szCs w:val="20"/>
                <w:color w:val="auto"/>
              </w:rPr>
            </w:pPr>
            <w:r>
              <w:rPr>
                <w:rFonts w:ascii="Arial" w:cs="Arial" w:eastAsia="Arial" w:hAnsi="Arial"/>
                <w:sz w:val="13"/>
                <w:szCs w:val="13"/>
                <w:color w:val="auto"/>
                <w:w w:val="85"/>
              </w:rPr>
              <w:t>185,853</w:t>
            </w:r>
          </w:p>
        </w:tc>
        <w:tc>
          <w:tcPr>
            <w:tcW w:w="142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693,482</w:t>
            </w:r>
          </w:p>
        </w:tc>
        <w:tc>
          <w:tcPr>
            <w:tcW w:w="7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507,825</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w w:val="98"/>
              </w:rPr>
              <w:t>15,452,087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13,472,223</w:t>
            </w:r>
          </w:p>
        </w:tc>
        <w:tc>
          <w:tcPr>
            <w:tcW w:w="86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253,735</w:t>
            </w:r>
          </w:p>
        </w:tc>
        <w:tc>
          <w:tcPr>
            <w:tcW w:w="132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526,023</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w w:val="96"/>
              </w:rPr>
              <w:t>1,001,474</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15,253,455</w:t>
            </w:r>
          </w:p>
        </w:tc>
        <w:tc>
          <w:tcPr>
            <w:tcW w:w="820" w:type="dxa"/>
            <w:vAlign w:val="bottom"/>
            <w:gridSpan w:val="2"/>
          </w:tcPr>
          <w:p>
            <w:pPr>
              <w:ind w:left="80"/>
              <w:spacing w:after="0" w:line="143" w:lineRule="exact"/>
              <w:rPr>
                <w:sz w:val="20"/>
                <w:szCs w:val="20"/>
                <w:color w:val="auto"/>
              </w:rPr>
            </w:pPr>
            <w:r>
              <w:rPr>
                <w:rFonts w:ascii="Arial" w:cs="Arial" w:eastAsia="Arial" w:hAnsi="Arial"/>
                <w:sz w:val="13"/>
                <w:szCs w:val="13"/>
                <w:color w:val="auto"/>
              </w:rPr>
              <w:t>12,288,639</w:t>
            </w:r>
          </w:p>
        </w:tc>
        <w:tc>
          <w:tcPr>
            <w:tcW w:w="660" w:type="dxa"/>
            <w:vAlign w:val="bottom"/>
            <w:gridSpan w:val="2"/>
          </w:tcPr>
          <w:p>
            <w:pPr>
              <w:ind w:left="240"/>
              <w:spacing w:after="0" w:line="143" w:lineRule="exact"/>
              <w:rPr>
                <w:sz w:val="20"/>
                <w:szCs w:val="20"/>
                <w:color w:val="auto"/>
              </w:rPr>
            </w:pPr>
            <w:r>
              <w:rPr>
                <w:rFonts w:ascii="Arial" w:cs="Arial" w:eastAsia="Arial" w:hAnsi="Arial"/>
                <w:sz w:val="13"/>
                <w:szCs w:val="13"/>
                <w:color w:val="auto"/>
                <w:w w:val="85"/>
              </w:rPr>
              <w:t>207,549</w:t>
            </w:r>
          </w:p>
        </w:tc>
        <w:tc>
          <w:tcPr>
            <w:tcW w:w="1420" w:type="dxa"/>
            <w:vAlign w:val="bottom"/>
            <w:gridSpan w:val="3"/>
          </w:tcPr>
          <w:p>
            <w:pPr>
              <w:jc w:val="right"/>
              <w:ind w:right="160"/>
              <w:spacing w:after="0" w:line="143" w:lineRule="exact"/>
              <w:rPr>
                <w:sz w:val="20"/>
                <w:szCs w:val="20"/>
                <w:color w:val="auto"/>
              </w:rPr>
            </w:pPr>
            <w:r>
              <w:rPr>
                <w:rFonts w:ascii="Arial" w:cs="Arial" w:eastAsia="Arial" w:hAnsi="Arial"/>
                <w:sz w:val="13"/>
                <w:szCs w:val="13"/>
                <w:color w:val="auto"/>
              </w:rPr>
              <w:t>774,435</w:t>
            </w: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656,934</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w w:val="98"/>
              </w:rPr>
              <w:t>13,927,557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12,169,307</w:t>
            </w:r>
          </w:p>
        </w:tc>
        <w:tc>
          <w:tcPr>
            <w:tcW w:w="86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272,529</w:t>
            </w:r>
          </w:p>
        </w:tc>
        <w:tc>
          <w:tcPr>
            <w:tcW w:w="1320" w:type="dxa"/>
            <w:vAlign w:val="bottom"/>
            <w:gridSpan w:val="3"/>
          </w:tcPr>
          <w:p>
            <w:pPr>
              <w:jc w:val="right"/>
              <w:ind w:right="140"/>
              <w:spacing w:after="0" w:line="146" w:lineRule="exact"/>
              <w:rPr>
                <w:sz w:val="20"/>
                <w:szCs w:val="20"/>
                <w:color w:val="auto"/>
              </w:rPr>
            </w:pPr>
            <w:r>
              <w:rPr>
                <w:rFonts w:ascii="Arial" w:cs="Arial" w:eastAsia="Arial" w:hAnsi="Arial"/>
                <w:sz w:val="13"/>
                <w:szCs w:val="13"/>
                <w:color w:val="auto"/>
              </w:rPr>
              <w:t>534,262</w:t>
            </w:r>
          </w:p>
        </w:tc>
        <w:tc>
          <w:tcPr>
            <w:tcW w:w="7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350,391</w:t>
            </w:r>
          </w:p>
        </w:tc>
        <w:tc>
          <w:tcPr>
            <w:tcW w:w="8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13,326,489</w:t>
            </w:r>
          </w:p>
        </w:tc>
        <w:tc>
          <w:tcPr>
            <w:tcW w:w="820" w:type="dxa"/>
            <w:vAlign w:val="bottom"/>
            <w:gridSpan w:val="2"/>
          </w:tcPr>
          <w:p>
            <w:pPr>
              <w:ind w:left="80"/>
              <w:spacing w:after="0" w:line="146" w:lineRule="exact"/>
              <w:rPr>
                <w:sz w:val="20"/>
                <w:szCs w:val="20"/>
                <w:color w:val="auto"/>
              </w:rPr>
            </w:pPr>
            <w:r>
              <w:rPr>
                <w:rFonts w:ascii="Arial" w:cs="Arial" w:eastAsia="Arial" w:hAnsi="Arial"/>
                <w:sz w:val="13"/>
                <w:szCs w:val="13"/>
                <w:color w:val="auto"/>
              </w:rPr>
              <w:t>10,789,457</w:t>
            </w:r>
          </w:p>
        </w:tc>
        <w:tc>
          <w:tcPr>
            <w:tcW w:w="660" w:type="dxa"/>
            <w:vAlign w:val="bottom"/>
            <w:gridSpan w:val="2"/>
          </w:tcPr>
          <w:p>
            <w:pPr>
              <w:ind w:left="240"/>
              <w:spacing w:after="0" w:line="146" w:lineRule="exact"/>
              <w:rPr>
                <w:sz w:val="20"/>
                <w:szCs w:val="20"/>
                <w:color w:val="auto"/>
              </w:rPr>
            </w:pPr>
            <w:r>
              <w:rPr>
                <w:rFonts w:ascii="Arial" w:cs="Arial" w:eastAsia="Arial" w:hAnsi="Arial"/>
                <w:sz w:val="13"/>
                <w:szCs w:val="13"/>
                <w:color w:val="auto"/>
                <w:w w:val="85"/>
              </w:rPr>
              <w:t>129,262</w:t>
            </w:r>
          </w:p>
        </w:tc>
        <w:tc>
          <w:tcPr>
            <w:tcW w:w="142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482,323</w:t>
            </w:r>
          </w:p>
        </w:tc>
        <w:tc>
          <w:tcPr>
            <w:tcW w:w="7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528,680</w:t>
            </w: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w w:val="98"/>
              </w:rPr>
              <w:t>11,929,722</w:t>
            </w:r>
          </w:p>
        </w:tc>
        <w:tc>
          <w:tcPr>
            <w:tcW w:w="0" w:type="dxa"/>
            <w:vAlign w:val="bottom"/>
          </w:tcPr>
          <w:p>
            <w:pPr>
              <w:spacing w:after="0"/>
              <w:rPr>
                <w:sz w:val="1"/>
                <w:szCs w:val="1"/>
                <w:color w:val="auto"/>
              </w:rPr>
            </w:pPr>
          </w:p>
        </w:tc>
      </w:tr>
      <w:tr>
        <w:trPr>
          <w:trHeight w:val="134"/>
        </w:trPr>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101,602,442</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1,582,189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3,656,372</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3,119,621</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109,960,624</w:t>
            </w:r>
          </w:p>
        </w:tc>
        <w:tc>
          <w:tcPr>
            <w:tcW w:w="16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80"/>
              <w:spacing w:after="0" w:line="134" w:lineRule="exact"/>
              <w:rPr>
                <w:sz w:val="20"/>
                <w:szCs w:val="20"/>
                <w:color w:val="auto"/>
              </w:rPr>
            </w:pPr>
            <w:r>
              <w:rPr>
                <w:rFonts w:ascii="Arial" w:cs="Arial" w:eastAsia="Arial" w:hAnsi="Arial"/>
                <w:sz w:val="13"/>
                <w:szCs w:val="13"/>
                <w:color w:val="auto"/>
                <w:w w:val="82"/>
              </w:rPr>
              <w:t>93,268,440</w:t>
            </w:r>
          </w:p>
        </w:tc>
        <w:tc>
          <w:tcPr>
            <w:tcW w:w="18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240"/>
              <w:spacing w:after="0" w:line="134" w:lineRule="exact"/>
              <w:rPr>
                <w:sz w:val="20"/>
                <w:szCs w:val="20"/>
                <w:color w:val="auto"/>
              </w:rPr>
            </w:pPr>
            <w:r>
              <w:rPr>
                <w:rFonts w:ascii="Arial" w:cs="Arial" w:eastAsia="Arial" w:hAnsi="Arial"/>
                <w:sz w:val="13"/>
                <w:szCs w:val="13"/>
                <w:color w:val="auto"/>
                <w:w w:val="80"/>
              </w:rPr>
              <w:t>734,581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2,740,979</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3,020,914</w:t>
            </w:r>
          </w:p>
        </w:tc>
        <w:tc>
          <w:tcPr>
            <w:tcW w:w="1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8"/>
              </w:rPr>
              <w:t>99,764,914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-458470</wp:posOffset>
            </wp:positionV>
            <wp:extent cx="6969760" cy="825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69760" cy="8255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-292735</wp:posOffset>
            </wp:positionV>
            <wp:extent cx="6969760" cy="825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69760" cy="8255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-120015</wp:posOffset>
            </wp:positionV>
            <wp:extent cx="6969760" cy="1054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69760" cy="1054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700"/>
            <w:col w:w="8820"/>
          </w:cols>
          <w:pgMar w:left="520" w:top="838" w:right="479" w:bottom="1440" w:gutter="0" w:footer="0" w:header="0"/>
          <w:type w:val="continuous"/>
        </w:sectPr>
      </w:pP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19050</wp:posOffset>
            </wp:positionV>
            <wp:extent cx="726313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00"/>
          </w:cols>
          <w:pgMar w:left="520" w:top="838" w:right="479" w:bottom="1440" w:gutter="0" w:footer="0" w:header="0"/>
          <w:type w:val="continuous"/>
        </w:sectPr>
      </w:pPr>
    </w:p>
    <w:bookmarkStart w:id="141" w:name="page142"/>
    <w:bookmarkEnd w:id="141"/>
    <w:p>
      <w:pPr>
        <w:ind w:left="560" w:hanging="281"/>
        <w:spacing w:after="0"/>
        <w:tabs>
          <w:tab w:leader="none" w:pos="5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Credit risk management on reverse repurchase agreements and securities borrowing -</w:t>
      </w:r>
    </w:p>
    <w:p>
      <w:pPr>
        <w:spacing w:after="0" w:line="195" w:lineRule="exact"/>
        <w:rPr>
          <w:rFonts w:ascii="Arial" w:cs="Arial" w:eastAsia="Arial" w:hAnsi="Arial"/>
          <w:sz w:val="16"/>
          <w:szCs w:val="16"/>
          <w:color w:val="auto"/>
        </w:rPr>
      </w:pPr>
    </w:p>
    <w:p>
      <w:pPr>
        <w:ind w:left="560" w:right="260"/>
        <w:spacing w:after="0" w:line="269" w:lineRule="auto"/>
        <w:rPr>
          <w:rFonts w:ascii="Arial" w:cs="Arial" w:eastAsia="Arial" w:hAnsi="Arial"/>
          <w:sz w:val="16"/>
          <w:szCs w:val="16"/>
          <w:color w:val="auto"/>
        </w:rPr>
      </w:pPr>
      <w:r>
        <w:rPr>
          <w:rFonts w:ascii="Arial" w:cs="Arial" w:eastAsia="Arial" w:hAnsi="Arial"/>
          <w:sz w:val="16"/>
          <w:szCs w:val="16"/>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56" w:lineRule="exact"/>
        <w:rPr>
          <w:rFonts w:ascii="Arial" w:cs="Arial" w:eastAsia="Arial" w:hAnsi="Arial"/>
          <w:sz w:val="16"/>
          <w:szCs w:val="16"/>
          <w:color w:val="auto"/>
        </w:rPr>
      </w:pPr>
    </w:p>
    <w:p>
      <w:pPr>
        <w:ind w:left="560" w:hanging="281"/>
        <w:spacing w:after="0"/>
        <w:tabs>
          <w:tab w:leader="none" w:pos="5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Credit risk management on investments -</w:t>
      </w:r>
    </w:p>
    <w:p>
      <w:pPr>
        <w:spacing w:after="0" w:line="195" w:lineRule="exact"/>
        <w:rPr>
          <w:rFonts w:ascii="Arial" w:cs="Arial" w:eastAsia="Arial" w:hAnsi="Arial"/>
          <w:sz w:val="16"/>
          <w:szCs w:val="16"/>
          <w:color w:val="auto"/>
        </w:rPr>
      </w:pPr>
    </w:p>
    <w:p>
      <w:pPr>
        <w:jc w:val="both"/>
        <w:ind w:left="560" w:right="120"/>
        <w:spacing w:after="0" w:line="258" w:lineRule="auto"/>
        <w:rPr>
          <w:rFonts w:ascii="Arial" w:cs="Arial" w:eastAsia="Arial" w:hAnsi="Arial"/>
          <w:sz w:val="16"/>
          <w:szCs w:val="16"/>
          <w:color w:val="auto"/>
        </w:rPr>
      </w:pPr>
      <w:r>
        <w:rPr>
          <w:rFonts w:ascii="Arial" w:cs="Arial" w:eastAsia="Arial" w:hAnsi="Arial"/>
          <w:sz w:val="16"/>
          <w:szCs w:val="16"/>
          <w:color w:val="auto"/>
        </w:rPr>
        <w:t>The Group evaluates the credit risk identified of each of the investments, disclosing the risk rating granted to them by a risk rating agency. For investments traded in Peru, risk ratings used are those provided by the three most prestigious Peruvian rating agencies (authorized by Peruvian regulator) and for investments traded abroad, the risk-ratings used are those provided by the three most prestigious international rating agencies.</w:t>
      </w:r>
    </w:p>
    <w:p>
      <w:pPr>
        <w:spacing w:after="0" w:line="165" w:lineRule="exact"/>
        <w:rPr>
          <w:rFonts w:ascii="Arial" w:cs="Arial" w:eastAsia="Arial" w:hAnsi="Arial"/>
          <w:sz w:val="16"/>
          <w:szCs w:val="16"/>
          <w:color w:val="auto"/>
        </w:rPr>
      </w:pPr>
    </w:p>
    <w:p>
      <w:pPr>
        <w:ind w:left="560" w:right="180"/>
        <w:spacing w:after="0" w:line="269" w:lineRule="auto"/>
        <w:rPr>
          <w:rFonts w:ascii="Arial" w:cs="Arial" w:eastAsia="Arial" w:hAnsi="Arial"/>
          <w:sz w:val="16"/>
          <w:szCs w:val="16"/>
          <w:color w:val="auto"/>
        </w:rPr>
      </w:pPr>
      <w:r>
        <w:rPr>
          <w:rFonts w:ascii="Arial" w:cs="Arial" w:eastAsia="Arial" w:hAnsi="Arial"/>
          <w:sz w:val="16"/>
          <w:szCs w:val="16"/>
          <w:color w:val="auto"/>
        </w:rPr>
        <w:t>In the event that any subsidiary uses a risk-rating prepared by any other risk rating agency, said risk-ratings are standardized with those provided by the above mentioned institutions.</w:t>
      </w:r>
    </w:p>
    <w:p>
      <w:pPr>
        <w:spacing w:after="0" w:line="15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The following table shows the analysis of the risk-rating of the investments, provided by the institutions referred to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rPr>
              <w:t>At December 31, 2018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At December 31, 2017</w:t>
            </w:r>
          </w:p>
        </w:tc>
        <w:tc>
          <w:tcPr>
            <w:tcW w:w="120" w:type="dxa"/>
            <w:vAlign w:val="bottom"/>
          </w:tcPr>
          <w:p>
            <w:pPr>
              <w:spacing w:after="0"/>
              <w:rPr>
                <w:sz w:val="17"/>
                <w:szCs w:val="17"/>
                <w:color w:val="auto"/>
              </w:rPr>
            </w:pPr>
          </w:p>
        </w:tc>
      </w:tr>
      <w:tr>
        <w:trPr>
          <w:trHeight w:val="182"/>
        </w:trPr>
        <w:tc>
          <w:tcPr>
            <w:tcW w:w="5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6"/>
                <w:szCs w:val="16"/>
                <w:b w:val="1"/>
                <w:bCs w:val="1"/>
                <w:color w:val="auto"/>
              </w:rPr>
              <w:t>S/(000)</w:t>
            </w:r>
          </w:p>
        </w:tc>
        <w:tc>
          <w:tcPr>
            <w:tcW w:w="700" w:type="dxa"/>
            <w:vAlign w:val="bottom"/>
            <w:tcBorders>
              <w:top w:val="single" w:sz="8" w:color="auto"/>
            </w:tcBorders>
          </w:tcPr>
          <w:p>
            <w:pPr>
              <w:jc w:val="right"/>
              <w:ind w:right="1"/>
              <w:spacing w:after="0" w:line="182" w:lineRule="exact"/>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500"/>
              <w:spacing w:after="0" w:line="182" w:lineRule="exact"/>
              <w:rPr>
                <w:sz w:val="20"/>
                <w:szCs w:val="20"/>
                <w:color w:val="auto"/>
              </w:rPr>
            </w:pPr>
            <w:r>
              <w:rPr>
                <w:rFonts w:ascii="Arial" w:cs="Arial" w:eastAsia="Arial" w:hAnsi="Arial"/>
                <w:sz w:val="16"/>
                <w:szCs w:val="16"/>
                <w:b w:val="1"/>
                <w:bCs w:val="1"/>
                <w:color w:val="auto"/>
              </w:rPr>
              <w:t>S/(000)</w:t>
            </w:r>
          </w:p>
        </w:tc>
        <w:tc>
          <w:tcPr>
            <w:tcW w:w="1060" w:type="dxa"/>
            <w:vAlign w:val="bottom"/>
            <w:tcBorders>
              <w:top w:val="single" w:sz="8" w:color="auto"/>
            </w:tcBorders>
          </w:tcPr>
          <w:p>
            <w:pPr>
              <w:jc w:val="right"/>
              <w:ind w:right="361"/>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Instruments rated in Peru:</w:t>
            </w:r>
          </w:p>
        </w:tc>
        <w:tc>
          <w:tcPr>
            <w:tcW w:w="2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AAA</w:t>
            </w:r>
          </w:p>
        </w:tc>
        <w:tc>
          <w:tcPr>
            <w:tcW w:w="3560" w:type="dxa"/>
            <w:vAlign w:val="bottom"/>
            <w:gridSpan w:val="3"/>
          </w:tcPr>
          <w:p>
            <w:pPr>
              <w:jc w:val="right"/>
              <w:ind w:right="220"/>
              <w:spacing w:after="0"/>
              <w:rPr>
                <w:sz w:val="20"/>
                <w:szCs w:val="20"/>
                <w:color w:val="auto"/>
              </w:rPr>
            </w:pPr>
            <w:r>
              <w:rPr>
                <w:rFonts w:ascii="Arial" w:cs="Arial" w:eastAsia="Arial" w:hAnsi="Arial"/>
                <w:sz w:val="16"/>
                <w:szCs w:val="16"/>
                <w:color w:val="auto"/>
              </w:rPr>
              <w:t>1,219,451</w:t>
            </w:r>
          </w:p>
        </w:tc>
        <w:tc>
          <w:tcPr>
            <w:tcW w:w="7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3.7</w:t>
            </w:r>
          </w:p>
        </w:tc>
        <w:tc>
          <w:tcPr>
            <w:tcW w:w="1060" w:type="dxa"/>
            <w:vAlign w:val="bottom"/>
          </w:tcPr>
          <w:p>
            <w:pPr>
              <w:jc w:val="right"/>
              <w:spacing w:after="0"/>
              <w:rPr>
                <w:sz w:val="20"/>
                <w:szCs w:val="20"/>
                <w:color w:val="auto"/>
              </w:rPr>
            </w:pPr>
            <w:r>
              <w:rPr>
                <w:rFonts w:ascii="Arial" w:cs="Arial" w:eastAsia="Arial" w:hAnsi="Arial"/>
                <w:sz w:val="16"/>
                <w:szCs w:val="16"/>
                <w:color w:val="auto"/>
              </w:rPr>
              <w:t>1,254,943</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AA- a AA+</w:t>
            </w:r>
          </w:p>
        </w:tc>
        <w:tc>
          <w:tcPr>
            <w:tcW w:w="3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1,483,063</w:t>
            </w:r>
          </w:p>
        </w:tc>
        <w:tc>
          <w:tcPr>
            <w:tcW w:w="7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1,313,967</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 to A+</w:t>
            </w:r>
          </w:p>
        </w:tc>
        <w:tc>
          <w:tcPr>
            <w:tcW w:w="3560" w:type="dxa"/>
            <w:vAlign w:val="bottom"/>
            <w:gridSpan w:val="3"/>
          </w:tcPr>
          <w:p>
            <w:pPr>
              <w:jc w:val="right"/>
              <w:ind w:right="220"/>
              <w:spacing w:after="0"/>
              <w:rPr>
                <w:sz w:val="20"/>
                <w:szCs w:val="20"/>
                <w:color w:val="auto"/>
              </w:rPr>
            </w:pPr>
            <w:r>
              <w:rPr>
                <w:rFonts w:ascii="Arial" w:cs="Arial" w:eastAsia="Arial" w:hAnsi="Arial"/>
                <w:sz w:val="16"/>
                <w:szCs w:val="16"/>
                <w:color w:val="auto"/>
              </w:rPr>
              <w:t>6,809,865</w:t>
            </w:r>
          </w:p>
        </w:tc>
        <w:tc>
          <w:tcPr>
            <w:tcW w:w="7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20.7</w:t>
            </w:r>
          </w:p>
        </w:tc>
        <w:tc>
          <w:tcPr>
            <w:tcW w:w="1060" w:type="dxa"/>
            <w:vAlign w:val="bottom"/>
          </w:tcPr>
          <w:p>
            <w:pPr>
              <w:jc w:val="right"/>
              <w:spacing w:after="0"/>
              <w:rPr>
                <w:sz w:val="20"/>
                <w:szCs w:val="20"/>
                <w:color w:val="auto"/>
              </w:rPr>
            </w:pPr>
            <w:r>
              <w:rPr>
                <w:rFonts w:ascii="Arial" w:cs="Arial" w:eastAsia="Arial" w:hAnsi="Arial"/>
                <w:sz w:val="16"/>
                <w:szCs w:val="16"/>
                <w:color w:val="auto"/>
              </w:rPr>
              <w:t>6,850,118</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BBB- to BBB+</w:t>
            </w:r>
          </w:p>
        </w:tc>
        <w:tc>
          <w:tcPr>
            <w:tcW w:w="3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2,282,714</w:t>
            </w:r>
          </w:p>
        </w:tc>
        <w:tc>
          <w:tcPr>
            <w:tcW w:w="7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2,279,478</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BB- to BB+</w:t>
            </w:r>
          </w:p>
        </w:tc>
        <w:tc>
          <w:tcPr>
            <w:tcW w:w="3560" w:type="dxa"/>
            <w:vAlign w:val="bottom"/>
            <w:gridSpan w:val="3"/>
          </w:tcPr>
          <w:p>
            <w:pPr>
              <w:jc w:val="right"/>
              <w:ind w:right="220"/>
              <w:spacing w:after="0"/>
              <w:rPr>
                <w:sz w:val="20"/>
                <w:szCs w:val="20"/>
                <w:color w:val="auto"/>
              </w:rPr>
            </w:pPr>
            <w:r>
              <w:rPr>
                <w:rFonts w:ascii="Arial" w:cs="Arial" w:eastAsia="Arial" w:hAnsi="Arial"/>
                <w:sz w:val="16"/>
                <w:szCs w:val="16"/>
                <w:color w:val="auto"/>
              </w:rPr>
              <w:t>459,249</w:t>
            </w:r>
          </w:p>
        </w:tc>
        <w:tc>
          <w:tcPr>
            <w:tcW w:w="7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1060" w:type="dxa"/>
            <w:vAlign w:val="bottom"/>
          </w:tcPr>
          <w:p>
            <w:pPr>
              <w:jc w:val="right"/>
              <w:spacing w:after="0"/>
              <w:rPr>
                <w:sz w:val="20"/>
                <w:szCs w:val="20"/>
                <w:color w:val="auto"/>
              </w:rPr>
            </w:pPr>
            <w:r>
              <w:rPr>
                <w:rFonts w:ascii="Arial" w:cs="Arial" w:eastAsia="Arial" w:hAnsi="Arial"/>
                <w:sz w:val="16"/>
                <w:szCs w:val="16"/>
                <w:color w:val="auto"/>
              </w:rPr>
              <w:t>469,679</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Lower and equal to +B</w:t>
            </w:r>
          </w:p>
        </w:tc>
        <w:tc>
          <w:tcPr>
            <w:tcW w:w="3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7,397</w:t>
            </w: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Unrated:</w:t>
            </w:r>
          </w:p>
        </w:tc>
        <w:tc>
          <w:tcPr>
            <w:tcW w:w="2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BCRP certificates of deposit</w:t>
            </w:r>
          </w:p>
        </w:tc>
        <w:tc>
          <w:tcPr>
            <w:tcW w:w="3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9,829,584</w:t>
            </w:r>
          </w:p>
        </w:tc>
        <w:tc>
          <w:tcPr>
            <w:tcW w:w="7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29.9</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10,026,038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Listed and unlisted securities</w:t>
            </w:r>
          </w:p>
        </w:tc>
        <w:tc>
          <w:tcPr>
            <w:tcW w:w="3560" w:type="dxa"/>
            <w:vAlign w:val="bottom"/>
            <w:gridSpan w:val="3"/>
          </w:tcPr>
          <w:p>
            <w:pPr>
              <w:jc w:val="right"/>
              <w:ind w:right="220"/>
              <w:spacing w:after="0"/>
              <w:rPr>
                <w:sz w:val="20"/>
                <w:szCs w:val="20"/>
                <w:color w:val="auto"/>
              </w:rPr>
            </w:pPr>
            <w:r>
              <w:rPr>
                <w:rFonts w:ascii="Arial" w:cs="Arial" w:eastAsia="Arial" w:hAnsi="Arial"/>
                <w:sz w:val="16"/>
                <w:szCs w:val="16"/>
                <w:color w:val="auto"/>
              </w:rPr>
              <w:t>649,677</w:t>
            </w:r>
          </w:p>
        </w:tc>
        <w:tc>
          <w:tcPr>
            <w:tcW w:w="7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1060" w:type="dxa"/>
            <w:vAlign w:val="bottom"/>
          </w:tcPr>
          <w:p>
            <w:pPr>
              <w:jc w:val="right"/>
              <w:spacing w:after="0"/>
              <w:rPr>
                <w:sz w:val="20"/>
                <w:szCs w:val="20"/>
                <w:color w:val="auto"/>
              </w:rPr>
            </w:pPr>
            <w:r>
              <w:rPr>
                <w:rFonts w:ascii="Arial" w:cs="Arial" w:eastAsia="Arial" w:hAnsi="Arial"/>
                <w:sz w:val="16"/>
                <w:szCs w:val="16"/>
                <w:color w:val="auto"/>
              </w:rPr>
              <w:t>702,384</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mutual funds</w:t>
            </w:r>
          </w:p>
        </w:tc>
        <w:tc>
          <w:tcPr>
            <w:tcW w:w="3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407,350</w:t>
            </w:r>
          </w:p>
        </w:tc>
        <w:tc>
          <w:tcPr>
            <w:tcW w:w="7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425,300</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Investment funds</w:t>
            </w:r>
          </w:p>
        </w:tc>
        <w:tc>
          <w:tcPr>
            <w:tcW w:w="3560" w:type="dxa"/>
            <w:vAlign w:val="bottom"/>
            <w:gridSpan w:val="3"/>
          </w:tcPr>
          <w:p>
            <w:pPr>
              <w:jc w:val="right"/>
              <w:ind w:right="220"/>
              <w:spacing w:after="0"/>
              <w:rPr>
                <w:sz w:val="20"/>
                <w:szCs w:val="20"/>
                <w:color w:val="auto"/>
              </w:rPr>
            </w:pPr>
            <w:r>
              <w:rPr>
                <w:rFonts w:ascii="Arial" w:cs="Arial" w:eastAsia="Arial" w:hAnsi="Arial"/>
                <w:sz w:val="16"/>
                <w:szCs w:val="16"/>
                <w:color w:val="auto"/>
              </w:rPr>
              <w:t>66,932</w:t>
            </w:r>
          </w:p>
        </w:tc>
        <w:tc>
          <w:tcPr>
            <w:tcW w:w="7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3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16,811</w:t>
            </w:r>
          </w:p>
        </w:tc>
        <w:tc>
          <w:tcPr>
            <w:tcW w:w="7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167,607</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6"/>
                <w:szCs w:val="16"/>
                <w:color w:val="auto"/>
              </w:rPr>
            </w:pPr>
          </w:p>
        </w:tc>
      </w:tr>
      <w:tr>
        <w:trPr>
          <w:trHeight w:val="201"/>
        </w:trPr>
        <w:tc>
          <w:tcPr>
            <w:tcW w:w="560" w:type="dxa"/>
            <w:vAlign w:val="bottom"/>
          </w:tcPr>
          <w:p>
            <w:pPr>
              <w:spacing w:after="0"/>
              <w:rPr>
                <w:sz w:val="17"/>
                <w:szCs w:val="17"/>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Other instruments</w:t>
            </w:r>
          </w:p>
        </w:tc>
        <w:tc>
          <w:tcPr>
            <w:tcW w:w="3560" w:type="dxa"/>
            <w:vAlign w:val="bottom"/>
            <w:gridSpan w:val="3"/>
          </w:tcPr>
          <w:p>
            <w:pPr>
              <w:jc w:val="right"/>
              <w:ind w:right="220"/>
              <w:spacing w:after="0"/>
              <w:rPr>
                <w:sz w:val="20"/>
                <w:szCs w:val="20"/>
                <w:color w:val="auto"/>
              </w:rPr>
            </w:pPr>
            <w:r>
              <w:rPr>
                <w:rFonts w:ascii="Arial" w:cs="Arial" w:eastAsia="Arial" w:hAnsi="Arial"/>
                <w:sz w:val="16"/>
                <w:szCs w:val="16"/>
                <w:color w:val="auto"/>
              </w:rPr>
              <w:t>728,543</w:t>
            </w:r>
          </w:p>
        </w:tc>
        <w:tc>
          <w:tcPr>
            <w:tcW w:w="7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29,181</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r>
      <w:tr>
        <w:trPr>
          <w:trHeight w:val="182"/>
        </w:trPr>
        <w:tc>
          <w:tcPr>
            <w:tcW w:w="56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Subtotal</w:t>
            </w:r>
          </w:p>
        </w:tc>
        <w:tc>
          <w:tcPr>
            <w:tcW w:w="2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23,960,636</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72.8</w:t>
            </w: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23,523,655</w:t>
            </w: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71.6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560"/>
        </w:trPr>
        <w:tc>
          <w:tcPr>
            <w:tcW w:w="5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- 135 -</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14" w:right="21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December 31, 2018</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At December 31, 2017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6"/>
                <w:szCs w:val="16"/>
                <w:b w:val="1"/>
                <w:bCs w:val="1"/>
                <w:color w:val="auto"/>
              </w:rPr>
              <w:t>S/(000)</w:t>
            </w: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500"/>
              <w:spacing w:after="0" w:line="182" w:lineRule="exact"/>
              <w:rPr>
                <w:sz w:val="20"/>
                <w:szCs w:val="20"/>
                <w:color w:val="auto"/>
              </w:rPr>
            </w:pPr>
            <w:r>
              <w:rPr>
                <w:rFonts w:ascii="Arial" w:cs="Arial" w:eastAsia="Arial" w:hAnsi="Arial"/>
                <w:sz w:val="16"/>
                <w:szCs w:val="16"/>
                <w:b w:val="1"/>
                <w:bCs w:val="1"/>
                <w:color w:val="auto"/>
              </w:rPr>
              <w:t>S/(000)</w:t>
            </w:r>
          </w:p>
        </w:tc>
        <w:tc>
          <w:tcPr>
            <w:tcW w:w="1060" w:type="dxa"/>
            <w:vAlign w:val="bottom"/>
            <w:tcBorders>
              <w:top w:val="single" w:sz="8" w:color="auto"/>
            </w:tcBorders>
          </w:tcPr>
          <w:p>
            <w:pPr>
              <w:jc w:val="right"/>
              <w:ind w:right="361"/>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Instruments rated abroad:</w:t>
            </w:r>
          </w:p>
        </w:tc>
        <w:tc>
          <w:tcPr>
            <w:tcW w:w="18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AAA</w:t>
            </w:r>
          </w:p>
        </w:tc>
        <w:tc>
          <w:tcPr>
            <w:tcW w:w="3100" w:type="dxa"/>
            <w:vAlign w:val="bottom"/>
            <w:gridSpan w:val="3"/>
          </w:tcPr>
          <w:p>
            <w:pPr>
              <w:jc w:val="right"/>
              <w:ind w:right="220"/>
              <w:spacing w:after="0"/>
              <w:rPr>
                <w:sz w:val="20"/>
                <w:szCs w:val="20"/>
                <w:color w:val="auto"/>
              </w:rPr>
            </w:pPr>
            <w:r>
              <w:rPr>
                <w:rFonts w:ascii="Arial" w:cs="Arial" w:eastAsia="Arial" w:hAnsi="Arial"/>
                <w:sz w:val="16"/>
                <w:szCs w:val="16"/>
                <w:color w:val="auto"/>
              </w:rPr>
              <w:t>286,417</w:t>
            </w:r>
          </w:p>
        </w:tc>
        <w:tc>
          <w:tcPr>
            <w:tcW w:w="6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060" w:type="dxa"/>
            <w:vAlign w:val="bottom"/>
          </w:tcPr>
          <w:p>
            <w:pPr>
              <w:jc w:val="right"/>
              <w:spacing w:after="0"/>
              <w:rPr>
                <w:sz w:val="20"/>
                <w:szCs w:val="20"/>
                <w:color w:val="auto"/>
              </w:rPr>
            </w:pPr>
            <w:r>
              <w:rPr>
                <w:rFonts w:ascii="Arial" w:cs="Arial" w:eastAsia="Arial" w:hAnsi="Arial"/>
                <w:sz w:val="16"/>
                <w:szCs w:val="16"/>
                <w:color w:val="auto"/>
              </w:rPr>
              <w:t>467,654</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AA- a AA+</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513,577</w:t>
            </w:r>
          </w:p>
        </w:tc>
        <w:tc>
          <w:tcPr>
            <w:tcW w:w="6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1,040,411</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A- to A+</w:t>
            </w:r>
          </w:p>
        </w:tc>
        <w:tc>
          <w:tcPr>
            <w:tcW w:w="3100" w:type="dxa"/>
            <w:vAlign w:val="bottom"/>
            <w:gridSpan w:val="3"/>
          </w:tcPr>
          <w:p>
            <w:pPr>
              <w:jc w:val="right"/>
              <w:ind w:right="220"/>
              <w:spacing w:after="0"/>
              <w:rPr>
                <w:sz w:val="20"/>
                <w:szCs w:val="20"/>
                <w:color w:val="auto"/>
              </w:rPr>
            </w:pPr>
            <w:r>
              <w:rPr>
                <w:rFonts w:ascii="Arial" w:cs="Arial" w:eastAsia="Arial" w:hAnsi="Arial"/>
                <w:sz w:val="16"/>
                <w:szCs w:val="16"/>
                <w:color w:val="auto"/>
              </w:rPr>
              <w:t>1,265,390</w:t>
            </w:r>
          </w:p>
        </w:tc>
        <w:tc>
          <w:tcPr>
            <w:tcW w:w="6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3.9</w:t>
            </w:r>
          </w:p>
        </w:tc>
        <w:tc>
          <w:tcPr>
            <w:tcW w:w="1060" w:type="dxa"/>
            <w:vAlign w:val="bottom"/>
          </w:tcPr>
          <w:p>
            <w:pPr>
              <w:jc w:val="right"/>
              <w:spacing w:after="0"/>
              <w:rPr>
                <w:sz w:val="20"/>
                <w:szCs w:val="20"/>
                <w:color w:val="auto"/>
              </w:rPr>
            </w:pPr>
            <w:r>
              <w:rPr>
                <w:rFonts w:ascii="Arial" w:cs="Arial" w:eastAsia="Arial" w:hAnsi="Arial"/>
                <w:sz w:val="16"/>
                <w:szCs w:val="16"/>
                <w:color w:val="auto"/>
              </w:rPr>
              <w:t>1,434,598</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BBB- to BBB+</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4,064,725</w:t>
            </w:r>
          </w:p>
        </w:tc>
        <w:tc>
          <w:tcPr>
            <w:tcW w:w="6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4,179,102</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BB- to BB+</w:t>
            </w:r>
          </w:p>
        </w:tc>
        <w:tc>
          <w:tcPr>
            <w:tcW w:w="3100" w:type="dxa"/>
            <w:vAlign w:val="bottom"/>
            <w:gridSpan w:val="3"/>
          </w:tcPr>
          <w:p>
            <w:pPr>
              <w:jc w:val="right"/>
              <w:ind w:right="220"/>
              <w:spacing w:after="0"/>
              <w:rPr>
                <w:sz w:val="20"/>
                <w:szCs w:val="20"/>
                <w:color w:val="auto"/>
              </w:rPr>
            </w:pPr>
            <w:r>
              <w:rPr>
                <w:rFonts w:ascii="Arial" w:cs="Arial" w:eastAsia="Arial" w:hAnsi="Arial"/>
                <w:sz w:val="16"/>
                <w:szCs w:val="16"/>
                <w:color w:val="auto"/>
              </w:rPr>
              <w:t>1,383,960</w:t>
            </w:r>
          </w:p>
        </w:tc>
        <w:tc>
          <w:tcPr>
            <w:tcW w:w="6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4.2</w:t>
            </w:r>
          </w:p>
        </w:tc>
        <w:tc>
          <w:tcPr>
            <w:tcW w:w="1060" w:type="dxa"/>
            <w:vAlign w:val="bottom"/>
          </w:tcPr>
          <w:p>
            <w:pPr>
              <w:jc w:val="right"/>
              <w:spacing w:after="0"/>
              <w:rPr>
                <w:sz w:val="20"/>
                <w:szCs w:val="20"/>
                <w:color w:val="auto"/>
              </w:rPr>
            </w:pPr>
            <w:r>
              <w:rPr>
                <w:rFonts w:ascii="Arial" w:cs="Arial" w:eastAsia="Arial" w:hAnsi="Arial"/>
                <w:sz w:val="16"/>
                <w:szCs w:val="16"/>
                <w:color w:val="auto"/>
              </w:rPr>
              <w:t>1,258,752</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Lower and equal to +B</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81,627</w:t>
            </w:r>
          </w:p>
        </w:tc>
        <w:tc>
          <w:tcPr>
            <w:tcW w:w="6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19,869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Unrated:</w:t>
            </w:r>
          </w:p>
        </w:tc>
        <w:tc>
          <w:tcPr>
            <w:tcW w:w="1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Listed and unlisted securities</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100,031</w:t>
            </w:r>
          </w:p>
        </w:tc>
        <w:tc>
          <w:tcPr>
            <w:tcW w:w="6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211,487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ind w:left="140"/>
              <w:spacing w:after="0"/>
              <w:rPr>
                <w:sz w:val="20"/>
                <w:szCs w:val="20"/>
                <w:color w:val="auto"/>
              </w:rPr>
            </w:pPr>
            <w:r>
              <w:rPr>
                <w:rFonts w:ascii="Arial" w:cs="Arial" w:eastAsia="Arial" w:hAnsi="Arial"/>
                <w:sz w:val="16"/>
                <w:szCs w:val="16"/>
                <w:color w:val="auto"/>
              </w:rPr>
              <w:t>Bolivia Central Bank certificates of deposit</w:t>
            </w:r>
          </w:p>
        </w:tc>
        <w:tc>
          <w:tcPr>
            <w:tcW w:w="3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95,042</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Participations of RAL funds</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445,039</w:t>
            </w:r>
          </w:p>
        </w:tc>
        <w:tc>
          <w:tcPr>
            <w:tcW w:w="6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527,729</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ind w:left="140"/>
              <w:spacing w:after="0"/>
              <w:rPr>
                <w:sz w:val="20"/>
                <w:szCs w:val="20"/>
                <w:color w:val="auto"/>
              </w:rPr>
            </w:pPr>
            <w:r>
              <w:rPr>
                <w:rFonts w:ascii="Arial" w:cs="Arial" w:eastAsia="Arial" w:hAnsi="Arial"/>
                <w:sz w:val="16"/>
                <w:szCs w:val="16"/>
                <w:color w:val="auto"/>
              </w:rPr>
              <w:t>Mutual funds</w:t>
            </w:r>
          </w:p>
        </w:tc>
        <w:tc>
          <w:tcPr>
            <w:tcW w:w="3100" w:type="dxa"/>
            <w:vAlign w:val="bottom"/>
            <w:gridSpan w:val="3"/>
          </w:tcPr>
          <w:p>
            <w:pPr>
              <w:jc w:val="right"/>
              <w:ind w:right="220"/>
              <w:spacing w:after="0"/>
              <w:rPr>
                <w:sz w:val="20"/>
                <w:szCs w:val="20"/>
                <w:color w:val="auto"/>
              </w:rPr>
            </w:pPr>
            <w:r>
              <w:rPr>
                <w:rFonts w:ascii="Arial" w:cs="Arial" w:eastAsia="Arial" w:hAnsi="Arial"/>
                <w:sz w:val="16"/>
                <w:szCs w:val="16"/>
                <w:color w:val="auto"/>
              </w:rPr>
              <w:t>293,020</w:t>
            </w:r>
          </w:p>
        </w:tc>
        <w:tc>
          <w:tcPr>
            <w:tcW w:w="6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060" w:type="dxa"/>
            <w:vAlign w:val="bottom"/>
          </w:tcPr>
          <w:p>
            <w:pPr>
              <w:jc w:val="right"/>
              <w:spacing w:after="0"/>
              <w:rPr>
                <w:sz w:val="20"/>
                <w:szCs w:val="20"/>
                <w:color w:val="auto"/>
              </w:rPr>
            </w:pPr>
            <w:r>
              <w:rPr>
                <w:rFonts w:ascii="Arial" w:cs="Arial" w:eastAsia="Arial" w:hAnsi="Arial"/>
                <w:sz w:val="16"/>
                <w:szCs w:val="16"/>
                <w:color w:val="auto"/>
              </w:rPr>
              <w:t>98,911</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funds</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256,523</w:t>
            </w:r>
          </w:p>
        </w:tc>
        <w:tc>
          <w:tcPr>
            <w:tcW w:w="6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920" w:type="dxa"/>
            <w:vAlign w:val="bottom"/>
          </w:tcPr>
          <w:p>
            <w:pPr>
              <w:ind w:left="140"/>
              <w:spacing w:after="0"/>
              <w:rPr>
                <w:sz w:val="20"/>
                <w:szCs w:val="20"/>
                <w:color w:val="auto"/>
              </w:rPr>
            </w:pPr>
            <w:r>
              <w:rPr>
                <w:rFonts w:ascii="Arial" w:cs="Arial" w:eastAsia="Arial" w:hAnsi="Arial"/>
                <w:sz w:val="16"/>
                <w:szCs w:val="16"/>
                <w:color w:val="auto"/>
              </w:rPr>
              <w:t>Hedge funds</w:t>
            </w:r>
          </w:p>
        </w:tc>
        <w:tc>
          <w:tcPr>
            <w:tcW w:w="3100" w:type="dxa"/>
            <w:vAlign w:val="bottom"/>
            <w:gridSpan w:val="3"/>
          </w:tcPr>
          <w:p>
            <w:pPr>
              <w:jc w:val="right"/>
              <w:ind w:right="220"/>
              <w:spacing w:after="0"/>
              <w:rPr>
                <w:sz w:val="20"/>
                <w:szCs w:val="20"/>
                <w:color w:val="auto"/>
              </w:rPr>
            </w:pPr>
            <w:r>
              <w:rPr>
                <w:rFonts w:ascii="Arial" w:cs="Arial" w:eastAsia="Arial" w:hAnsi="Arial"/>
                <w:sz w:val="16"/>
                <w:szCs w:val="16"/>
                <w:color w:val="auto"/>
              </w:rPr>
              <w:t>44,335</w:t>
            </w:r>
          </w:p>
        </w:tc>
        <w:tc>
          <w:tcPr>
            <w:tcW w:w="6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1060" w:type="dxa"/>
            <w:vAlign w:val="bottom"/>
          </w:tcPr>
          <w:p>
            <w:pPr>
              <w:jc w:val="right"/>
              <w:spacing w:after="0"/>
              <w:rPr>
                <w:sz w:val="20"/>
                <w:szCs w:val="20"/>
                <w:color w:val="auto"/>
              </w:rPr>
            </w:pPr>
            <w:r>
              <w:rPr>
                <w:rFonts w:ascii="Arial" w:cs="Arial" w:eastAsia="Arial" w:hAnsi="Arial"/>
                <w:sz w:val="16"/>
                <w:szCs w:val="16"/>
                <w:color w:val="auto"/>
              </w:rPr>
              <w:t>1,062</w:t>
            </w:r>
          </w:p>
        </w:tc>
        <w:tc>
          <w:tcPr>
            <w:tcW w:w="2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instruments</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167,838</w:t>
            </w: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92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b w:val="1"/>
                <w:bCs w:val="1"/>
                <w:color w:val="auto"/>
              </w:rPr>
              <w:t>Subtotal</w:t>
            </w:r>
          </w:p>
        </w:tc>
        <w:tc>
          <w:tcPr>
            <w:tcW w:w="18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8,902,482</w:t>
            </w:r>
          </w:p>
        </w:tc>
        <w:tc>
          <w:tcPr>
            <w:tcW w:w="2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27.2</w:t>
            </w:r>
          </w:p>
        </w:tc>
        <w:tc>
          <w:tcPr>
            <w:tcW w:w="2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9,338,346</w:t>
            </w:r>
          </w:p>
        </w:tc>
        <w:tc>
          <w:tcPr>
            <w:tcW w:w="2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8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32,863,118</w:t>
            </w: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32,862,001</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0" w:type="dxa"/>
            <w:vAlign w:val="bottom"/>
            <w:vMerge w:val="restart"/>
          </w:tcPr>
          <w:p>
            <w:pPr>
              <w:jc w:val="right"/>
              <w:ind w:right="261"/>
              <w:spacing w:after="0"/>
              <w:rPr>
                <w:sz w:val="20"/>
                <w:szCs w:val="20"/>
                <w:color w:val="auto"/>
              </w:rPr>
            </w:pPr>
            <w:r>
              <w:rPr>
                <w:rFonts w:ascii="Arial" w:cs="Arial" w:eastAsia="Arial" w:hAnsi="Arial"/>
                <w:sz w:val="16"/>
                <w:szCs w:val="16"/>
                <w:color w:val="auto"/>
              </w:rPr>
              <w:t>- 136 -</w:t>
            </w: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143" w:name="page144"/>
    <w:bookmarkEnd w:id="143"/>
    <w:p>
      <w:pPr>
        <w:ind w:left="281" w:hanging="281"/>
        <w:spacing w:after="0"/>
        <w:tabs>
          <w:tab w:leader="none" w:pos="28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Concentration of financial instruments exposed to credit risk -</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As of December 31, 2018 and 2017, financial instruments with exposure to credit risk were distributed considering the following economic sectors:</w:t>
      </w:r>
    </w:p>
    <w:p>
      <w:pPr>
        <w:spacing w:after="0" w:line="200" w:lineRule="exact"/>
        <w:rPr>
          <w:sz w:val="20"/>
          <w:szCs w:val="20"/>
          <w:color w:val="auto"/>
        </w:rPr>
      </w:pPr>
    </w:p>
    <w:tbl>
      <w:tblPr>
        <w:tblLayout w:type="fixed"/>
        <w:tblInd w:w="281" w:type="dxa"/>
        <w:tblCellMar>
          <w:top w:w="0" w:type="dxa"/>
          <w:left w:w="0" w:type="dxa"/>
          <w:bottom w:w="0" w:type="dxa"/>
          <w:right w:w="0" w:type="dxa"/>
        </w:tblCellMar>
      </w:tblPr>
      <w:tr>
        <w:trPr>
          <w:trHeight w:val="150"/>
        </w:trPr>
        <w:tc>
          <w:tcPr>
            <w:tcW w:w="17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740" w:type="dxa"/>
            <w:vAlign w:val="bottom"/>
          </w:tcPr>
          <w:p>
            <w:pPr>
              <w:spacing w:after="0"/>
              <w:rPr>
                <w:sz w:val="8"/>
                <w:szCs w:val="8"/>
                <w:color w:val="auto"/>
              </w:rPr>
            </w:pPr>
          </w:p>
        </w:tc>
        <w:tc>
          <w:tcPr>
            <w:tcW w:w="1560" w:type="dxa"/>
            <w:vAlign w:val="bottom"/>
            <w:gridSpan w:val="4"/>
          </w:tcPr>
          <w:p>
            <w:pPr>
              <w:jc w:val="center"/>
              <w:ind w:right="160"/>
              <w:spacing w:after="0" w:line="103" w:lineRule="exact"/>
              <w:rPr>
                <w:sz w:val="20"/>
                <w:szCs w:val="20"/>
                <w:color w:val="auto"/>
              </w:rPr>
            </w:pPr>
            <w:r>
              <w:rPr>
                <w:rFonts w:ascii="Arial" w:cs="Arial" w:eastAsia="Arial" w:hAnsi="Arial"/>
                <w:sz w:val="11"/>
                <w:szCs w:val="11"/>
                <w:b w:val="1"/>
                <w:bCs w:val="1"/>
                <w:color w:val="auto"/>
              </w:rPr>
              <w:t>At fair value</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gridSpan w:val="5"/>
          </w:tcPr>
          <w:p>
            <w:pPr>
              <w:jc w:val="right"/>
              <w:ind w:right="500"/>
              <w:spacing w:after="0" w:line="103" w:lineRule="exact"/>
              <w:rPr>
                <w:sz w:val="20"/>
                <w:szCs w:val="20"/>
                <w:color w:val="auto"/>
              </w:rPr>
            </w:pPr>
            <w:r>
              <w:rPr>
                <w:rFonts w:ascii="Arial" w:cs="Arial" w:eastAsia="Arial" w:hAnsi="Arial"/>
                <w:sz w:val="11"/>
                <w:szCs w:val="11"/>
                <w:b w:val="1"/>
                <w:bCs w:val="1"/>
                <w:color w:val="auto"/>
              </w:rPr>
              <w:t>At fair value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through profit for loss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1"/>
              </w:rPr>
              <w:t>At fair value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93"/>
              </w:rPr>
              <w:t>through profit for loss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740" w:type="dxa"/>
            <w:vAlign w:val="bottom"/>
          </w:tcPr>
          <w:p>
            <w:pPr>
              <w:spacing w:after="0"/>
              <w:rPr>
                <w:sz w:val="7"/>
                <w:szCs w:val="7"/>
                <w:color w:val="auto"/>
              </w:rPr>
            </w:pPr>
          </w:p>
        </w:tc>
        <w:tc>
          <w:tcPr>
            <w:tcW w:w="7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Held for</w:t>
            </w: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Financial</w:t>
            </w: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6"/>
              </w:rPr>
              <w:t>through other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9"/>
              </w:rPr>
              <w:t>Held for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Investments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Investments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7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2"/>
              </w:rPr>
              <w:t>trading,</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5"/>
              </w:rPr>
              <w:t>Designated</w:t>
            </w:r>
          </w:p>
        </w:tc>
        <w:tc>
          <w:tcPr>
            <w:tcW w:w="78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78"/>
              </w:rPr>
              <w:t>assets at</w:t>
            </w:r>
          </w:p>
        </w:tc>
        <w:tc>
          <w:tcPr>
            <w:tcW w:w="1000" w:type="dxa"/>
            <w:vAlign w:val="bottom"/>
            <w:gridSpan w:val="3"/>
          </w:tcPr>
          <w:p>
            <w:pPr>
              <w:jc w:val="center"/>
              <w:ind w:right="40"/>
              <w:spacing w:after="0" w:line="131" w:lineRule="exact"/>
              <w:rPr>
                <w:sz w:val="20"/>
                <w:szCs w:val="20"/>
                <w:color w:val="auto"/>
              </w:rPr>
            </w:pPr>
            <w:r>
              <w:rPr>
                <w:rFonts w:ascii="Arial" w:cs="Arial" w:eastAsia="Arial" w:hAnsi="Arial"/>
                <w:sz w:val="13"/>
                <w:szCs w:val="13"/>
                <w:b w:val="1"/>
                <w:bCs w:val="1"/>
                <w:color w:val="auto"/>
                <w:w w:val="83"/>
              </w:rPr>
              <w:t>comprehensive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Designated</w:t>
            </w: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Loans and</w:t>
            </w:r>
          </w:p>
        </w:tc>
        <w:tc>
          <w:tcPr>
            <w:tcW w:w="8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78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5"/>
              </w:rPr>
              <w:t>hedging and</w:t>
            </w:r>
          </w:p>
        </w:tc>
        <w:tc>
          <w:tcPr>
            <w:tcW w:w="780" w:type="dxa"/>
            <w:vAlign w:val="bottom"/>
            <w:gridSpan w:val="2"/>
            <w:vMerge w:val="continue"/>
          </w:tcPr>
          <w:p>
            <w:pPr>
              <w:spacing w:after="0"/>
              <w:rPr>
                <w:sz w:val="11"/>
                <w:szCs w:val="11"/>
                <w:color w:val="auto"/>
              </w:rPr>
            </w:pPr>
          </w:p>
        </w:tc>
        <w:tc>
          <w:tcPr>
            <w:tcW w:w="78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7"/>
              </w:rPr>
              <w:t>amortized</w:t>
            </w: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3"/>
              </w:rPr>
              <w:t>income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3"/>
          </w:tcPr>
          <w:p>
            <w:pPr>
              <w:jc w:val="center"/>
              <w:spacing w:after="0" w:line="131" w:lineRule="exact"/>
              <w:rPr>
                <w:sz w:val="20"/>
                <w:szCs w:val="20"/>
                <w:color w:val="auto"/>
              </w:rPr>
            </w:pPr>
            <w:r>
              <w:rPr>
                <w:rFonts w:ascii="Arial" w:cs="Arial" w:eastAsia="Arial" w:hAnsi="Arial"/>
                <w:sz w:val="13"/>
                <w:szCs w:val="13"/>
                <w:b w:val="1"/>
                <w:bCs w:val="1"/>
                <w:color w:val="auto"/>
                <w:w w:val="90"/>
              </w:rPr>
              <w:t>trading and</w:t>
            </w: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available-</w:t>
            </w:r>
          </w:p>
        </w:tc>
        <w:tc>
          <w:tcPr>
            <w:tcW w:w="8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7"/>
              </w:rPr>
              <w:t>held-to</w:t>
            </w:r>
          </w:p>
        </w:tc>
        <w:tc>
          <w:tcPr>
            <w:tcW w:w="7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others (*)</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at inception</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cost</w:t>
            </w:r>
          </w:p>
        </w:tc>
        <w:tc>
          <w:tcPr>
            <w:tcW w:w="8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investments</w:t>
            </w: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hedging</w:t>
            </w:r>
          </w:p>
        </w:tc>
        <w:tc>
          <w:tcPr>
            <w:tcW w:w="8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4"/>
              </w:rPr>
              <w:t>at inception</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receivables</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for-sale</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maturity</w:t>
            </w:r>
          </w:p>
        </w:tc>
        <w:tc>
          <w:tcPr>
            <w:tcW w:w="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S/(000)</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99"/>
              </w:rPr>
              <w:t>Central Reserve Bank of Peru</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16,307,372</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9,830,911</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26,138,283</w:t>
            </w:r>
          </w:p>
        </w:tc>
        <w:tc>
          <w:tcPr>
            <w:tcW w:w="7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2,102,331</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21,630,506</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7,925,997</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31,658,834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Financial services</w:t>
            </w: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rPr>
              <w:t>1,640,578</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161,498</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13,237,970</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2,462,343</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17,502,389</w:t>
            </w:r>
          </w:p>
        </w:tc>
        <w:tc>
          <w:tcPr>
            <w:tcW w:w="7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1,057,679</w:t>
            </w: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320,619</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11,892,190</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4,700,343</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98,866</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18,069,697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Manufacturing</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97,425</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38,586</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16,840,385</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1,337,907</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18,314,303</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23,277</w:t>
            </w: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29,508</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14,363,997</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1,529,261</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13,135</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15,959,178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Mortgage loans</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16,997,464</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16,997,464</w:t>
            </w:r>
          </w:p>
        </w:tc>
        <w:tc>
          <w:tcPr>
            <w:tcW w:w="7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14,638,363</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14,638,363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Consumer loans</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13,384,611</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13,384,611</w:t>
            </w:r>
          </w:p>
        </w:tc>
        <w:tc>
          <w:tcPr>
            <w:tcW w:w="7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10,816,588</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10,816,588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Micro-business loans</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13,150,811</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13,150,811</w:t>
            </w:r>
          </w:p>
        </w:tc>
        <w:tc>
          <w:tcPr>
            <w:tcW w:w="7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12,897,206</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12,897,206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Commerce</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27,021</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11,377</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12,752,836</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330,492</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13,121,726</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52,453</w:t>
            </w: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45,130</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11,682,985</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248,396</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17,950</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12,046,914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740" w:type="dxa"/>
            <w:vAlign w:val="bottom"/>
          </w:tcPr>
          <w:p>
            <w:pPr>
              <w:spacing w:after="0" w:line="114" w:lineRule="exact"/>
              <w:rPr>
                <w:sz w:val="20"/>
                <w:szCs w:val="20"/>
                <w:color w:val="auto"/>
              </w:rPr>
            </w:pPr>
            <w:r>
              <w:rPr>
                <w:rFonts w:ascii="Arial" w:cs="Arial" w:eastAsia="Arial" w:hAnsi="Arial"/>
                <w:sz w:val="13"/>
                <w:szCs w:val="13"/>
                <w:color w:val="auto"/>
              </w:rPr>
              <w:t>Government and public</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120"/>
              <w:spacing w:after="0" w:line="146" w:lineRule="exact"/>
              <w:rPr>
                <w:sz w:val="20"/>
                <w:szCs w:val="20"/>
                <w:color w:val="auto"/>
              </w:rPr>
            </w:pPr>
            <w:r>
              <w:rPr>
                <w:rFonts w:ascii="Arial" w:cs="Arial" w:eastAsia="Arial" w:hAnsi="Arial"/>
                <w:sz w:val="13"/>
                <w:szCs w:val="13"/>
                <w:color w:val="auto"/>
              </w:rPr>
              <w:t>administration</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1,790,176</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41,060</w:t>
            </w:r>
          </w:p>
        </w:tc>
        <w:tc>
          <w:tcPr>
            <w:tcW w:w="7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4,768,891</w:t>
            </w:r>
          </w:p>
        </w:tc>
        <w:tc>
          <w:tcPr>
            <w:tcW w:w="1000" w:type="dxa"/>
            <w:vAlign w:val="bottom"/>
            <w:gridSpan w:val="3"/>
          </w:tcPr>
          <w:p>
            <w:pPr>
              <w:jc w:val="right"/>
              <w:ind w:right="140"/>
              <w:spacing w:after="0" w:line="146" w:lineRule="exact"/>
              <w:rPr>
                <w:sz w:val="20"/>
                <w:szCs w:val="20"/>
                <w:color w:val="auto"/>
              </w:rPr>
            </w:pPr>
            <w:r>
              <w:rPr>
                <w:rFonts w:ascii="Arial" w:cs="Arial" w:eastAsia="Arial" w:hAnsi="Arial"/>
                <w:sz w:val="13"/>
                <w:szCs w:val="13"/>
                <w:color w:val="auto"/>
              </w:rPr>
              <w:t>5,547,253</w:t>
            </w:r>
          </w:p>
        </w:tc>
        <w:tc>
          <w:tcPr>
            <w:tcW w:w="8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12,147,380</w:t>
            </w: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1,287,212</w:t>
            </w:r>
          </w:p>
        </w:tc>
        <w:tc>
          <w:tcPr>
            <w:tcW w:w="60" w:type="dxa"/>
            <w:vAlign w:val="bottom"/>
          </w:tcPr>
          <w:p>
            <w:pPr>
              <w:spacing w:after="0"/>
              <w:rPr>
                <w:sz w:val="12"/>
                <w:szCs w:val="12"/>
                <w:color w:val="auto"/>
              </w:rPr>
            </w:pPr>
          </w:p>
        </w:tc>
        <w:tc>
          <w:tcPr>
            <w:tcW w:w="840" w:type="dxa"/>
            <w:vAlign w:val="bottom"/>
            <w:gridSpan w:val="3"/>
          </w:tcPr>
          <w:p>
            <w:pPr>
              <w:jc w:val="right"/>
              <w:ind w:right="140"/>
              <w:spacing w:after="0" w:line="146" w:lineRule="exact"/>
              <w:rPr>
                <w:sz w:val="20"/>
                <w:szCs w:val="20"/>
                <w:color w:val="auto"/>
              </w:rPr>
            </w:pPr>
            <w:r>
              <w:rPr>
                <w:rFonts w:ascii="Arial" w:cs="Arial" w:eastAsia="Arial" w:hAnsi="Arial"/>
                <w:sz w:val="13"/>
                <w:szCs w:val="13"/>
                <w:color w:val="auto"/>
              </w:rPr>
              <w:t>40,480</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450,174</w:t>
            </w:r>
          </w:p>
        </w:tc>
        <w:tc>
          <w:tcPr>
            <w:tcW w:w="8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5,220,054</w:t>
            </w:r>
          </w:p>
        </w:tc>
        <w:tc>
          <w:tcPr>
            <w:tcW w:w="8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4,164,128</w:t>
            </w:r>
          </w:p>
        </w:tc>
        <w:tc>
          <w:tcPr>
            <w:tcW w:w="72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11,162,048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Electricity, gas and water</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101,939</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42,705</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4,312,044</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1,940,604</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6,397,292</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79,825</w:t>
            </w: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52,521</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4,148,658</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1,918,317</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56,331</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6,255,652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Community services</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4,459,532</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7,391</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4,466,923</w:t>
            </w:r>
          </w:p>
        </w:tc>
        <w:tc>
          <w:tcPr>
            <w:tcW w:w="7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4,408,494</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34,495</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4,442,989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74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9"/>
              </w:rPr>
              <w:t>Communications, storage and</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transportation</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24,678</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36,794</w:t>
            </w:r>
          </w:p>
        </w:tc>
        <w:tc>
          <w:tcPr>
            <w:tcW w:w="7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4,377,933</w:t>
            </w:r>
          </w:p>
        </w:tc>
        <w:tc>
          <w:tcPr>
            <w:tcW w:w="1000" w:type="dxa"/>
            <w:vAlign w:val="bottom"/>
            <w:gridSpan w:val="3"/>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1,279,371</w:t>
            </w:r>
          </w:p>
        </w:tc>
        <w:tc>
          <w:tcPr>
            <w:tcW w:w="8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5,718,776</w:t>
            </w:r>
          </w:p>
        </w:tc>
        <w:tc>
          <w:tcPr>
            <w:tcW w:w="76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8,285</w:t>
            </w:r>
          </w:p>
        </w:tc>
        <w:tc>
          <w:tcPr>
            <w:tcW w:w="840" w:type="dxa"/>
            <w:vAlign w:val="bottom"/>
            <w:gridSpan w:val="3"/>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3,991,424</w:t>
            </w: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1,182,783</w:t>
            </w:r>
          </w:p>
        </w:tc>
        <w:tc>
          <w:tcPr>
            <w:tcW w:w="8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34,477</w:t>
            </w:r>
          </w:p>
        </w:tc>
        <w:tc>
          <w:tcPr>
            <w:tcW w:w="72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5,216,969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Mining</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31,094</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5,749</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2,661,615</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154,188</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2,852,646</w:t>
            </w:r>
          </w:p>
        </w:tc>
        <w:tc>
          <w:tcPr>
            <w:tcW w:w="76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7,728</w:t>
            </w: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29,249</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3,031,376</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329,773</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3,398,126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Construction</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15,068</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1,913</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1,848,063</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372,827</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2,237,871</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51,812</w:t>
            </w: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17,820</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1,790,431</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400,386</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9,333</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2,269,782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Agriculture</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13,440</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2,546,889</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45,425</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2,605,754</w:t>
            </w:r>
          </w:p>
        </w:tc>
        <w:tc>
          <w:tcPr>
            <w:tcW w:w="76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3,342</w:t>
            </w: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2,272,312</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5,447</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2,281,101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Insurance</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19,106</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1,862,688</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1,881,794</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6,664</w:t>
            </w: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1,529,342</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1,536,006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Education, health and others</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5,419</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21,518</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1,296,293</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399,752</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1,722,982</w:t>
            </w:r>
          </w:p>
        </w:tc>
        <w:tc>
          <w:tcPr>
            <w:tcW w:w="76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5,279</w:t>
            </w: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2,358</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1,494,635</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213,181</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1,715,453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Real estate and leasing</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62,597</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159,986</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6,423,262</w:t>
            </w:r>
          </w:p>
        </w:tc>
        <w:tc>
          <w:tcPr>
            <w:tcW w:w="10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1,455,551</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8,101,396</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10,391</w:t>
            </w:r>
          </w:p>
        </w:tc>
        <w:tc>
          <w:tcPr>
            <w:tcW w:w="8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5,306,353</w:t>
            </w: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77,161</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5,393,905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1" w:lineRule="exact"/>
              <w:rPr>
                <w:sz w:val="20"/>
                <w:szCs w:val="20"/>
                <w:color w:val="auto"/>
              </w:rPr>
            </w:pPr>
            <w:r>
              <w:rPr>
                <w:rFonts w:ascii="Arial" w:cs="Arial" w:eastAsia="Arial" w:hAnsi="Arial"/>
                <w:sz w:val="13"/>
                <w:szCs w:val="13"/>
                <w:color w:val="auto"/>
              </w:rPr>
              <w:t>Fishing</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3,416</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445,603</w:t>
            </w:r>
          </w:p>
        </w:tc>
        <w:tc>
          <w:tcPr>
            <w:tcW w:w="100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449,019</w:t>
            </w:r>
          </w:p>
        </w:tc>
        <w:tc>
          <w:tcPr>
            <w:tcW w:w="76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1,689</w:t>
            </w:r>
          </w:p>
        </w:tc>
        <w:tc>
          <w:tcPr>
            <w:tcW w:w="84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394,287</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395,976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Others</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446,805</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3,542,776</w:t>
            </w:r>
          </w:p>
        </w:tc>
        <w:tc>
          <w:tcPr>
            <w:tcW w:w="100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31,820</w:t>
            </w: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4,021,401</w:t>
            </w:r>
          </w:p>
        </w:tc>
        <w:tc>
          <w:tcPr>
            <w:tcW w:w="76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28,596</w:t>
            </w:r>
          </w:p>
        </w:tc>
        <w:tc>
          <w:tcPr>
            <w:tcW w:w="84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3,604,046</w:t>
            </w: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638,297</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19,153</w:t>
            </w:r>
          </w:p>
        </w:tc>
        <w:tc>
          <w:tcPr>
            <w:tcW w:w="7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4,290,092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40" w:type="dxa"/>
            <w:vAlign w:val="bottom"/>
          </w:tcPr>
          <w:p>
            <w:pPr>
              <w:spacing w:after="0" w:line="134"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4,278,762</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521,186</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141,217,038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25,195,835</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171,212,821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4,726,563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537,685</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130,343,367</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24,423,891</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4,413,373</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4"/>
              </w:rPr>
              <w:t>164,444,879</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  It includes non-trading investments that did not pass SPPI test.</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041"/>
          </w:cols>
          <w:pgMar w:left="519" w:top="815"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As of December 31, 2018 and 2017 financial instruments with exposure to credit risk were distributed by the following geographical areas: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7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537"/>
              <w:spacing w:after="0"/>
              <w:rPr>
                <w:sz w:val="20"/>
                <w:szCs w:val="20"/>
                <w:color w:val="auto"/>
              </w:rPr>
            </w:pPr>
            <w:r>
              <w:rPr>
                <w:rFonts w:ascii="Arial" w:cs="Arial" w:eastAsia="Arial" w:hAnsi="Arial"/>
                <w:sz w:val="13"/>
                <w:szCs w:val="13"/>
                <w:b w:val="1"/>
                <w:bCs w:val="1"/>
                <w:color w:val="auto"/>
                <w:w w:val="82"/>
              </w:rPr>
              <w:t>2017</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700" w:type="dxa"/>
            <w:vAlign w:val="bottom"/>
          </w:tcPr>
          <w:p>
            <w:pPr>
              <w:spacing w:after="0"/>
              <w:rPr>
                <w:sz w:val="8"/>
                <w:szCs w:val="8"/>
                <w:color w:val="auto"/>
              </w:rPr>
            </w:pPr>
          </w:p>
        </w:tc>
        <w:tc>
          <w:tcPr>
            <w:tcW w:w="1580" w:type="dxa"/>
            <w:vAlign w:val="bottom"/>
            <w:gridSpan w:val="4"/>
          </w:tcPr>
          <w:p>
            <w:pPr>
              <w:jc w:val="right"/>
              <w:ind w:right="520"/>
              <w:spacing w:after="0" w:line="103" w:lineRule="exact"/>
              <w:rPr>
                <w:sz w:val="20"/>
                <w:szCs w:val="20"/>
                <w:color w:val="auto"/>
              </w:rPr>
            </w:pPr>
            <w:r>
              <w:rPr>
                <w:rFonts w:ascii="Arial" w:cs="Arial" w:eastAsia="Arial" w:hAnsi="Arial"/>
                <w:sz w:val="11"/>
                <w:szCs w:val="11"/>
                <w:b w:val="1"/>
                <w:bCs w:val="1"/>
                <w:color w:val="auto"/>
              </w:rPr>
              <w:t>At fair value</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5"/>
          </w:tcPr>
          <w:p>
            <w:pPr>
              <w:jc w:val="center"/>
              <w:ind w:right="160"/>
              <w:spacing w:after="0" w:line="103" w:lineRule="exact"/>
              <w:rPr>
                <w:sz w:val="20"/>
                <w:szCs w:val="20"/>
                <w:color w:val="auto"/>
              </w:rPr>
            </w:pPr>
            <w:r>
              <w:rPr>
                <w:rFonts w:ascii="Arial" w:cs="Arial" w:eastAsia="Arial" w:hAnsi="Arial"/>
                <w:sz w:val="11"/>
                <w:szCs w:val="11"/>
                <w:b w:val="1"/>
                <w:bCs w:val="1"/>
                <w:color w:val="auto"/>
              </w:rPr>
              <w:t>At fair value</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5"/>
              </w:rPr>
              <w:t>through profit for loss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1"/>
              </w:rPr>
              <w:t>At fair value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7"/>
              </w:rPr>
              <w:t>through profit for loss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700" w:type="dxa"/>
            <w:vAlign w:val="bottom"/>
          </w:tcPr>
          <w:p>
            <w:pPr>
              <w:spacing w:after="0"/>
              <w:rPr>
                <w:sz w:val="7"/>
                <w:szCs w:val="7"/>
                <w:color w:val="auto"/>
              </w:rPr>
            </w:pPr>
          </w:p>
        </w:tc>
        <w:tc>
          <w:tcPr>
            <w:tcW w:w="8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Held for</w:t>
            </w:r>
          </w:p>
        </w:tc>
        <w:tc>
          <w:tcPr>
            <w:tcW w:w="6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Financial</w:t>
            </w:r>
          </w:p>
        </w:tc>
        <w:tc>
          <w:tcPr>
            <w:tcW w:w="96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9"/>
              </w:rPr>
              <w:t>through other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Held for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6"/>
              </w:rPr>
              <w:t>Investments</w:t>
            </w: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84"/>
              </w:rPr>
              <w:t>Investments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8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8"/>
              </w:rPr>
              <w:t>trading,</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5"/>
              </w:rPr>
              <w:t>Designated</w:t>
            </w:r>
          </w:p>
        </w:tc>
        <w:tc>
          <w:tcPr>
            <w:tcW w:w="88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2"/>
              </w:rPr>
              <w:t>assets at</w:t>
            </w:r>
          </w:p>
        </w:tc>
        <w:tc>
          <w:tcPr>
            <w:tcW w:w="9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3"/>
              </w:rPr>
              <w:t>comprehensive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Designated</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Loans and</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8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hedging and</w:t>
            </w:r>
          </w:p>
        </w:tc>
        <w:tc>
          <w:tcPr>
            <w:tcW w:w="780" w:type="dxa"/>
            <w:vAlign w:val="bottom"/>
            <w:gridSpan w:val="2"/>
            <w:vMerge w:val="continue"/>
          </w:tcPr>
          <w:p>
            <w:pPr>
              <w:spacing w:after="0"/>
              <w:rPr>
                <w:sz w:val="11"/>
                <w:szCs w:val="11"/>
                <w:color w:val="auto"/>
              </w:rPr>
            </w:pPr>
          </w:p>
        </w:tc>
        <w:tc>
          <w:tcPr>
            <w:tcW w:w="88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amortized</w:t>
            </w:r>
          </w:p>
        </w:tc>
        <w:tc>
          <w:tcPr>
            <w:tcW w:w="9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3"/>
              </w:rPr>
              <w:t>income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800" w:type="dxa"/>
            <w:vAlign w:val="bottom"/>
            <w:gridSpan w:val="3"/>
          </w:tcPr>
          <w:p>
            <w:pPr>
              <w:jc w:val="center"/>
              <w:spacing w:after="0" w:line="131" w:lineRule="exact"/>
              <w:rPr>
                <w:sz w:val="20"/>
                <w:szCs w:val="20"/>
                <w:color w:val="auto"/>
              </w:rPr>
            </w:pPr>
            <w:r>
              <w:rPr>
                <w:rFonts w:ascii="Arial" w:cs="Arial" w:eastAsia="Arial" w:hAnsi="Arial"/>
                <w:sz w:val="13"/>
                <w:szCs w:val="13"/>
                <w:b w:val="1"/>
                <w:bCs w:val="1"/>
                <w:color w:val="auto"/>
                <w:w w:val="90"/>
              </w:rPr>
              <w:t>trading and</w:t>
            </w: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7"/>
              </w:rPr>
              <w:t>available-</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held-to</w:t>
            </w:r>
          </w:p>
        </w:tc>
        <w:tc>
          <w:tcPr>
            <w:tcW w:w="8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others (*)</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at inception</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cost</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investments</w:t>
            </w: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hedging</w:t>
            </w: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at inception</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4"/>
              </w:rPr>
              <w:t>receivables</w:t>
            </w:r>
          </w:p>
        </w:tc>
        <w:tc>
          <w:tcPr>
            <w:tcW w:w="16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for-sale</w:t>
            </w: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maturity</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Peru</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839,713</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121,725</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124,349,120</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19,640,847</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w w:val="96"/>
              </w:rPr>
              <w:t>144,951,405</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2,394,575</w:t>
            </w:r>
          </w:p>
        </w:tc>
        <w:tc>
          <w:tcPr>
            <w:tcW w:w="88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118,396</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114,046,024</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17,324,374</w:t>
            </w: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3,900,388</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9"/>
              </w:rPr>
              <w:t>137,783,757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1" w:lineRule="exact"/>
              <w:rPr>
                <w:sz w:val="20"/>
                <w:szCs w:val="20"/>
                <w:color w:val="auto"/>
              </w:rPr>
            </w:pPr>
            <w:r>
              <w:rPr>
                <w:rFonts w:ascii="Arial" w:cs="Arial" w:eastAsia="Arial" w:hAnsi="Arial"/>
                <w:sz w:val="13"/>
                <w:szCs w:val="13"/>
                <w:color w:val="auto"/>
              </w:rPr>
              <w:t>United Stated of America</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476,593</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241,743</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1,538,853</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2,616,120</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4,873,309</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195,955</w:t>
            </w:r>
          </w:p>
        </w:tc>
        <w:tc>
          <w:tcPr>
            <w:tcW w:w="88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291,295</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1,757,745</w:t>
            </w:r>
          </w:p>
        </w:tc>
        <w:tc>
          <w:tcPr>
            <w:tcW w:w="94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3,049,957</w:t>
            </w:r>
          </w:p>
        </w:tc>
        <w:tc>
          <w:tcPr>
            <w:tcW w:w="90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111,122</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5,406,074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Bolivia</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716,740</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8,531,311</w:t>
            </w: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514,845</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9,762,896</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13,372</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7,516,991</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1,213,397</w:t>
            </w: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8,743,760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1" w:lineRule="exact"/>
              <w:rPr>
                <w:sz w:val="20"/>
                <w:szCs w:val="20"/>
                <w:color w:val="auto"/>
              </w:rPr>
            </w:pPr>
            <w:r>
              <w:rPr>
                <w:rFonts w:ascii="Arial" w:cs="Arial" w:eastAsia="Arial" w:hAnsi="Arial"/>
                <w:sz w:val="13"/>
                <w:szCs w:val="13"/>
                <w:color w:val="auto"/>
              </w:rPr>
              <w:t>Colombia</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1,450,342</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23,274</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2,214,653</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492,121</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4,180,390</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1,324,999</w:t>
            </w:r>
          </w:p>
        </w:tc>
        <w:tc>
          <w:tcPr>
            <w:tcW w:w="88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28,510</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1,619,679</w:t>
            </w:r>
          </w:p>
        </w:tc>
        <w:tc>
          <w:tcPr>
            <w:tcW w:w="94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590,387</w:t>
            </w:r>
          </w:p>
        </w:tc>
        <w:tc>
          <w:tcPr>
            <w:tcW w:w="90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138,941</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3,702,516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Panama</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5,406</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663,326</w:t>
            </w: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56,780</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725,512</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4,909</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498,512</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48,531</w:t>
            </w: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551,952</w:t>
            </w:r>
          </w:p>
        </w:tc>
        <w:tc>
          <w:tcPr>
            <w:tcW w:w="0" w:type="dxa"/>
            <w:vAlign w:val="bottom"/>
          </w:tcPr>
          <w:p>
            <w:pPr>
              <w:spacing w:after="0"/>
              <w:rPr>
                <w:sz w:val="1"/>
                <w:szCs w:val="1"/>
                <w:color w:val="auto"/>
              </w:rPr>
            </w:pPr>
          </w:p>
        </w:tc>
      </w:tr>
      <w:tr>
        <w:trPr>
          <w:trHeight w:val="130"/>
        </w:trPr>
        <w:tc>
          <w:tcPr>
            <w:tcW w:w="1700" w:type="dxa"/>
            <w:vAlign w:val="bottom"/>
          </w:tcPr>
          <w:p>
            <w:pPr>
              <w:spacing w:after="0" w:line="131" w:lineRule="exact"/>
              <w:rPr>
                <w:sz w:val="20"/>
                <w:szCs w:val="20"/>
                <w:color w:val="auto"/>
              </w:rPr>
            </w:pPr>
            <w:r>
              <w:rPr>
                <w:rFonts w:ascii="Arial" w:cs="Arial" w:eastAsia="Arial" w:hAnsi="Arial"/>
                <w:sz w:val="13"/>
                <w:szCs w:val="13"/>
                <w:color w:val="auto"/>
              </w:rPr>
              <w:t>Chile</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306,299</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41,290</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1,868,149</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677,740</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2,893,478</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411,276</w:t>
            </w:r>
          </w:p>
        </w:tc>
        <w:tc>
          <w:tcPr>
            <w:tcW w:w="88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22,154</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1,906,346</w:t>
            </w:r>
          </w:p>
        </w:tc>
        <w:tc>
          <w:tcPr>
            <w:tcW w:w="94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379,465</w:t>
            </w:r>
          </w:p>
        </w:tc>
        <w:tc>
          <w:tcPr>
            <w:tcW w:w="90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72,004</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2,791,245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Brazil</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7,773</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436,580</w:t>
            </w: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17,074</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461,427</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22,476</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193,120</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44,062</w:t>
            </w:r>
          </w:p>
        </w:tc>
        <w:tc>
          <w:tcPr>
            <w:tcW w:w="90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111,168</w:t>
            </w: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370,826</w:t>
            </w:r>
          </w:p>
        </w:tc>
        <w:tc>
          <w:tcPr>
            <w:tcW w:w="0" w:type="dxa"/>
            <w:vAlign w:val="bottom"/>
          </w:tcPr>
          <w:p>
            <w:pPr>
              <w:spacing w:after="0"/>
              <w:rPr>
                <w:sz w:val="1"/>
                <w:szCs w:val="1"/>
                <w:color w:val="auto"/>
              </w:rPr>
            </w:pPr>
          </w:p>
        </w:tc>
      </w:tr>
      <w:tr>
        <w:trPr>
          <w:trHeight w:val="130"/>
        </w:trPr>
        <w:tc>
          <w:tcPr>
            <w:tcW w:w="1700" w:type="dxa"/>
            <w:vAlign w:val="bottom"/>
          </w:tcPr>
          <w:p>
            <w:pPr>
              <w:spacing w:after="0" w:line="131" w:lineRule="exact"/>
              <w:rPr>
                <w:sz w:val="20"/>
                <w:szCs w:val="20"/>
                <w:color w:val="auto"/>
              </w:rPr>
            </w:pPr>
            <w:r>
              <w:rPr>
                <w:rFonts w:ascii="Arial" w:cs="Arial" w:eastAsia="Arial" w:hAnsi="Arial"/>
                <w:sz w:val="13"/>
                <w:szCs w:val="13"/>
                <w:color w:val="auto"/>
              </w:rPr>
              <w:t>Mexico</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51,091</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12,206</w:t>
            </w:r>
          </w:p>
        </w:tc>
        <w:tc>
          <w:tcPr>
            <w:tcW w:w="8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147,632</w:t>
            </w: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286,235</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497,164</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19,570</w:t>
            </w:r>
          </w:p>
        </w:tc>
        <w:tc>
          <w:tcPr>
            <w:tcW w:w="88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30,148</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80,844</w:t>
            </w:r>
          </w:p>
        </w:tc>
        <w:tc>
          <w:tcPr>
            <w:tcW w:w="94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329,679</w:t>
            </w:r>
          </w:p>
        </w:tc>
        <w:tc>
          <w:tcPr>
            <w:tcW w:w="90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70,072</w:t>
            </w:r>
          </w:p>
        </w:tc>
        <w:tc>
          <w:tcPr>
            <w:tcW w:w="82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530,313</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Canada</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9,478</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30,537</w:t>
            </w: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91,832</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131,847</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14,804</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39,477</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74,533</w:t>
            </w: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128,814</w:t>
            </w:r>
          </w:p>
        </w:tc>
        <w:tc>
          <w:tcPr>
            <w:tcW w:w="0" w:type="dxa"/>
            <w:vAlign w:val="bottom"/>
          </w:tcPr>
          <w:p>
            <w:pPr>
              <w:spacing w:after="0"/>
              <w:rPr>
                <w:sz w:val="1"/>
                <w:szCs w:val="1"/>
                <w:color w:val="auto"/>
              </w:rPr>
            </w:pPr>
          </w:p>
        </w:tc>
      </w:tr>
      <w:tr>
        <w:trPr>
          <w:trHeight w:val="130"/>
        </w:trPr>
        <w:tc>
          <w:tcPr>
            <w:tcW w:w="1700" w:type="dxa"/>
            <w:vAlign w:val="bottom"/>
          </w:tcPr>
          <w:p>
            <w:pPr>
              <w:spacing w:after="0" w:line="131" w:lineRule="exact"/>
              <w:rPr>
                <w:sz w:val="20"/>
                <w:szCs w:val="20"/>
                <w:color w:val="auto"/>
              </w:rPr>
            </w:pPr>
            <w:r>
              <w:rPr>
                <w:rFonts w:ascii="Arial" w:cs="Arial" w:eastAsia="Arial" w:hAnsi="Arial"/>
                <w:sz w:val="13"/>
                <w:szCs w:val="13"/>
                <w:b w:val="1"/>
                <w:bCs w:val="1"/>
                <w:color w:val="auto"/>
              </w:rPr>
              <w:t>Europe: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United Kingdom</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192,141</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18,451</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116,262</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126,811</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453,665</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231,336</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112,869</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172,932</w:t>
            </w:r>
          </w:p>
        </w:tc>
        <w:tc>
          <w:tcPr>
            <w:tcW w:w="90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3,132</w:t>
            </w: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520,269</w:t>
            </w:r>
          </w:p>
        </w:tc>
        <w:tc>
          <w:tcPr>
            <w:tcW w:w="0" w:type="dxa"/>
            <w:vAlign w:val="bottom"/>
          </w:tcPr>
          <w:p>
            <w:pPr>
              <w:spacing w:after="0"/>
              <w:rPr>
                <w:sz w:val="1"/>
                <w:szCs w:val="1"/>
                <w:color w:val="auto"/>
              </w:rPr>
            </w:pPr>
          </w:p>
        </w:tc>
      </w:tr>
      <w:tr>
        <w:trPr>
          <w:trHeight w:val="130"/>
        </w:trPr>
        <w:tc>
          <w:tcPr>
            <w:tcW w:w="1700" w:type="dxa"/>
            <w:vAlign w:val="bottom"/>
          </w:tcPr>
          <w:p>
            <w:pPr>
              <w:ind w:left="140"/>
              <w:spacing w:after="0" w:line="131" w:lineRule="exact"/>
              <w:rPr>
                <w:sz w:val="20"/>
                <w:szCs w:val="20"/>
                <w:color w:val="auto"/>
              </w:rPr>
            </w:pPr>
            <w:r>
              <w:rPr>
                <w:rFonts w:ascii="Arial" w:cs="Arial" w:eastAsia="Arial" w:hAnsi="Arial"/>
                <w:sz w:val="13"/>
                <w:szCs w:val="13"/>
                <w:color w:val="auto"/>
              </w:rPr>
              <w:t>Others in Europe</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54,252</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15,244</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115,467</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103,970</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288,933</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2,215</w:t>
            </w:r>
          </w:p>
        </w:tc>
        <w:tc>
          <w:tcPr>
            <w:tcW w:w="72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131,983</w:t>
            </w:r>
          </w:p>
        </w:tc>
        <w:tc>
          <w:tcPr>
            <w:tcW w:w="94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269,958</w:t>
            </w:r>
          </w:p>
        </w:tc>
        <w:tc>
          <w:tcPr>
            <w:tcW w:w="7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404,156</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France</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119,572</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7,961</w:t>
            </w: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63,855</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191,388</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90,845</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12,883</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48,649</w:t>
            </w:r>
          </w:p>
        </w:tc>
        <w:tc>
          <w:tcPr>
            <w:tcW w:w="90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1,639</w:t>
            </w: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154,016</w:t>
            </w:r>
          </w:p>
        </w:tc>
        <w:tc>
          <w:tcPr>
            <w:tcW w:w="0" w:type="dxa"/>
            <w:vAlign w:val="bottom"/>
          </w:tcPr>
          <w:p>
            <w:pPr>
              <w:spacing w:after="0"/>
              <w:rPr>
                <w:sz w:val="1"/>
                <w:szCs w:val="1"/>
                <w:color w:val="auto"/>
              </w:rPr>
            </w:pPr>
          </w:p>
        </w:tc>
      </w:tr>
      <w:tr>
        <w:trPr>
          <w:trHeight w:val="130"/>
        </w:trPr>
        <w:tc>
          <w:tcPr>
            <w:tcW w:w="1700" w:type="dxa"/>
            <w:vAlign w:val="bottom"/>
          </w:tcPr>
          <w:p>
            <w:pPr>
              <w:ind w:left="140"/>
              <w:spacing w:after="0" w:line="131" w:lineRule="exact"/>
              <w:rPr>
                <w:sz w:val="20"/>
                <w:szCs w:val="20"/>
                <w:color w:val="auto"/>
              </w:rPr>
            </w:pPr>
            <w:r>
              <w:rPr>
                <w:rFonts w:ascii="Arial" w:cs="Arial" w:eastAsia="Arial" w:hAnsi="Arial"/>
                <w:sz w:val="13"/>
                <w:szCs w:val="13"/>
                <w:color w:val="auto"/>
              </w:rPr>
              <w:t>Spain</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8,960</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22,060</w:t>
            </w: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1,322</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32,342</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204,100</w:t>
            </w:r>
          </w:p>
        </w:tc>
        <w:tc>
          <w:tcPr>
            <w:tcW w:w="94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5,048</w:t>
            </w:r>
          </w:p>
        </w:tc>
        <w:tc>
          <w:tcPr>
            <w:tcW w:w="900" w:type="dxa"/>
            <w:vAlign w:val="bottom"/>
            <w:gridSpan w:val="3"/>
          </w:tcPr>
          <w:p>
            <w:pPr>
              <w:jc w:val="right"/>
              <w:ind w:right="160"/>
              <w:spacing w:after="0" w:line="131" w:lineRule="exact"/>
              <w:rPr>
                <w:sz w:val="20"/>
                <w:szCs w:val="20"/>
                <w:color w:val="auto"/>
              </w:rPr>
            </w:pPr>
            <w:r>
              <w:rPr>
                <w:rFonts w:ascii="Arial" w:cs="Arial" w:eastAsia="Arial" w:hAnsi="Arial"/>
                <w:sz w:val="13"/>
                <w:szCs w:val="13"/>
                <w:color w:val="auto"/>
              </w:rPr>
              <w:t>3,269</w:t>
            </w:r>
          </w:p>
        </w:tc>
        <w:tc>
          <w:tcPr>
            <w:tcW w:w="82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212,417</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Switzerland</w:t>
            </w: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1,315</w:t>
            </w:r>
          </w:p>
        </w:tc>
        <w:tc>
          <w:tcPr>
            <w:tcW w:w="7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91,029</w:t>
            </w:r>
          </w:p>
        </w:tc>
        <w:tc>
          <w:tcPr>
            <w:tcW w:w="9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23,785</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116,129</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231</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89,718</w:t>
            </w:r>
          </w:p>
        </w:tc>
        <w:tc>
          <w:tcPr>
            <w:tcW w:w="9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47,027</w:t>
            </w: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136,976</w:t>
            </w:r>
          </w:p>
        </w:tc>
        <w:tc>
          <w:tcPr>
            <w:tcW w:w="0" w:type="dxa"/>
            <w:vAlign w:val="bottom"/>
          </w:tcPr>
          <w:p>
            <w:pPr>
              <w:spacing w:after="0"/>
              <w:rPr>
                <w:sz w:val="1"/>
                <w:szCs w:val="1"/>
                <w:color w:val="auto"/>
              </w:rPr>
            </w:pPr>
          </w:p>
        </w:tc>
      </w:tr>
      <w:tr>
        <w:trPr>
          <w:trHeight w:val="130"/>
        </w:trPr>
        <w:tc>
          <w:tcPr>
            <w:tcW w:w="1700" w:type="dxa"/>
            <w:vAlign w:val="bottom"/>
          </w:tcPr>
          <w:p>
            <w:pPr>
              <w:ind w:left="140"/>
              <w:spacing w:after="0" w:line="131" w:lineRule="exact"/>
              <w:rPr>
                <w:sz w:val="20"/>
                <w:szCs w:val="20"/>
                <w:color w:val="auto"/>
              </w:rPr>
            </w:pPr>
            <w:r>
              <w:rPr>
                <w:rFonts w:ascii="Arial" w:cs="Arial" w:eastAsia="Arial" w:hAnsi="Arial"/>
                <w:sz w:val="13"/>
                <w:szCs w:val="13"/>
                <w:color w:val="auto"/>
              </w:rPr>
              <w:t>Netherlands</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15,390</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989</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16,379</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80"/>
              <w:spacing w:after="0" w:line="131" w:lineRule="exact"/>
              <w:rPr>
                <w:sz w:val="20"/>
                <w:szCs w:val="20"/>
                <w:color w:val="auto"/>
              </w:rPr>
            </w:pPr>
            <w:r>
              <w:rPr>
                <w:rFonts w:ascii="Arial" w:cs="Arial" w:eastAsia="Arial" w:hAnsi="Arial"/>
                <w:sz w:val="13"/>
                <w:szCs w:val="13"/>
                <w:color w:val="auto"/>
              </w:rPr>
              <w:t>54,251</w:t>
            </w:r>
          </w:p>
        </w:tc>
        <w:tc>
          <w:tcPr>
            <w:tcW w:w="7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54,251</w:t>
            </w: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Others</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39,087</w:t>
            </w: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31,863</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1,083,109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482,498</w:t>
            </w: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1,636,557</w:t>
            </w:r>
          </w:p>
        </w:tc>
        <w:tc>
          <w:tcPr>
            <w:tcW w:w="80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47,182</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2,133,076</w:t>
            </w:r>
          </w:p>
        </w:tc>
        <w:tc>
          <w:tcPr>
            <w:tcW w:w="94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771,641</w:t>
            </w:r>
          </w:p>
        </w:tc>
        <w:tc>
          <w:tcPr>
            <w:tcW w:w="90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1,638</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2,953,537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line="134" w:lineRule="exact"/>
              <w:rPr>
                <w:sz w:val="20"/>
                <w:szCs w:val="20"/>
                <w:color w:val="auto"/>
              </w:rPr>
            </w:pPr>
            <w:r>
              <w:rPr>
                <w:rFonts w:ascii="Arial" w:cs="Arial" w:eastAsia="Arial" w:hAnsi="Arial"/>
                <w:sz w:val="13"/>
                <w:szCs w:val="13"/>
                <w:b w:val="1"/>
                <w:bCs w:val="1"/>
                <w:color w:val="auto"/>
              </w:rPr>
              <w:t>Total</w:t>
            </w: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4,278,762</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521,186</w:t>
            </w:r>
          </w:p>
        </w:tc>
        <w:tc>
          <w:tcPr>
            <w:tcW w:w="16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141,217,038</w:t>
            </w:r>
          </w:p>
        </w:tc>
        <w:tc>
          <w:tcPr>
            <w:tcW w:w="1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25,195,835</w:t>
            </w:r>
          </w:p>
        </w:tc>
        <w:tc>
          <w:tcPr>
            <w:tcW w:w="16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171,212,821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4,726,563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537,685</w:t>
            </w:r>
          </w:p>
        </w:tc>
        <w:tc>
          <w:tcPr>
            <w:tcW w:w="16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6"/>
              </w:rPr>
              <w:t>130,343,367</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24,423,891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4,413,373</w:t>
            </w:r>
          </w:p>
        </w:tc>
        <w:tc>
          <w:tcPr>
            <w:tcW w:w="1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99"/>
              </w:rPr>
              <w:t>164,444,879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It includes non-trading investments that did not pass SPPI test.</w:t>
      </w: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80"/>
          </w:cols>
          <w:pgMar w:left="520" w:top="814" w:right="399" w:bottom="1440" w:gutter="0" w:footer="0" w:header="0"/>
        </w:sectPr>
      </w:pPr>
    </w:p>
    <w:bookmarkStart w:id="145" w:name="page146"/>
    <w:bookmarkEnd w:id="145"/>
    <w:p>
      <w:pPr>
        <w:ind w:left="281" w:hanging="281"/>
        <w:spacing w:after="0"/>
        <w:tabs>
          <w:tab w:leader="none" w:pos="28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Offsetting financial assets and liabilities -</w:t>
      </w:r>
    </w:p>
    <w:p>
      <w:pPr>
        <w:spacing w:after="0" w:line="195"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The disclosures set out in the tables below include financial assets and liabilities that:</w:t>
      </w:r>
    </w:p>
    <w:p>
      <w:pPr>
        <w:spacing w:after="0" w:line="195" w:lineRule="exact"/>
        <w:rPr>
          <w:rFonts w:ascii="Arial" w:cs="Arial" w:eastAsia="Arial" w:hAnsi="Arial"/>
          <w:sz w:val="16"/>
          <w:szCs w:val="16"/>
          <w:color w:val="auto"/>
        </w:rPr>
      </w:pPr>
    </w:p>
    <w:p>
      <w:pPr>
        <w:ind w:left="561" w:hanging="276"/>
        <w:spacing w:after="0"/>
        <w:tabs>
          <w:tab w:leader="none" w:pos="56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Are offset in the Group’s consolidated statement of financial position; or</w:t>
      </w:r>
    </w:p>
    <w:p>
      <w:pPr>
        <w:spacing w:after="0" w:line="16" w:lineRule="exact"/>
        <w:rPr>
          <w:rFonts w:ascii="Arial" w:cs="Arial" w:eastAsia="Arial" w:hAnsi="Arial"/>
          <w:sz w:val="16"/>
          <w:szCs w:val="16"/>
          <w:color w:val="auto"/>
        </w:rPr>
      </w:pPr>
    </w:p>
    <w:p>
      <w:pPr>
        <w:ind w:left="561" w:right="160" w:hanging="276"/>
        <w:spacing w:after="0" w:line="254" w:lineRule="auto"/>
        <w:tabs>
          <w:tab w:leader="none" w:pos="56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Are subject to an enforceable master netting arrangement or similar agreement that covers similar financial instruments, irrespective of whether they are offset in the statement of financial position.</w:t>
      </w:r>
    </w:p>
    <w:p>
      <w:pPr>
        <w:spacing w:after="0" w:line="168" w:lineRule="exact"/>
        <w:rPr>
          <w:sz w:val="20"/>
          <w:szCs w:val="20"/>
          <w:color w:val="auto"/>
        </w:rPr>
      </w:pPr>
    </w:p>
    <w:p>
      <w:pPr>
        <w:ind w:left="281"/>
        <w:spacing w:after="0" w:line="254" w:lineRule="auto"/>
        <w:rPr>
          <w:sz w:val="20"/>
          <w:szCs w:val="20"/>
          <w:color w:val="auto"/>
        </w:rPr>
      </w:pPr>
      <w:r>
        <w:rPr>
          <w:rFonts w:ascii="Arial" w:cs="Arial" w:eastAsia="Arial" w:hAnsi="Arial"/>
          <w:sz w:val="16"/>
          <w:szCs w:val="16"/>
          <w:color w:val="auto"/>
        </w:rPr>
        <w:t>Similar agreements include derivative clearing agreements, master repurchase agreements, and master securities lending agreements. Similar financial instruments include derivatives, accounts receivable from reverse repurchase agreements and securities borrowing, payables from repurchase agreements and securities lending and other financial assets and liabilities. Financial instruments such as loans and deposits are not disclosed in the tables below because they are not offset in the statement of financial position.</w:t>
      </w:r>
    </w:p>
    <w:p>
      <w:pPr>
        <w:spacing w:after="0" w:line="169" w:lineRule="exact"/>
        <w:rPr>
          <w:sz w:val="20"/>
          <w:szCs w:val="20"/>
          <w:color w:val="auto"/>
        </w:rPr>
      </w:pPr>
    </w:p>
    <w:p>
      <w:pPr>
        <w:jc w:val="both"/>
        <w:ind w:left="281" w:right="20"/>
        <w:spacing w:after="0" w:line="277" w:lineRule="auto"/>
        <w:rPr>
          <w:sz w:val="20"/>
          <w:szCs w:val="20"/>
          <w:color w:val="auto"/>
        </w:rPr>
      </w:pPr>
      <w:r>
        <w:rPr>
          <w:rFonts w:ascii="Arial" w:cs="Arial" w:eastAsia="Arial" w:hAnsi="Arial"/>
          <w:sz w:val="15"/>
          <w:szCs w:val="15"/>
          <w:color w:val="auto"/>
        </w:rPr>
        <w:t>The offsetting framework contract issued by the International Swaps and Derivatives Association Inc. (“ISDA”) and similar master offsetting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52" w:lineRule="exact"/>
        <w:rPr>
          <w:sz w:val="20"/>
          <w:szCs w:val="20"/>
          <w:color w:val="auto"/>
        </w:rPr>
      </w:pPr>
    </w:p>
    <w:p>
      <w:pPr>
        <w:ind w:left="281"/>
        <w:spacing w:after="0"/>
        <w:rPr>
          <w:sz w:val="20"/>
          <w:szCs w:val="20"/>
          <w:color w:val="auto"/>
        </w:rPr>
      </w:pPr>
      <w:r>
        <w:rPr>
          <w:rFonts w:ascii="Arial" w:cs="Arial" w:eastAsia="Arial" w:hAnsi="Arial"/>
          <w:sz w:val="16"/>
          <w:szCs w:val="16"/>
          <w:color w:val="auto"/>
        </w:rPr>
        <w:t>The Group receives and gives collateral in the form of cash and trading securities in respect of the following transactions:</w:t>
      </w:r>
    </w:p>
    <w:p>
      <w:pPr>
        <w:spacing w:after="0" w:line="195" w:lineRule="exact"/>
        <w:rPr>
          <w:sz w:val="20"/>
          <w:szCs w:val="20"/>
          <w:color w:val="auto"/>
        </w:rPr>
      </w:pPr>
    </w:p>
    <w:p>
      <w:pPr>
        <w:ind w:left="561" w:hanging="276"/>
        <w:spacing w:after="0"/>
        <w:tabs>
          <w:tab w:leader="none" w:pos="56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Derivatives;</w:t>
      </w:r>
    </w:p>
    <w:p>
      <w:pPr>
        <w:spacing w:after="0" w:line="16" w:lineRule="exact"/>
        <w:rPr>
          <w:rFonts w:ascii="Arial" w:cs="Arial" w:eastAsia="Arial" w:hAnsi="Arial"/>
          <w:sz w:val="16"/>
          <w:szCs w:val="16"/>
          <w:color w:val="auto"/>
        </w:rPr>
      </w:pPr>
    </w:p>
    <w:p>
      <w:pPr>
        <w:ind w:left="561" w:hanging="276"/>
        <w:spacing w:after="0"/>
        <w:tabs>
          <w:tab w:leader="none" w:pos="56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Accounts receivable from reverse repurchase agreements and securities borrowing;</w:t>
      </w:r>
    </w:p>
    <w:p>
      <w:pPr>
        <w:spacing w:after="0" w:line="5" w:lineRule="exact"/>
        <w:rPr>
          <w:rFonts w:ascii="Arial" w:cs="Arial" w:eastAsia="Arial" w:hAnsi="Arial"/>
          <w:sz w:val="16"/>
          <w:szCs w:val="16"/>
          <w:color w:val="auto"/>
        </w:rPr>
      </w:pPr>
    </w:p>
    <w:p>
      <w:pPr>
        <w:ind w:left="561" w:hanging="276"/>
        <w:spacing w:after="0"/>
        <w:tabs>
          <w:tab w:leader="none" w:pos="56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Payables from repurchase agreements and securities lending; and</w:t>
      </w:r>
    </w:p>
    <w:p>
      <w:pPr>
        <w:spacing w:after="0" w:line="5" w:lineRule="exact"/>
        <w:rPr>
          <w:rFonts w:ascii="Arial" w:cs="Arial" w:eastAsia="Arial" w:hAnsi="Arial"/>
          <w:sz w:val="16"/>
          <w:szCs w:val="16"/>
          <w:color w:val="auto"/>
        </w:rPr>
      </w:pPr>
    </w:p>
    <w:p>
      <w:pPr>
        <w:ind w:left="561" w:hanging="276"/>
        <w:spacing w:after="0"/>
        <w:tabs>
          <w:tab w:leader="none" w:pos="56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Other financial assets and liabilities</w:t>
      </w:r>
    </w:p>
    <w:p>
      <w:pPr>
        <w:spacing w:after="0" w:line="184" w:lineRule="exact"/>
        <w:rPr>
          <w:sz w:val="20"/>
          <w:szCs w:val="20"/>
          <w:color w:val="auto"/>
        </w:rPr>
      </w:pPr>
    </w:p>
    <w:p>
      <w:pPr>
        <w:jc w:val="both"/>
        <w:ind w:left="281" w:right="60"/>
        <w:spacing w:after="0" w:line="258" w:lineRule="auto"/>
        <w:rPr>
          <w:sz w:val="20"/>
          <w:szCs w:val="20"/>
          <w:color w:val="auto"/>
        </w:rPr>
      </w:pPr>
      <w:r>
        <w:rPr>
          <w:rFonts w:ascii="Arial" w:cs="Arial" w:eastAsia="Arial" w:hAnsi="Arial"/>
          <w:sz w:val="16"/>
          <w:szCs w:val="16"/>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return the respective collateral.</w:t>
      </w: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4" w:right="2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color w:val="auto"/>
        </w:rPr>
        <w:t>Financial assets subject to offsetting, enforceable master offsetting agreements and similar agreements:</w:t>
      </w:r>
    </w:p>
    <w:p>
      <w:pPr>
        <w:sectPr>
          <w:pgSz w:w="11900" w:h="16838" w:orient="portrait"/>
          <w:cols w:equalWidth="0" w:num="1">
            <w:col w:w="10880"/>
          </w:cols>
          <w:pgMar w:left="520" w:top="81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306324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63240" cy="762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Receivables from derivatives</w:t>
      </w:r>
    </w:p>
    <w:p>
      <w:pPr>
        <w:spacing w:after="0" w:line="209" w:lineRule="auto"/>
        <w:rPr>
          <w:sz w:val="20"/>
          <w:szCs w:val="20"/>
          <w:color w:val="auto"/>
        </w:rPr>
      </w:pPr>
      <w:r>
        <w:rPr>
          <w:rFonts w:ascii="Arial" w:cs="Arial" w:eastAsia="Arial" w:hAnsi="Arial"/>
          <w:sz w:val="13"/>
          <w:szCs w:val="13"/>
          <w:color w:val="auto"/>
        </w:rPr>
        <w:t>Cash collateral, reverse repurchase agreements and securities borrowing</w:t>
      </w:r>
    </w:p>
    <w:p>
      <w:pPr>
        <w:ind w:left="120" w:hanging="113"/>
        <w:spacing w:after="0" w:line="218" w:lineRule="auto"/>
        <w:rPr>
          <w:sz w:val="20"/>
          <w:szCs w:val="20"/>
          <w:color w:val="auto"/>
        </w:rPr>
      </w:pPr>
      <w:r>
        <w:rPr>
          <w:rFonts w:ascii="Arial" w:cs="Arial" w:eastAsia="Arial" w:hAnsi="Arial"/>
          <w:sz w:val="13"/>
          <w:szCs w:val="13"/>
          <w:color w:val="auto"/>
        </w:rPr>
        <w:t>Investments at fair value through other comprehensive income and amortized cost pledged as collateral</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306324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63240" cy="762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Receivables from derivatives</w:t>
      </w:r>
    </w:p>
    <w:p>
      <w:pPr>
        <w:ind w:right="1040"/>
        <w:spacing w:after="0" w:line="258" w:lineRule="auto"/>
        <w:rPr>
          <w:sz w:val="20"/>
          <w:szCs w:val="20"/>
          <w:color w:val="auto"/>
        </w:rPr>
      </w:pPr>
      <w:r>
        <w:rPr>
          <w:rFonts w:ascii="Arial" w:cs="Arial" w:eastAsia="Arial" w:hAnsi="Arial"/>
          <w:sz w:val="11"/>
          <w:szCs w:val="11"/>
          <w:color w:val="auto"/>
        </w:rPr>
        <w:t>Cash collateral, reverse repurchase agreements and securities borrowing Available-for-sale and held-to-maturity investments pledged as collateral</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of December 31,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8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9"/>
              </w:rPr>
              <w:t>Gross amounts of</w:t>
            </w:r>
          </w:p>
        </w:tc>
        <w:tc>
          <w:tcPr>
            <w:tcW w:w="10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4"/>
              </w:rPr>
              <w:t>recognized</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7"/>
              </w:rPr>
              <w:t>financial liabilities</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0"/>
              </w:rPr>
              <w:t>Net of financial</w:t>
            </w:r>
          </w:p>
        </w:tc>
        <w:tc>
          <w:tcPr>
            <w:tcW w:w="1920" w:type="dxa"/>
            <w:vAlign w:val="bottom"/>
            <w:gridSpan w:val="4"/>
          </w:tcPr>
          <w:p>
            <w:pPr>
              <w:jc w:val="right"/>
              <w:ind w:right="98"/>
              <w:spacing w:after="0" w:line="139" w:lineRule="exact"/>
              <w:rPr>
                <w:sz w:val="20"/>
                <w:szCs w:val="20"/>
                <w:color w:val="auto"/>
              </w:rPr>
            </w:pPr>
            <w:r>
              <w:rPr>
                <w:rFonts w:ascii="Arial" w:cs="Arial" w:eastAsia="Arial" w:hAnsi="Arial"/>
                <w:sz w:val="13"/>
                <w:szCs w:val="13"/>
                <w:b w:val="1"/>
                <w:bCs w:val="1"/>
                <w:color w:val="auto"/>
                <w:w w:val="85"/>
              </w:rPr>
              <w:t>Related amounts not offset in the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and offset in the</w:t>
            </w:r>
          </w:p>
        </w:tc>
        <w:tc>
          <w:tcPr>
            <w:tcW w:w="1200" w:type="dxa"/>
            <w:vAlign w:val="bottom"/>
            <w:gridSpan w:val="2"/>
            <w:vMerge w:val="continue"/>
          </w:tcPr>
          <w:p>
            <w:pPr>
              <w:spacing w:after="0"/>
              <w:rPr>
                <w:sz w:val="11"/>
                <w:szCs w:val="11"/>
                <w:color w:val="auto"/>
              </w:rPr>
            </w:pPr>
          </w:p>
        </w:tc>
        <w:tc>
          <w:tcPr>
            <w:tcW w:w="1920" w:type="dxa"/>
            <w:vAlign w:val="bottom"/>
            <w:gridSpan w:val="4"/>
          </w:tcPr>
          <w:p>
            <w:pPr>
              <w:jc w:val="center"/>
              <w:ind w:right="158"/>
              <w:spacing w:after="0" w:line="131" w:lineRule="exact"/>
              <w:rPr>
                <w:sz w:val="20"/>
                <w:szCs w:val="20"/>
                <w:color w:val="auto"/>
              </w:rPr>
            </w:pPr>
            <w:r>
              <w:rPr>
                <w:rFonts w:ascii="Arial" w:cs="Arial" w:eastAsia="Arial" w:hAnsi="Arial"/>
                <w:sz w:val="13"/>
                <w:szCs w:val="13"/>
                <w:b w:val="1"/>
                <w:bCs w:val="1"/>
                <w:color w:val="auto"/>
                <w:w w:val="84"/>
              </w:rPr>
              <w:t>consolidated statement of</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consolidated</w:t>
            </w: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0"/>
              </w:rPr>
              <w:t>assets presented</w:t>
            </w:r>
          </w:p>
        </w:tc>
        <w:tc>
          <w:tcPr>
            <w:tcW w:w="1920" w:type="dxa"/>
            <w:vAlign w:val="bottom"/>
            <w:gridSpan w:val="4"/>
          </w:tcPr>
          <w:p>
            <w:pPr>
              <w:jc w:val="center"/>
              <w:ind w:right="158"/>
              <w:spacing w:after="0"/>
              <w:rPr>
                <w:sz w:val="20"/>
                <w:szCs w:val="20"/>
                <w:color w:val="auto"/>
              </w:rPr>
            </w:pPr>
            <w:r>
              <w:rPr>
                <w:rFonts w:ascii="Arial" w:cs="Arial" w:eastAsia="Arial" w:hAnsi="Arial"/>
                <w:sz w:val="13"/>
                <w:szCs w:val="13"/>
                <w:b w:val="1"/>
                <w:bCs w:val="1"/>
                <w:color w:val="auto"/>
                <w:w w:val="86"/>
              </w:rPr>
              <w:t>financial position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00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9"/>
              </w:rPr>
              <w:t>Gross amounts</w:t>
            </w:r>
          </w:p>
        </w:tc>
        <w:tc>
          <w:tcPr>
            <w:tcW w:w="118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rPr>
              <w:t>statement of</w:t>
            </w:r>
          </w:p>
        </w:tc>
        <w:tc>
          <w:tcPr>
            <w:tcW w:w="120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rPr>
              <w:t>in the consolidated</w:t>
            </w:r>
          </w:p>
        </w:tc>
        <w:tc>
          <w:tcPr>
            <w:tcW w:w="980" w:type="dxa"/>
            <w:vAlign w:val="bottom"/>
            <w:tcBorders>
              <w:top w:val="single" w:sz="8" w:color="auto"/>
            </w:tcBorders>
            <w:gridSpan w:val="2"/>
            <w:vMerge w:val="restart"/>
          </w:tcPr>
          <w:p>
            <w:pPr>
              <w:jc w:val="center"/>
              <w:ind w:right="198"/>
              <w:spacing w:after="0"/>
              <w:rPr>
                <w:sz w:val="20"/>
                <w:szCs w:val="20"/>
                <w:color w:val="auto"/>
              </w:rPr>
            </w:pPr>
            <w:r>
              <w:rPr>
                <w:rFonts w:ascii="Arial" w:cs="Arial" w:eastAsia="Arial" w:hAnsi="Arial"/>
                <w:sz w:val="13"/>
                <w:szCs w:val="13"/>
                <w:b w:val="1"/>
                <w:bCs w:val="1"/>
                <w:color w:val="auto"/>
                <w:w w:val="88"/>
              </w:rPr>
              <w:t>Financial</w:t>
            </w:r>
          </w:p>
        </w:tc>
        <w:tc>
          <w:tcPr>
            <w:tcW w:w="7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Cash</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0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recognized</w:t>
            </w: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financial</w:t>
            </w:r>
          </w:p>
        </w:tc>
        <w:tc>
          <w:tcPr>
            <w:tcW w:w="120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statements of</w:t>
            </w:r>
          </w:p>
        </w:tc>
        <w:tc>
          <w:tcPr>
            <w:tcW w:w="980" w:type="dxa"/>
            <w:vAlign w:val="bottom"/>
            <w:gridSpan w:val="2"/>
            <w:vMerge w:val="continue"/>
          </w:tcPr>
          <w:p>
            <w:pPr>
              <w:spacing w:after="0"/>
              <w:rPr>
                <w:sz w:val="11"/>
                <w:szCs w:val="11"/>
                <w:color w:val="auto"/>
              </w:rPr>
            </w:pPr>
          </w:p>
        </w:tc>
        <w:tc>
          <w:tcPr>
            <w:tcW w:w="940" w:type="dxa"/>
            <w:vAlign w:val="bottom"/>
            <w:gridSpan w:val="2"/>
          </w:tcPr>
          <w:p>
            <w:pPr>
              <w:jc w:val="center"/>
              <w:ind w:right="158"/>
              <w:spacing w:after="0" w:line="131" w:lineRule="exact"/>
              <w:rPr>
                <w:sz w:val="20"/>
                <w:szCs w:val="20"/>
                <w:color w:val="auto"/>
              </w:rPr>
            </w:pPr>
            <w:r>
              <w:rPr>
                <w:rFonts w:ascii="Arial" w:cs="Arial" w:eastAsia="Arial" w:hAnsi="Arial"/>
                <w:sz w:val="13"/>
                <w:szCs w:val="13"/>
                <w:b w:val="1"/>
                <w:bCs w:val="1"/>
                <w:color w:val="auto"/>
                <w:w w:val="87"/>
              </w:rPr>
              <w:t>collateral</w:t>
            </w: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Net amount</w:t>
            </w:r>
          </w:p>
        </w:tc>
        <w:tc>
          <w:tcPr>
            <w:tcW w:w="0" w:type="dxa"/>
            <w:vAlign w:val="bottom"/>
          </w:tcPr>
          <w:p>
            <w:pPr>
              <w:spacing w:after="0"/>
              <w:rPr>
                <w:sz w:val="1"/>
                <w:szCs w:val="1"/>
                <w:color w:val="auto"/>
              </w:rPr>
            </w:pPr>
          </w:p>
        </w:tc>
      </w:tr>
      <w:tr>
        <w:trPr>
          <w:trHeight w:val="150"/>
        </w:trPr>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financial assets</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positions</w:t>
            </w: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financial position</w:t>
            </w:r>
          </w:p>
        </w:tc>
        <w:tc>
          <w:tcPr>
            <w:tcW w:w="98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8"/>
              </w:rPr>
              <w:t>instruments</w:t>
            </w:r>
          </w:p>
        </w:tc>
        <w:tc>
          <w:tcPr>
            <w:tcW w:w="94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3"/>
              </w:rPr>
              <w:t>received</w:t>
            </w: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98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10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7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40" w:type="dxa"/>
            <w:vAlign w:val="bottom"/>
          </w:tcPr>
          <w:p>
            <w:pPr>
              <w:spacing w:after="0"/>
              <w:rPr>
                <w:sz w:val="9"/>
                <w:szCs w:val="9"/>
                <w:color w:val="auto"/>
              </w:rPr>
            </w:pPr>
          </w:p>
        </w:tc>
        <w:tc>
          <w:tcPr>
            <w:tcW w:w="7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6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766,317</w:t>
            </w:r>
          </w:p>
        </w:tc>
        <w:tc>
          <w:tcPr>
            <w:tcW w:w="1180" w:type="dxa"/>
            <w:vAlign w:val="bottom"/>
            <w:gridSpan w:val="2"/>
          </w:tcPr>
          <w:p>
            <w:pPr>
              <w:ind w:left="940"/>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766,317</w:t>
            </w:r>
          </w:p>
        </w:tc>
        <w:tc>
          <w:tcPr>
            <w:tcW w:w="98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(44,159)</w:t>
            </w:r>
          </w:p>
        </w:tc>
        <w:tc>
          <w:tcPr>
            <w:tcW w:w="94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(28,906)</w:t>
            </w:r>
          </w:p>
        </w:tc>
        <w:tc>
          <w:tcPr>
            <w:tcW w:w="6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693,252</w:t>
            </w:r>
          </w:p>
        </w:tc>
        <w:tc>
          <w:tcPr>
            <w:tcW w:w="0" w:type="dxa"/>
            <w:vAlign w:val="bottom"/>
          </w:tcPr>
          <w:p>
            <w:pPr>
              <w:spacing w:after="0"/>
              <w:rPr>
                <w:sz w:val="1"/>
                <w:szCs w:val="1"/>
                <w:color w:val="auto"/>
              </w:rPr>
            </w:pPr>
          </w:p>
        </w:tc>
      </w:tr>
      <w:tr>
        <w:trPr>
          <w:trHeight w:val="161"/>
        </w:trPr>
        <w:tc>
          <w:tcPr>
            <w:tcW w:w="800" w:type="dxa"/>
            <w:vAlign w:val="bottom"/>
          </w:tcPr>
          <w:p>
            <w:pPr>
              <w:jc w:val="right"/>
              <w:spacing w:after="0"/>
              <w:rPr>
                <w:sz w:val="20"/>
                <w:szCs w:val="20"/>
                <w:color w:val="auto"/>
              </w:rPr>
            </w:pPr>
            <w:r>
              <w:rPr>
                <w:rFonts w:ascii="Arial" w:cs="Arial" w:eastAsia="Arial" w:hAnsi="Arial"/>
                <w:sz w:val="13"/>
                <w:szCs w:val="13"/>
                <w:color w:val="auto"/>
              </w:rPr>
              <w:t>4,082,942</w:t>
            </w: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4,082,942</w:t>
            </w:r>
          </w:p>
        </w:tc>
        <w:tc>
          <w:tcPr>
            <w:tcW w:w="980" w:type="dxa"/>
            <w:vAlign w:val="bottom"/>
            <w:gridSpan w:val="2"/>
          </w:tcPr>
          <w:p>
            <w:pPr>
              <w:jc w:val="right"/>
              <w:ind w:right="158"/>
              <w:spacing w:after="0"/>
              <w:rPr>
                <w:sz w:val="20"/>
                <w:szCs w:val="20"/>
                <w:color w:val="auto"/>
              </w:rPr>
            </w:pPr>
            <w:r>
              <w:rPr>
                <w:rFonts w:ascii="Arial" w:cs="Arial" w:eastAsia="Arial" w:hAnsi="Arial"/>
                <w:sz w:val="13"/>
                <w:szCs w:val="13"/>
                <w:color w:val="auto"/>
              </w:rPr>
              <w:t>(35,008)</w:t>
            </w:r>
          </w:p>
        </w:tc>
        <w:tc>
          <w:tcPr>
            <w:tcW w:w="940" w:type="dxa"/>
            <w:vAlign w:val="bottom"/>
            <w:gridSpan w:val="2"/>
          </w:tcPr>
          <w:p>
            <w:pPr>
              <w:jc w:val="right"/>
              <w:ind w:right="118"/>
              <w:spacing w:after="0"/>
              <w:rPr>
                <w:sz w:val="20"/>
                <w:szCs w:val="20"/>
                <w:color w:val="auto"/>
              </w:rPr>
            </w:pPr>
            <w:r>
              <w:rPr>
                <w:rFonts w:ascii="Arial" w:cs="Arial" w:eastAsia="Arial" w:hAnsi="Arial"/>
                <w:sz w:val="13"/>
                <w:szCs w:val="13"/>
                <w:color w:val="auto"/>
              </w:rPr>
              <w:t>(3,319,949)</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727,985</w:t>
            </w:r>
          </w:p>
        </w:tc>
        <w:tc>
          <w:tcPr>
            <w:tcW w:w="0" w:type="dxa"/>
            <w:vAlign w:val="bottom"/>
          </w:tcPr>
          <w:p>
            <w:pPr>
              <w:spacing w:after="0"/>
              <w:rPr>
                <w:sz w:val="1"/>
                <w:szCs w:val="1"/>
                <w:color w:val="auto"/>
              </w:rPr>
            </w:pPr>
          </w:p>
        </w:tc>
      </w:tr>
      <w:tr>
        <w:trPr>
          <w:trHeight w:val="250"/>
        </w:trPr>
        <w:tc>
          <w:tcPr>
            <w:tcW w:w="800" w:type="dxa"/>
            <w:vAlign w:val="bottom"/>
          </w:tcPr>
          <w:p>
            <w:pPr>
              <w:jc w:val="right"/>
              <w:spacing w:after="0"/>
              <w:rPr>
                <w:sz w:val="20"/>
                <w:szCs w:val="20"/>
                <w:color w:val="auto"/>
              </w:rPr>
            </w:pPr>
            <w:r>
              <w:rPr>
                <w:rFonts w:ascii="Arial" w:cs="Arial" w:eastAsia="Arial" w:hAnsi="Arial"/>
                <w:sz w:val="13"/>
                <w:szCs w:val="13"/>
                <w:color w:val="auto"/>
              </w:rPr>
              <w:t>5,001,516</w:t>
            </w:r>
          </w:p>
        </w:tc>
        <w:tc>
          <w:tcPr>
            <w:tcW w:w="200" w:type="dxa"/>
            <w:vAlign w:val="bottom"/>
          </w:tcPr>
          <w:p>
            <w:pPr>
              <w:spacing w:after="0"/>
              <w:rPr>
                <w:sz w:val="21"/>
                <w:szCs w:val="21"/>
                <w:color w:val="auto"/>
              </w:rPr>
            </w:pPr>
          </w:p>
        </w:tc>
        <w:tc>
          <w:tcPr>
            <w:tcW w:w="118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5,001,516</w:t>
            </w:r>
          </w:p>
        </w:tc>
        <w:tc>
          <w:tcPr>
            <w:tcW w:w="980" w:type="dxa"/>
            <w:vAlign w:val="bottom"/>
            <w:gridSpan w:val="2"/>
          </w:tcPr>
          <w:p>
            <w:pPr>
              <w:jc w:val="right"/>
              <w:ind w:right="158"/>
              <w:spacing w:after="0"/>
              <w:rPr>
                <w:sz w:val="20"/>
                <w:szCs w:val="20"/>
                <w:color w:val="auto"/>
              </w:rPr>
            </w:pPr>
            <w:r>
              <w:rPr>
                <w:rFonts w:ascii="Arial" w:cs="Arial" w:eastAsia="Arial" w:hAnsi="Arial"/>
                <w:sz w:val="13"/>
                <w:szCs w:val="13"/>
                <w:color w:val="auto"/>
              </w:rPr>
              <w:t>(3,123,930)</w:t>
            </w:r>
          </w:p>
        </w:tc>
        <w:tc>
          <w:tcPr>
            <w:tcW w:w="9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1,877,586</w:t>
            </w:r>
          </w:p>
        </w:tc>
        <w:tc>
          <w:tcPr>
            <w:tcW w:w="0" w:type="dxa"/>
            <w:vAlign w:val="bottom"/>
          </w:tcPr>
          <w:p>
            <w:pPr>
              <w:spacing w:after="0"/>
              <w:rPr>
                <w:sz w:val="1"/>
                <w:szCs w:val="1"/>
                <w:color w:val="auto"/>
              </w:rPr>
            </w:pPr>
          </w:p>
        </w:tc>
      </w:tr>
      <w:tr>
        <w:trPr>
          <w:trHeight w:val="142"/>
        </w:trPr>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9,850,775</w:t>
            </w:r>
          </w:p>
        </w:tc>
        <w:tc>
          <w:tcPr>
            <w:tcW w:w="200" w:type="dxa"/>
            <w:vAlign w:val="bottom"/>
          </w:tcPr>
          <w:p>
            <w:pPr>
              <w:spacing w:after="0"/>
              <w:rPr>
                <w:sz w:val="12"/>
                <w:szCs w:val="12"/>
                <w:color w:val="auto"/>
              </w:rPr>
            </w:pPr>
          </w:p>
        </w:tc>
        <w:tc>
          <w:tcPr>
            <w:tcW w:w="9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9,850,775</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(3,203,097</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(3,348,855</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3,298,823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13"/>
                <w:szCs w:val="13"/>
                <w:b w:val="1"/>
                <w:bCs w:val="1"/>
                <w:color w:val="auto"/>
                <w:w w:val="93"/>
              </w:rPr>
              <w:t>As of December 31, 2017</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9"/>
              </w:rPr>
              <w:t>Gross amounts of</w:t>
            </w: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4"/>
              </w:rPr>
              <w:t>recognized</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7"/>
              </w:rPr>
              <w:t>financial liabilities</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0"/>
              </w:rPr>
              <w:t>Net of financial</w:t>
            </w:r>
          </w:p>
        </w:tc>
        <w:tc>
          <w:tcPr>
            <w:tcW w:w="1920" w:type="dxa"/>
            <w:vAlign w:val="bottom"/>
            <w:gridSpan w:val="4"/>
          </w:tcPr>
          <w:p>
            <w:pPr>
              <w:jc w:val="right"/>
              <w:ind w:right="98"/>
              <w:spacing w:after="0" w:line="139" w:lineRule="exact"/>
              <w:rPr>
                <w:sz w:val="20"/>
                <w:szCs w:val="20"/>
                <w:color w:val="auto"/>
              </w:rPr>
            </w:pPr>
            <w:r>
              <w:rPr>
                <w:rFonts w:ascii="Arial" w:cs="Arial" w:eastAsia="Arial" w:hAnsi="Arial"/>
                <w:sz w:val="13"/>
                <w:szCs w:val="13"/>
                <w:b w:val="1"/>
                <w:bCs w:val="1"/>
                <w:color w:val="auto"/>
                <w:w w:val="85"/>
              </w:rPr>
              <w:t>Related amounts not offset in the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and offset in the</w:t>
            </w:r>
          </w:p>
        </w:tc>
        <w:tc>
          <w:tcPr>
            <w:tcW w:w="1200" w:type="dxa"/>
            <w:vAlign w:val="bottom"/>
            <w:gridSpan w:val="2"/>
            <w:vMerge w:val="continue"/>
          </w:tcPr>
          <w:p>
            <w:pPr>
              <w:spacing w:after="0"/>
              <w:rPr>
                <w:sz w:val="11"/>
                <w:szCs w:val="11"/>
                <w:color w:val="auto"/>
              </w:rPr>
            </w:pPr>
          </w:p>
        </w:tc>
        <w:tc>
          <w:tcPr>
            <w:tcW w:w="1920" w:type="dxa"/>
            <w:vAlign w:val="bottom"/>
            <w:gridSpan w:val="4"/>
          </w:tcPr>
          <w:p>
            <w:pPr>
              <w:jc w:val="center"/>
              <w:ind w:right="158"/>
              <w:spacing w:after="0" w:line="131" w:lineRule="exact"/>
              <w:rPr>
                <w:sz w:val="20"/>
                <w:szCs w:val="20"/>
                <w:color w:val="auto"/>
              </w:rPr>
            </w:pPr>
            <w:r>
              <w:rPr>
                <w:rFonts w:ascii="Arial" w:cs="Arial" w:eastAsia="Arial" w:hAnsi="Arial"/>
                <w:sz w:val="13"/>
                <w:szCs w:val="13"/>
                <w:b w:val="1"/>
                <w:bCs w:val="1"/>
                <w:color w:val="auto"/>
                <w:w w:val="84"/>
              </w:rPr>
              <w:t>consolidated statement of</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consolidated</w:t>
            </w: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0"/>
              </w:rPr>
              <w:t>assets presented</w:t>
            </w:r>
          </w:p>
        </w:tc>
        <w:tc>
          <w:tcPr>
            <w:tcW w:w="1920" w:type="dxa"/>
            <w:vAlign w:val="bottom"/>
            <w:gridSpan w:val="4"/>
          </w:tcPr>
          <w:p>
            <w:pPr>
              <w:jc w:val="center"/>
              <w:ind w:right="158"/>
              <w:spacing w:after="0"/>
              <w:rPr>
                <w:sz w:val="20"/>
                <w:szCs w:val="20"/>
                <w:color w:val="auto"/>
              </w:rPr>
            </w:pPr>
            <w:r>
              <w:rPr>
                <w:rFonts w:ascii="Arial" w:cs="Arial" w:eastAsia="Arial" w:hAnsi="Arial"/>
                <w:sz w:val="13"/>
                <w:szCs w:val="13"/>
                <w:b w:val="1"/>
                <w:bCs w:val="1"/>
                <w:color w:val="auto"/>
                <w:w w:val="86"/>
              </w:rPr>
              <w:t>financial position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00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9"/>
              </w:rPr>
              <w:t>Gross amounts</w:t>
            </w:r>
          </w:p>
        </w:tc>
        <w:tc>
          <w:tcPr>
            <w:tcW w:w="118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rPr>
              <w:t>statement of</w:t>
            </w:r>
          </w:p>
        </w:tc>
        <w:tc>
          <w:tcPr>
            <w:tcW w:w="120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rPr>
              <w:t>in the consolidated</w:t>
            </w:r>
          </w:p>
        </w:tc>
        <w:tc>
          <w:tcPr>
            <w:tcW w:w="980" w:type="dxa"/>
            <w:vAlign w:val="bottom"/>
            <w:tcBorders>
              <w:top w:val="single" w:sz="8" w:color="auto"/>
            </w:tcBorders>
            <w:gridSpan w:val="2"/>
            <w:vMerge w:val="restart"/>
          </w:tcPr>
          <w:p>
            <w:pPr>
              <w:jc w:val="center"/>
              <w:ind w:right="198"/>
              <w:spacing w:after="0"/>
              <w:rPr>
                <w:sz w:val="20"/>
                <w:szCs w:val="20"/>
                <w:color w:val="auto"/>
              </w:rPr>
            </w:pPr>
            <w:r>
              <w:rPr>
                <w:rFonts w:ascii="Arial" w:cs="Arial" w:eastAsia="Arial" w:hAnsi="Arial"/>
                <w:sz w:val="13"/>
                <w:szCs w:val="13"/>
                <w:b w:val="1"/>
                <w:bCs w:val="1"/>
                <w:color w:val="auto"/>
                <w:w w:val="88"/>
              </w:rPr>
              <w:t>Financial</w:t>
            </w:r>
          </w:p>
        </w:tc>
        <w:tc>
          <w:tcPr>
            <w:tcW w:w="7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Cash</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0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recognized</w:t>
            </w: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financial</w:t>
            </w:r>
          </w:p>
        </w:tc>
        <w:tc>
          <w:tcPr>
            <w:tcW w:w="120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statements of</w:t>
            </w:r>
          </w:p>
        </w:tc>
        <w:tc>
          <w:tcPr>
            <w:tcW w:w="980" w:type="dxa"/>
            <w:vAlign w:val="bottom"/>
            <w:gridSpan w:val="2"/>
            <w:vMerge w:val="continue"/>
          </w:tcPr>
          <w:p>
            <w:pPr>
              <w:spacing w:after="0"/>
              <w:rPr>
                <w:sz w:val="11"/>
                <w:szCs w:val="11"/>
                <w:color w:val="auto"/>
              </w:rPr>
            </w:pPr>
          </w:p>
        </w:tc>
        <w:tc>
          <w:tcPr>
            <w:tcW w:w="940" w:type="dxa"/>
            <w:vAlign w:val="bottom"/>
            <w:gridSpan w:val="2"/>
          </w:tcPr>
          <w:p>
            <w:pPr>
              <w:jc w:val="center"/>
              <w:ind w:right="158"/>
              <w:spacing w:after="0" w:line="131" w:lineRule="exact"/>
              <w:rPr>
                <w:sz w:val="20"/>
                <w:szCs w:val="20"/>
                <w:color w:val="auto"/>
              </w:rPr>
            </w:pPr>
            <w:r>
              <w:rPr>
                <w:rFonts w:ascii="Arial" w:cs="Arial" w:eastAsia="Arial" w:hAnsi="Arial"/>
                <w:sz w:val="13"/>
                <w:szCs w:val="13"/>
                <w:b w:val="1"/>
                <w:bCs w:val="1"/>
                <w:color w:val="auto"/>
                <w:w w:val="87"/>
              </w:rPr>
              <w:t>collateral</w:t>
            </w: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Net amount</w:t>
            </w:r>
          </w:p>
        </w:tc>
        <w:tc>
          <w:tcPr>
            <w:tcW w:w="0" w:type="dxa"/>
            <w:vAlign w:val="bottom"/>
          </w:tcPr>
          <w:p>
            <w:pPr>
              <w:spacing w:after="0"/>
              <w:rPr>
                <w:sz w:val="1"/>
                <w:szCs w:val="1"/>
                <w:color w:val="auto"/>
              </w:rPr>
            </w:pPr>
          </w:p>
        </w:tc>
      </w:tr>
      <w:tr>
        <w:trPr>
          <w:trHeight w:val="150"/>
        </w:trPr>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financial assets</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positions</w:t>
            </w: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financial position</w:t>
            </w:r>
          </w:p>
        </w:tc>
        <w:tc>
          <w:tcPr>
            <w:tcW w:w="98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8"/>
              </w:rPr>
              <w:t>instruments</w:t>
            </w:r>
          </w:p>
        </w:tc>
        <w:tc>
          <w:tcPr>
            <w:tcW w:w="94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3"/>
              </w:rPr>
              <w:t>received</w:t>
            </w: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98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10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7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40" w:type="dxa"/>
            <w:vAlign w:val="bottom"/>
          </w:tcPr>
          <w:p>
            <w:pPr>
              <w:spacing w:after="0"/>
              <w:rPr>
                <w:sz w:val="9"/>
                <w:szCs w:val="9"/>
                <w:color w:val="auto"/>
              </w:rPr>
            </w:pPr>
          </w:p>
        </w:tc>
        <w:tc>
          <w:tcPr>
            <w:tcW w:w="7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0" w:type="dxa"/>
            <w:vAlign w:val="bottom"/>
          </w:tcPr>
          <w:p>
            <w:pPr>
              <w:spacing w:after="0"/>
              <w:rPr>
                <w:sz w:val="9"/>
                <w:szCs w:val="9"/>
                <w:color w:val="auto"/>
              </w:rPr>
            </w:pPr>
          </w:p>
        </w:tc>
        <w:tc>
          <w:tcPr>
            <w:tcW w:w="6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S/(000)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701,826</w:t>
            </w:r>
          </w:p>
        </w:tc>
        <w:tc>
          <w:tcPr>
            <w:tcW w:w="1180" w:type="dxa"/>
            <w:vAlign w:val="bottom"/>
            <w:gridSpan w:val="2"/>
          </w:tcPr>
          <w:p>
            <w:pPr>
              <w:ind w:left="940"/>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701,826</w:t>
            </w:r>
          </w:p>
        </w:tc>
        <w:tc>
          <w:tcPr>
            <w:tcW w:w="98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(86,292)</w:t>
            </w:r>
          </w:p>
        </w:tc>
        <w:tc>
          <w:tcPr>
            <w:tcW w:w="94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(80,140)</w:t>
            </w:r>
          </w:p>
        </w:tc>
        <w:tc>
          <w:tcPr>
            <w:tcW w:w="6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535,394</w:t>
            </w:r>
          </w:p>
        </w:tc>
        <w:tc>
          <w:tcPr>
            <w:tcW w:w="0" w:type="dxa"/>
            <w:vAlign w:val="bottom"/>
          </w:tcPr>
          <w:p>
            <w:pPr>
              <w:spacing w:after="0"/>
              <w:rPr>
                <w:sz w:val="1"/>
                <w:szCs w:val="1"/>
                <w:color w:val="auto"/>
              </w:rPr>
            </w:pPr>
          </w:p>
        </w:tc>
      </w:tr>
      <w:tr>
        <w:trPr>
          <w:trHeight w:val="130"/>
        </w:trPr>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7,480,420</w:t>
            </w:r>
          </w:p>
        </w:tc>
        <w:tc>
          <w:tcPr>
            <w:tcW w:w="200" w:type="dxa"/>
            <w:vAlign w:val="bottom"/>
          </w:tcPr>
          <w:p>
            <w:pPr>
              <w:spacing w:after="0"/>
              <w:rPr>
                <w:sz w:val="11"/>
                <w:szCs w:val="11"/>
                <w:color w:val="auto"/>
              </w:rPr>
            </w:pPr>
          </w:p>
        </w:tc>
        <w:tc>
          <w:tcPr>
            <w:tcW w:w="1180" w:type="dxa"/>
            <w:vAlign w:val="bottom"/>
            <w:gridSpan w:val="2"/>
          </w:tcPr>
          <w:p>
            <w:pPr>
              <w:ind w:left="940"/>
              <w:spacing w:after="0" w:line="13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7,480,420</w:t>
            </w:r>
          </w:p>
        </w:tc>
        <w:tc>
          <w:tcPr>
            <w:tcW w:w="98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(19,485)</w:t>
            </w:r>
          </w:p>
        </w:tc>
        <w:tc>
          <w:tcPr>
            <w:tcW w:w="94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(6,660,170)</w:t>
            </w:r>
          </w:p>
        </w:tc>
        <w:tc>
          <w:tcPr>
            <w:tcW w:w="68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800,765</w:t>
            </w:r>
          </w:p>
        </w:tc>
        <w:tc>
          <w:tcPr>
            <w:tcW w:w="0" w:type="dxa"/>
            <w:vAlign w:val="bottom"/>
          </w:tcPr>
          <w:p>
            <w:pPr>
              <w:spacing w:after="0"/>
              <w:rPr>
                <w:sz w:val="1"/>
                <w:szCs w:val="1"/>
                <w:color w:val="auto"/>
              </w:rPr>
            </w:pPr>
          </w:p>
        </w:tc>
      </w:tr>
      <w:tr>
        <w:trPr>
          <w:trHeight w:val="150"/>
        </w:trPr>
        <w:tc>
          <w:tcPr>
            <w:tcW w:w="800" w:type="dxa"/>
            <w:vAlign w:val="bottom"/>
          </w:tcPr>
          <w:p>
            <w:pPr>
              <w:jc w:val="right"/>
              <w:spacing w:after="0" w:line="143" w:lineRule="exact"/>
              <w:rPr>
                <w:sz w:val="20"/>
                <w:szCs w:val="20"/>
                <w:color w:val="auto"/>
              </w:rPr>
            </w:pPr>
            <w:r>
              <w:rPr>
                <w:rFonts w:ascii="Arial" w:cs="Arial" w:eastAsia="Arial" w:hAnsi="Arial"/>
                <w:sz w:val="13"/>
                <w:szCs w:val="13"/>
                <w:color w:val="auto"/>
              </w:rPr>
              <w:t>5,278,763</w:t>
            </w:r>
          </w:p>
        </w:tc>
        <w:tc>
          <w:tcPr>
            <w:tcW w:w="200" w:type="dxa"/>
            <w:vAlign w:val="bottom"/>
          </w:tcPr>
          <w:p>
            <w:pPr>
              <w:spacing w:after="0"/>
              <w:rPr>
                <w:sz w:val="13"/>
                <w:szCs w:val="13"/>
                <w:color w:val="auto"/>
              </w:rPr>
            </w:pPr>
          </w:p>
        </w:tc>
        <w:tc>
          <w:tcPr>
            <w:tcW w:w="1180" w:type="dxa"/>
            <w:vAlign w:val="bottom"/>
            <w:gridSpan w:val="2"/>
          </w:tcPr>
          <w:p>
            <w:pPr>
              <w:ind w:left="940"/>
              <w:spacing w:after="0" w:line="143"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5,278,763</w:t>
            </w:r>
          </w:p>
        </w:tc>
        <w:tc>
          <w:tcPr>
            <w:tcW w:w="98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(4,387,330)</w:t>
            </w:r>
          </w:p>
        </w:tc>
        <w:tc>
          <w:tcPr>
            <w:tcW w:w="94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891,433</w:t>
            </w:r>
          </w:p>
        </w:tc>
        <w:tc>
          <w:tcPr>
            <w:tcW w:w="0" w:type="dxa"/>
            <w:vAlign w:val="bottom"/>
          </w:tcPr>
          <w:p>
            <w:pPr>
              <w:spacing w:after="0"/>
              <w:rPr>
                <w:sz w:val="1"/>
                <w:szCs w:val="1"/>
                <w:color w:val="auto"/>
              </w:rPr>
            </w:pPr>
          </w:p>
        </w:tc>
      </w:tr>
      <w:tr>
        <w:trPr>
          <w:trHeight w:val="142"/>
        </w:trPr>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13,461,009</w:t>
            </w:r>
          </w:p>
        </w:tc>
        <w:tc>
          <w:tcPr>
            <w:tcW w:w="200" w:type="dxa"/>
            <w:vAlign w:val="bottom"/>
          </w:tcPr>
          <w:p>
            <w:pPr>
              <w:spacing w:after="0"/>
              <w:rPr>
                <w:sz w:val="12"/>
                <w:szCs w:val="12"/>
                <w:color w:val="auto"/>
              </w:rPr>
            </w:pPr>
          </w:p>
        </w:tc>
        <w:tc>
          <w:tcPr>
            <w:tcW w:w="9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13,461,009</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(4,493,107</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(6,740,310</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color w:val="auto"/>
              </w:rPr>
              <w:t>2,227,592</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-1820545</wp:posOffset>
            </wp:positionV>
            <wp:extent cx="6969760" cy="825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69760" cy="8255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-1655445</wp:posOffset>
            </wp:positionV>
            <wp:extent cx="6969760" cy="173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69760" cy="173355"/>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-375920</wp:posOffset>
            </wp:positionV>
            <wp:extent cx="6969760" cy="825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69760" cy="8255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-210185</wp:posOffset>
            </wp:positionV>
            <wp:extent cx="6969760" cy="901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69760" cy="90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200"/>
            <w:col w:w="5960"/>
          </w:cols>
          <w:pgMar w:left="520" w:top="815" w:right="499" w:bottom="1440" w:gutter="0" w:footer="0" w:header="0"/>
          <w:type w:val="continuous"/>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19050</wp:posOffset>
            </wp:positionV>
            <wp:extent cx="726313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880"/>
          </w:cols>
          <w:pgMar w:left="520" w:top="815" w:right="499" w:bottom="1440" w:gutter="0" w:footer="0" w:header="0"/>
          <w:type w:val="continuous"/>
        </w:sectPr>
      </w:pPr>
    </w:p>
    <w:bookmarkStart w:id="147" w:name="page148"/>
    <w:bookmarkEnd w:id="147"/>
    <w:p>
      <w:pPr>
        <w:ind w:left="1"/>
        <w:spacing w:after="0"/>
        <w:rPr>
          <w:sz w:val="20"/>
          <w:szCs w:val="20"/>
          <w:color w:val="auto"/>
        </w:rPr>
      </w:pPr>
      <w:r>
        <w:rPr>
          <w:rFonts w:ascii="Arial" w:cs="Arial" w:eastAsia="Arial" w:hAnsi="Arial"/>
          <w:sz w:val="16"/>
          <w:szCs w:val="16"/>
          <w:color w:val="auto"/>
        </w:rPr>
        <w:t>Financial liabilities subject to offsetting, enforceable offsetting master agreements and similar agreements:</w:t>
      </w:r>
    </w:p>
    <w:p>
      <w:pPr>
        <w:spacing w:after="0" w:line="200" w:lineRule="exact"/>
        <w:rPr>
          <w:sz w:val="20"/>
          <w:szCs w:val="20"/>
          <w:color w:val="auto"/>
        </w:rPr>
      </w:pPr>
    </w:p>
    <w:tbl>
      <w:tblPr>
        <w:tblLayout w:type="fixed"/>
        <w:tblInd w:w="1"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right="538"/>
              <w:spacing w:after="0"/>
              <w:rPr>
                <w:sz w:val="20"/>
                <w:szCs w:val="20"/>
                <w:color w:val="auto"/>
              </w:rPr>
            </w:pPr>
            <w:r>
              <w:rPr>
                <w:rFonts w:ascii="Arial" w:cs="Arial" w:eastAsia="Arial" w:hAnsi="Arial"/>
                <w:sz w:val="13"/>
                <w:szCs w:val="13"/>
                <w:b w:val="1"/>
                <w:bCs w:val="1"/>
                <w:color w:val="auto"/>
                <w:w w:val="87"/>
              </w:rPr>
              <w:t>As of December 31, 2018</w:t>
            </w: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rPr>
              <w:t>Net amounts of</w:t>
            </w: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5"/>
              </w:rPr>
              <w:t>Gross amounts</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6"/>
              </w:rPr>
              <w:t>Gross amounts of</w:t>
            </w:r>
          </w:p>
        </w:tc>
        <w:tc>
          <w:tcPr>
            <w:tcW w:w="11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7"/>
              </w:rPr>
              <w:t>financial liabilities</w:t>
            </w:r>
          </w:p>
        </w:tc>
        <w:tc>
          <w:tcPr>
            <w:tcW w:w="1980" w:type="dxa"/>
            <w:vAlign w:val="bottom"/>
            <w:gridSpan w:val="4"/>
          </w:tcPr>
          <w:p>
            <w:pPr>
              <w:jc w:val="center"/>
              <w:ind w:right="158"/>
              <w:spacing w:after="0" w:line="139" w:lineRule="exact"/>
              <w:rPr>
                <w:sz w:val="20"/>
                <w:szCs w:val="20"/>
                <w:color w:val="auto"/>
              </w:rPr>
            </w:pPr>
            <w:r>
              <w:rPr>
                <w:rFonts w:ascii="Arial" w:cs="Arial" w:eastAsia="Arial" w:hAnsi="Arial"/>
                <w:sz w:val="13"/>
                <w:szCs w:val="13"/>
                <w:b w:val="1"/>
                <w:bCs w:val="1"/>
                <w:color w:val="auto"/>
                <w:w w:val="86"/>
              </w:rPr>
              <w:t>Related amounts not offset in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recognized</w:t>
            </w: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presented in the</w:t>
            </w:r>
          </w:p>
        </w:tc>
        <w:tc>
          <w:tcPr>
            <w:tcW w:w="1980" w:type="dxa"/>
            <w:vAlign w:val="bottom"/>
            <w:gridSpan w:val="4"/>
          </w:tcPr>
          <w:p>
            <w:pPr>
              <w:jc w:val="center"/>
              <w:ind w:right="158"/>
              <w:spacing w:after="0" w:line="131" w:lineRule="exact"/>
              <w:rPr>
                <w:sz w:val="20"/>
                <w:szCs w:val="20"/>
                <w:color w:val="auto"/>
              </w:rPr>
            </w:pPr>
            <w:r>
              <w:rPr>
                <w:rFonts w:ascii="Arial" w:cs="Arial" w:eastAsia="Arial" w:hAnsi="Arial"/>
                <w:sz w:val="13"/>
                <w:szCs w:val="13"/>
                <w:b w:val="1"/>
                <w:bCs w:val="1"/>
                <w:color w:val="auto"/>
                <w:w w:val="85"/>
              </w:rPr>
              <w:t>consolidated statement of</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1"/>
              </w:rPr>
              <w:t>of</w:t>
            </w:r>
          </w:p>
        </w:tc>
        <w:tc>
          <w:tcPr>
            <w:tcW w:w="1340" w:type="dxa"/>
            <w:vAlign w:val="bottom"/>
            <w:gridSpan w:val="3"/>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liabilities and offset</w:t>
            </w:r>
          </w:p>
        </w:tc>
        <w:tc>
          <w:tcPr>
            <w:tcW w:w="11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2"/>
              </w:rPr>
              <w:t>consolidated</w:t>
            </w:r>
          </w:p>
        </w:tc>
        <w:tc>
          <w:tcPr>
            <w:tcW w:w="1780" w:type="dxa"/>
            <w:vAlign w:val="bottom"/>
            <w:tcBorders>
              <w:bottom w:val="single" w:sz="8" w:color="auto"/>
            </w:tcBorders>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financial position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80"/>
              <w:spacing w:after="0" w:line="99" w:lineRule="exact"/>
              <w:rPr>
                <w:sz w:val="20"/>
                <w:szCs w:val="20"/>
                <w:color w:val="auto"/>
              </w:rPr>
            </w:pPr>
            <w:r>
              <w:rPr>
                <w:rFonts w:ascii="Arial" w:cs="Arial" w:eastAsia="Arial" w:hAnsi="Arial"/>
                <w:sz w:val="11"/>
                <w:szCs w:val="11"/>
                <w:b w:val="1"/>
                <w:bCs w:val="1"/>
                <w:color w:val="auto"/>
                <w:w w:val="99"/>
              </w:rPr>
              <w:t>recognized</w:t>
            </w:r>
          </w:p>
        </w:tc>
        <w:tc>
          <w:tcPr>
            <w:tcW w:w="100" w:type="dxa"/>
            <w:vAlign w:val="bottom"/>
          </w:tcPr>
          <w:p>
            <w:pPr>
              <w:spacing w:after="0"/>
              <w:rPr>
                <w:sz w:val="8"/>
                <w:szCs w:val="8"/>
                <w:color w:val="auto"/>
              </w:rPr>
            </w:pPr>
          </w:p>
        </w:tc>
        <w:tc>
          <w:tcPr>
            <w:tcW w:w="1240" w:type="dxa"/>
            <w:vAlign w:val="bottom"/>
            <w:gridSpan w:val="2"/>
          </w:tcPr>
          <w:p>
            <w:pPr>
              <w:jc w:val="center"/>
              <w:ind w:right="200"/>
              <w:spacing w:after="0" w:line="99" w:lineRule="exact"/>
              <w:rPr>
                <w:sz w:val="20"/>
                <w:szCs w:val="20"/>
                <w:color w:val="auto"/>
              </w:rPr>
            </w:pPr>
            <w:r>
              <w:rPr>
                <w:rFonts w:ascii="Arial" w:cs="Arial" w:eastAsia="Arial" w:hAnsi="Arial"/>
                <w:sz w:val="11"/>
                <w:szCs w:val="11"/>
                <w:b w:val="1"/>
                <w:bCs w:val="1"/>
                <w:color w:val="auto"/>
                <w:w w:val="99"/>
              </w:rPr>
              <w:t>in the consolidated</w:t>
            </w:r>
          </w:p>
        </w:tc>
        <w:tc>
          <w:tcPr>
            <w:tcW w:w="1180" w:type="dxa"/>
            <w:vAlign w:val="bottom"/>
            <w:gridSpan w:val="2"/>
          </w:tcPr>
          <w:p>
            <w:pPr>
              <w:jc w:val="center"/>
              <w:ind w:right="200"/>
              <w:spacing w:after="0" w:line="99" w:lineRule="exact"/>
              <w:rPr>
                <w:sz w:val="20"/>
                <w:szCs w:val="20"/>
                <w:color w:val="auto"/>
              </w:rPr>
            </w:pPr>
            <w:r>
              <w:rPr>
                <w:rFonts w:ascii="Arial" w:cs="Arial" w:eastAsia="Arial" w:hAnsi="Arial"/>
                <w:sz w:val="11"/>
                <w:szCs w:val="11"/>
                <w:b w:val="1"/>
                <w:bCs w:val="1"/>
                <w:color w:val="auto"/>
              </w:rPr>
              <w:t>statement of</w:t>
            </w:r>
          </w:p>
        </w:tc>
        <w:tc>
          <w:tcPr>
            <w:tcW w:w="980" w:type="dxa"/>
            <w:vAlign w:val="bottom"/>
            <w:gridSpan w:val="2"/>
            <w:vMerge w:val="restart"/>
          </w:tcPr>
          <w:p>
            <w:pPr>
              <w:jc w:val="center"/>
              <w:ind w:right="198"/>
              <w:spacing w:after="0"/>
              <w:rPr>
                <w:sz w:val="20"/>
                <w:szCs w:val="20"/>
                <w:color w:val="auto"/>
              </w:rPr>
            </w:pPr>
            <w:r>
              <w:rPr>
                <w:rFonts w:ascii="Arial" w:cs="Arial" w:eastAsia="Arial" w:hAnsi="Arial"/>
                <w:sz w:val="13"/>
                <w:szCs w:val="13"/>
                <w:b w:val="1"/>
                <w:bCs w:val="1"/>
                <w:color w:val="auto"/>
                <w:w w:val="88"/>
              </w:rPr>
              <w:t>Financial</w:t>
            </w:r>
          </w:p>
        </w:tc>
        <w:tc>
          <w:tcPr>
            <w:tcW w:w="100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8"/>
              </w:rPr>
              <w:t>Cash collateral</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Details</w:t>
            </w:r>
          </w:p>
        </w:tc>
        <w:tc>
          <w:tcPr>
            <w:tcW w:w="90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7"/>
              </w:rPr>
              <w:t>financial</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statement of</w:t>
            </w: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financial</w:t>
            </w:r>
          </w:p>
        </w:tc>
        <w:tc>
          <w:tcPr>
            <w:tcW w:w="9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Net amount</w:t>
            </w:r>
          </w:p>
        </w:tc>
        <w:tc>
          <w:tcPr>
            <w:tcW w:w="0" w:type="dxa"/>
            <w:vAlign w:val="bottom"/>
          </w:tcPr>
          <w:p>
            <w:pPr>
              <w:spacing w:after="0"/>
              <w:rPr>
                <w:sz w:val="1"/>
                <w:szCs w:val="1"/>
                <w:color w:val="auto"/>
              </w:rPr>
            </w:pPr>
          </w:p>
        </w:tc>
      </w:tr>
      <w:tr>
        <w:trPr>
          <w:trHeight w:val="150"/>
        </w:trPr>
        <w:tc>
          <w:tcPr>
            <w:tcW w:w="4820" w:type="dxa"/>
            <w:vAlign w:val="bottom"/>
            <w:gridSpan w:val="2"/>
            <w:vMerge w:val="continue"/>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financial position</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position</w:t>
            </w:r>
          </w:p>
        </w:tc>
        <w:tc>
          <w:tcPr>
            <w:tcW w:w="98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8"/>
              </w:rPr>
              <w:t>instruments</w:t>
            </w:r>
          </w:p>
        </w:tc>
        <w:tc>
          <w:tcPr>
            <w:tcW w:w="100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4"/>
              </w:rPr>
              <w:t>pledged</w:t>
            </w: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9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4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8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Payables on derivatives</w:t>
            </w:r>
          </w:p>
        </w:tc>
        <w:tc>
          <w:tcPr>
            <w:tcW w:w="9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715,804</w:t>
            </w:r>
          </w:p>
        </w:tc>
        <w:tc>
          <w:tcPr>
            <w:tcW w:w="134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center"/>
              <w:ind w:left="319"/>
              <w:spacing w:after="0" w:line="131" w:lineRule="exact"/>
              <w:rPr>
                <w:sz w:val="20"/>
                <w:szCs w:val="20"/>
                <w:color w:val="auto"/>
              </w:rPr>
            </w:pPr>
            <w:r>
              <w:rPr>
                <w:rFonts w:ascii="Arial" w:cs="Arial" w:eastAsia="Arial" w:hAnsi="Arial"/>
                <w:sz w:val="13"/>
                <w:szCs w:val="13"/>
                <w:color w:val="auto"/>
                <w:w w:val="85"/>
              </w:rPr>
              <w:t>715,804</w:t>
            </w:r>
          </w:p>
        </w:tc>
        <w:tc>
          <w:tcPr>
            <w:tcW w:w="98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(44,159)</w:t>
            </w:r>
          </w:p>
        </w:tc>
        <w:tc>
          <w:tcPr>
            <w:tcW w:w="10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(190,212)</w:t>
            </w:r>
          </w:p>
        </w:tc>
        <w:tc>
          <w:tcPr>
            <w:tcW w:w="76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481,433</w:t>
            </w:r>
          </w:p>
        </w:tc>
        <w:tc>
          <w:tcPr>
            <w:tcW w:w="0" w:type="dxa"/>
            <w:vAlign w:val="bottom"/>
          </w:tcPr>
          <w:p>
            <w:pPr>
              <w:spacing w:after="0"/>
              <w:rPr>
                <w:sz w:val="1"/>
                <w:szCs w:val="1"/>
                <w:color w:val="auto"/>
              </w:rPr>
            </w:pPr>
          </w:p>
        </w:tc>
      </w:tr>
      <w:tr>
        <w:trPr>
          <w:trHeight w:val="142"/>
        </w:trPr>
        <w:tc>
          <w:tcPr>
            <w:tcW w:w="4820" w:type="dxa"/>
            <w:vAlign w:val="bottom"/>
            <w:gridSpan w:val="2"/>
          </w:tcPr>
          <w:p>
            <w:pPr>
              <w:spacing w:after="0" w:line="143" w:lineRule="exact"/>
              <w:rPr>
                <w:sz w:val="20"/>
                <w:szCs w:val="20"/>
                <w:color w:val="auto"/>
              </w:rPr>
            </w:pPr>
            <w:r>
              <w:rPr>
                <w:rFonts w:ascii="Arial" w:cs="Arial" w:eastAsia="Arial" w:hAnsi="Arial"/>
                <w:sz w:val="13"/>
                <w:szCs w:val="13"/>
                <w:color w:val="auto"/>
              </w:rPr>
              <w:t>Payables on repurchase agreements and securites lending</w:t>
            </w:r>
          </w:p>
        </w:tc>
        <w:tc>
          <w:tcPr>
            <w:tcW w:w="9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9,415,357</w:t>
            </w:r>
          </w:p>
        </w:tc>
        <w:tc>
          <w:tcPr>
            <w:tcW w:w="1340" w:type="dxa"/>
            <w:vAlign w:val="bottom"/>
            <w:gridSpan w:val="3"/>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9,415,357</w:t>
            </w:r>
          </w:p>
        </w:tc>
        <w:tc>
          <w:tcPr>
            <w:tcW w:w="200" w:type="dxa"/>
            <w:vAlign w:val="bottom"/>
          </w:tcPr>
          <w:p>
            <w:pPr>
              <w:spacing w:after="0"/>
              <w:rPr>
                <w:sz w:val="12"/>
                <w:szCs w:val="12"/>
                <w:color w:val="auto"/>
              </w:rPr>
            </w:pPr>
          </w:p>
        </w:tc>
        <w:tc>
          <w:tcPr>
            <w:tcW w:w="98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(3,123,930)</w:t>
            </w:r>
          </w:p>
        </w:tc>
        <w:tc>
          <w:tcPr>
            <w:tcW w:w="1000" w:type="dxa"/>
            <w:vAlign w:val="bottom"/>
            <w:gridSpan w:val="2"/>
          </w:tcPr>
          <w:p>
            <w:pPr>
              <w:jc w:val="right"/>
              <w:ind w:right="118"/>
              <w:spacing w:after="0" w:line="143" w:lineRule="exact"/>
              <w:rPr>
                <w:sz w:val="20"/>
                <w:szCs w:val="20"/>
                <w:color w:val="auto"/>
              </w:rPr>
            </w:pPr>
            <w:r>
              <w:rPr>
                <w:rFonts w:ascii="Arial" w:cs="Arial" w:eastAsia="Arial" w:hAnsi="Arial"/>
                <w:sz w:val="13"/>
                <w:szCs w:val="13"/>
                <w:color w:val="auto"/>
              </w:rPr>
              <w:t>(3,409,890)</w:t>
            </w:r>
          </w:p>
        </w:tc>
        <w:tc>
          <w:tcPr>
            <w:tcW w:w="7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2,881,537</w:t>
            </w:r>
          </w:p>
        </w:tc>
        <w:tc>
          <w:tcPr>
            <w:tcW w:w="0" w:type="dxa"/>
            <w:vAlign w:val="bottom"/>
          </w:tcPr>
          <w:p>
            <w:pPr>
              <w:spacing w:after="0"/>
              <w:rPr>
                <w:sz w:val="1"/>
                <w:szCs w:val="1"/>
                <w:color w:val="auto"/>
              </w:rPr>
            </w:pPr>
          </w:p>
        </w:tc>
      </w:tr>
      <w:tr>
        <w:trPr>
          <w:trHeight w:val="134"/>
        </w:trPr>
        <w:tc>
          <w:tcPr>
            <w:tcW w:w="482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10,131,161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10,131,161</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(3,168,089</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(3,600,102</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3,362,970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right="538"/>
              <w:spacing w:after="0"/>
              <w:rPr>
                <w:sz w:val="20"/>
                <w:szCs w:val="20"/>
                <w:color w:val="auto"/>
              </w:rPr>
            </w:pPr>
            <w:r>
              <w:rPr>
                <w:rFonts w:ascii="Arial" w:cs="Arial" w:eastAsia="Arial" w:hAnsi="Arial"/>
                <w:sz w:val="13"/>
                <w:szCs w:val="13"/>
                <w:b w:val="1"/>
                <w:bCs w:val="1"/>
                <w:color w:val="auto"/>
                <w:w w:val="87"/>
              </w:rPr>
              <w:t>As of December 31, 2017</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rPr>
              <w:t>Net amounts of</w:t>
            </w: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5"/>
              </w:rPr>
              <w:t>Gross amounts</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6"/>
              </w:rPr>
              <w:t>Gross amounts of</w:t>
            </w:r>
          </w:p>
        </w:tc>
        <w:tc>
          <w:tcPr>
            <w:tcW w:w="11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7"/>
              </w:rPr>
              <w:t>financial liabilities</w:t>
            </w:r>
          </w:p>
        </w:tc>
        <w:tc>
          <w:tcPr>
            <w:tcW w:w="1980" w:type="dxa"/>
            <w:vAlign w:val="bottom"/>
            <w:gridSpan w:val="4"/>
          </w:tcPr>
          <w:p>
            <w:pPr>
              <w:jc w:val="center"/>
              <w:ind w:right="158"/>
              <w:spacing w:after="0" w:line="139" w:lineRule="exact"/>
              <w:rPr>
                <w:sz w:val="20"/>
                <w:szCs w:val="20"/>
                <w:color w:val="auto"/>
              </w:rPr>
            </w:pPr>
            <w:r>
              <w:rPr>
                <w:rFonts w:ascii="Arial" w:cs="Arial" w:eastAsia="Arial" w:hAnsi="Arial"/>
                <w:sz w:val="13"/>
                <w:szCs w:val="13"/>
                <w:b w:val="1"/>
                <w:bCs w:val="1"/>
                <w:color w:val="auto"/>
                <w:w w:val="86"/>
              </w:rPr>
              <w:t>Related amounts not offset in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recognized</w:t>
            </w: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presented in the</w:t>
            </w:r>
          </w:p>
        </w:tc>
        <w:tc>
          <w:tcPr>
            <w:tcW w:w="1980" w:type="dxa"/>
            <w:vAlign w:val="bottom"/>
            <w:gridSpan w:val="4"/>
          </w:tcPr>
          <w:p>
            <w:pPr>
              <w:jc w:val="center"/>
              <w:ind w:right="158"/>
              <w:spacing w:after="0" w:line="131" w:lineRule="exact"/>
              <w:rPr>
                <w:sz w:val="20"/>
                <w:szCs w:val="20"/>
                <w:color w:val="auto"/>
              </w:rPr>
            </w:pPr>
            <w:r>
              <w:rPr>
                <w:rFonts w:ascii="Arial" w:cs="Arial" w:eastAsia="Arial" w:hAnsi="Arial"/>
                <w:sz w:val="13"/>
                <w:szCs w:val="13"/>
                <w:b w:val="1"/>
                <w:bCs w:val="1"/>
                <w:color w:val="auto"/>
                <w:w w:val="85"/>
              </w:rPr>
              <w:t>consolidated statement of</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1"/>
              </w:rPr>
              <w:t>of</w:t>
            </w:r>
          </w:p>
        </w:tc>
        <w:tc>
          <w:tcPr>
            <w:tcW w:w="1340" w:type="dxa"/>
            <w:vAlign w:val="bottom"/>
            <w:gridSpan w:val="3"/>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liabilities and offset</w:t>
            </w:r>
          </w:p>
        </w:tc>
        <w:tc>
          <w:tcPr>
            <w:tcW w:w="11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2"/>
              </w:rPr>
              <w:t>consolidated</w:t>
            </w:r>
          </w:p>
        </w:tc>
        <w:tc>
          <w:tcPr>
            <w:tcW w:w="1780" w:type="dxa"/>
            <w:vAlign w:val="bottom"/>
            <w:tcBorders>
              <w:bottom w:val="single" w:sz="8" w:color="auto"/>
            </w:tcBorders>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financial position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80"/>
              <w:spacing w:after="0" w:line="99" w:lineRule="exact"/>
              <w:rPr>
                <w:sz w:val="20"/>
                <w:szCs w:val="20"/>
                <w:color w:val="auto"/>
              </w:rPr>
            </w:pPr>
            <w:r>
              <w:rPr>
                <w:rFonts w:ascii="Arial" w:cs="Arial" w:eastAsia="Arial" w:hAnsi="Arial"/>
                <w:sz w:val="11"/>
                <w:szCs w:val="11"/>
                <w:b w:val="1"/>
                <w:bCs w:val="1"/>
                <w:color w:val="auto"/>
                <w:w w:val="99"/>
              </w:rPr>
              <w:t>recognized</w:t>
            </w:r>
          </w:p>
        </w:tc>
        <w:tc>
          <w:tcPr>
            <w:tcW w:w="100" w:type="dxa"/>
            <w:vAlign w:val="bottom"/>
          </w:tcPr>
          <w:p>
            <w:pPr>
              <w:spacing w:after="0"/>
              <w:rPr>
                <w:sz w:val="8"/>
                <w:szCs w:val="8"/>
                <w:color w:val="auto"/>
              </w:rPr>
            </w:pPr>
          </w:p>
        </w:tc>
        <w:tc>
          <w:tcPr>
            <w:tcW w:w="1240" w:type="dxa"/>
            <w:vAlign w:val="bottom"/>
            <w:gridSpan w:val="2"/>
          </w:tcPr>
          <w:p>
            <w:pPr>
              <w:jc w:val="center"/>
              <w:ind w:right="200"/>
              <w:spacing w:after="0" w:line="99" w:lineRule="exact"/>
              <w:rPr>
                <w:sz w:val="20"/>
                <w:szCs w:val="20"/>
                <w:color w:val="auto"/>
              </w:rPr>
            </w:pPr>
            <w:r>
              <w:rPr>
                <w:rFonts w:ascii="Arial" w:cs="Arial" w:eastAsia="Arial" w:hAnsi="Arial"/>
                <w:sz w:val="11"/>
                <w:szCs w:val="11"/>
                <w:b w:val="1"/>
                <w:bCs w:val="1"/>
                <w:color w:val="auto"/>
                <w:w w:val="99"/>
              </w:rPr>
              <w:t>in the consolidated</w:t>
            </w:r>
          </w:p>
        </w:tc>
        <w:tc>
          <w:tcPr>
            <w:tcW w:w="1180" w:type="dxa"/>
            <w:vAlign w:val="bottom"/>
            <w:gridSpan w:val="2"/>
          </w:tcPr>
          <w:p>
            <w:pPr>
              <w:jc w:val="center"/>
              <w:ind w:right="200"/>
              <w:spacing w:after="0" w:line="99" w:lineRule="exact"/>
              <w:rPr>
                <w:sz w:val="20"/>
                <w:szCs w:val="20"/>
                <w:color w:val="auto"/>
              </w:rPr>
            </w:pPr>
            <w:r>
              <w:rPr>
                <w:rFonts w:ascii="Arial" w:cs="Arial" w:eastAsia="Arial" w:hAnsi="Arial"/>
                <w:sz w:val="11"/>
                <w:szCs w:val="11"/>
                <w:b w:val="1"/>
                <w:bCs w:val="1"/>
                <w:color w:val="auto"/>
              </w:rPr>
              <w:t>statement of</w:t>
            </w:r>
          </w:p>
        </w:tc>
        <w:tc>
          <w:tcPr>
            <w:tcW w:w="980" w:type="dxa"/>
            <w:vAlign w:val="bottom"/>
            <w:gridSpan w:val="2"/>
            <w:vMerge w:val="restart"/>
          </w:tcPr>
          <w:p>
            <w:pPr>
              <w:jc w:val="center"/>
              <w:ind w:right="198"/>
              <w:spacing w:after="0"/>
              <w:rPr>
                <w:sz w:val="20"/>
                <w:szCs w:val="20"/>
                <w:color w:val="auto"/>
              </w:rPr>
            </w:pPr>
            <w:r>
              <w:rPr>
                <w:rFonts w:ascii="Arial" w:cs="Arial" w:eastAsia="Arial" w:hAnsi="Arial"/>
                <w:sz w:val="13"/>
                <w:szCs w:val="13"/>
                <w:b w:val="1"/>
                <w:bCs w:val="1"/>
                <w:color w:val="auto"/>
                <w:w w:val="88"/>
              </w:rPr>
              <w:t>Financial</w:t>
            </w:r>
          </w:p>
        </w:tc>
        <w:tc>
          <w:tcPr>
            <w:tcW w:w="100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8"/>
              </w:rPr>
              <w:t>Cash collateral</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Details</w:t>
            </w:r>
          </w:p>
        </w:tc>
        <w:tc>
          <w:tcPr>
            <w:tcW w:w="90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7"/>
              </w:rPr>
              <w:t>financial</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statement of</w:t>
            </w: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financial</w:t>
            </w:r>
          </w:p>
        </w:tc>
        <w:tc>
          <w:tcPr>
            <w:tcW w:w="9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Net amount</w:t>
            </w:r>
          </w:p>
        </w:tc>
        <w:tc>
          <w:tcPr>
            <w:tcW w:w="0" w:type="dxa"/>
            <w:vAlign w:val="bottom"/>
          </w:tcPr>
          <w:p>
            <w:pPr>
              <w:spacing w:after="0"/>
              <w:rPr>
                <w:sz w:val="1"/>
                <w:szCs w:val="1"/>
                <w:color w:val="auto"/>
              </w:rPr>
            </w:pPr>
          </w:p>
        </w:tc>
      </w:tr>
      <w:tr>
        <w:trPr>
          <w:trHeight w:val="150"/>
        </w:trPr>
        <w:tc>
          <w:tcPr>
            <w:tcW w:w="4820" w:type="dxa"/>
            <w:vAlign w:val="bottom"/>
            <w:gridSpan w:val="2"/>
            <w:vMerge w:val="continue"/>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financial position</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position</w:t>
            </w:r>
          </w:p>
        </w:tc>
        <w:tc>
          <w:tcPr>
            <w:tcW w:w="98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8"/>
              </w:rPr>
              <w:t>instruments</w:t>
            </w:r>
          </w:p>
        </w:tc>
        <w:tc>
          <w:tcPr>
            <w:tcW w:w="100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4"/>
              </w:rPr>
              <w:t>pledged</w:t>
            </w: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9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4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8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Payables on derivatives</w:t>
            </w:r>
          </w:p>
        </w:tc>
        <w:tc>
          <w:tcPr>
            <w:tcW w:w="9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636,762</w:t>
            </w:r>
          </w:p>
        </w:tc>
        <w:tc>
          <w:tcPr>
            <w:tcW w:w="134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center"/>
              <w:ind w:left="319"/>
              <w:spacing w:after="0" w:line="131" w:lineRule="exact"/>
              <w:rPr>
                <w:sz w:val="20"/>
                <w:szCs w:val="20"/>
                <w:color w:val="auto"/>
              </w:rPr>
            </w:pPr>
            <w:r>
              <w:rPr>
                <w:rFonts w:ascii="Arial" w:cs="Arial" w:eastAsia="Arial" w:hAnsi="Arial"/>
                <w:sz w:val="13"/>
                <w:szCs w:val="13"/>
                <w:color w:val="auto"/>
                <w:w w:val="85"/>
              </w:rPr>
              <w:t>636,762</w:t>
            </w:r>
          </w:p>
        </w:tc>
        <w:tc>
          <w:tcPr>
            <w:tcW w:w="98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(86,292)</w:t>
            </w:r>
          </w:p>
        </w:tc>
        <w:tc>
          <w:tcPr>
            <w:tcW w:w="10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rPr>
              <w:t>(149,846)</w:t>
            </w:r>
          </w:p>
        </w:tc>
        <w:tc>
          <w:tcPr>
            <w:tcW w:w="76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400,624</w:t>
            </w:r>
          </w:p>
        </w:tc>
        <w:tc>
          <w:tcPr>
            <w:tcW w:w="0" w:type="dxa"/>
            <w:vAlign w:val="bottom"/>
          </w:tcPr>
          <w:p>
            <w:pPr>
              <w:spacing w:after="0"/>
              <w:rPr>
                <w:sz w:val="1"/>
                <w:szCs w:val="1"/>
                <w:color w:val="auto"/>
              </w:rPr>
            </w:pPr>
          </w:p>
        </w:tc>
      </w:tr>
      <w:tr>
        <w:trPr>
          <w:trHeight w:val="142"/>
        </w:trPr>
        <w:tc>
          <w:tcPr>
            <w:tcW w:w="4820" w:type="dxa"/>
            <w:vAlign w:val="bottom"/>
            <w:gridSpan w:val="2"/>
          </w:tcPr>
          <w:p>
            <w:pPr>
              <w:spacing w:after="0" w:line="143" w:lineRule="exact"/>
              <w:rPr>
                <w:sz w:val="20"/>
                <w:szCs w:val="20"/>
                <w:color w:val="auto"/>
              </w:rPr>
            </w:pPr>
            <w:r>
              <w:rPr>
                <w:rFonts w:ascii="Arial" w:cs="Arial" w:eastAsia="Arial" w:hAnsi="Arial"/>
                <w:sz w:val="13"/>
                <w:szCs w:val="13"/>
                <w:color w:val="auto"/>
              </w:rPr>
              <w:t>Payables on repurchase agreements and securites lending</w:t>
            </w:r>
          </w:p>
        </w:tc>
        <w:tc>
          <w:tcPr>
            <w:tcW w:w="9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13,415,843</w:t>
            </w:r>
          </w:p>
        </w:tc>
        <w:tc>
          <w:tcPr>
            <w:tcW w:w="1340" w:type="dxa"/>
            <w:vAlign w:val="bottom"/>
            <w:gridSpan w:val="3"/>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13,415,843</w:t>
            </w:r>
          </w:p>
        </w:tc>
        <w:tc>
          <w:tcPr>
            <w:tcW w:w="200" w:type="dxa"/>
            <w:vAlign w:val="bottom"/>
          </w:tcPr>
          <w:p>
            <w:pPr>
              <w:spacing w:after="0"/>
              <w:rPr>
                <w:sz w:val="12"/>
                <w:szCs w:val="12"/>
                <w:color w:val="auto"/>
              </w:rPr>
            </w:pPr>
          </w:p>
        </w:tc>
        <w:tc>
          <w:tcPr>
            <w:tcW w:w="98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(5,900,903)</w:t>
            </w:r>
          </w:p>
        </w:tc>
        <w:tc>
          <w:tcPr>
            <w:tcW w:w="1000" w:type="dxa"/>
            <w:vAlign w:val="bottom"/>
            <w:gridSpan w:val="2"/>
          </w:tcPr>
          <w:p>
            <w:pPr>
              <w:jc w:val="right"/>
              <w:ind w:right="118"/>
              <w:spacing w:after="0" w:line="143" w:lineRule="exact"/>
              <w:rPr>
                <w:sz w:val="20"/>
                <w:szCs w:val="20"/>
                <w:color w:val="auto"/>
              </w:rPr>
            </w:pPr>
            <w:r>
              <w:rPr>
                <w:rFonts w:ascii="Arial" w:cs="Arial" w:eastAsia="Arial" w:hAnsi="Arial"/>
                <w:sz w:val="13"/>
                <w:szCs w:val="13"/>
                <w:color w:val="auto"/>
              </w:rPr>
              <w:t>(6,962,421)</w:t>
            </w:r>
          </w:p>
        </w:tc>
        <w:tc>
          <w:tcPr>
            <w:tcW w:w="7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552,519</w:t>
            </w:r>
          </w:p>
        </w:tc>
        <w:tc>
          <w:tcPr>
            <w:tcW w:w="0" w:type="dxa"/>
            <w:vAlign w:val="bottom"/>
          </w:tcPr>
          <w:p>
            <w:pPr>
              <w:spacing w:after="0"/>
              <w:rPr>
                <w:sz w:val="1"/>
                <w:szCs w:val="1"/>
                <w:color w:val="auto"/>
              </w:rPr>
            </w:pPr>
          </w:p>
        </w:tc>
      </w:tr>
      <w:tr>
        <w:trPr>
          <w:trHeight w:val="134"/>
        </w:trPr>
        <w:tc>
          <w:tcPr>
            <w:tcW w:w="482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14,052,605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14,052,605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(5,987,195</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(7,112,267</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953,143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gross amounts of financial assets and liabilities disclosed in the above tables have been measured in the statement of financial position on the following basis:</w:t>
      </w:r>
    </w:p>
    <w:p>
      <w:pPr>
        <w:spacing w:after="0" w:line="207" w:lineRule="exact"/>
        <w:rPr>
          <w:sz w:val="20"/>
          <w:szCs w:val="20"/>
          <w:color w:val="auto"/>
        </w:rPr>
      </w:pPr>
    </w:p>
    <w:p>
      <w:pPr>
        <w:ind w:left="281" w:hanging="281"/>
        <w:spacing w:after="0"/>
        <w:tabs>
          <w:tab w:leader="none" w:pos="28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Derivative assets and liabilities are measured at fair value.</w:t>
      </w:r>
    </w:p>
    <w:p>
      <w:pPr>
        <w:spacing w:after="0" w:line="195" w:lineRule="exact"/>
        <w:rPr>
          <w:rFonts w:ascii="Arial" w:cs="Arial" w:eastAsia="Arial" w:hAnsi="Arial"/>
          <w:sz w:val="16"/>
          <w:szCs w:val="16"/>
          <w:color w:val="auto"/>
        </w:rPr>
      </w:pPr>
    </w:p>
    <w:p>
      <w:pPr>
        <w:ind w:left="281" w:hanging="281"/>
        <w:spacing w:after="0"/>
        <w:tabs>
          <w:tab w:leader="none" w:pos="28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Receivables from reverse repurchase agreements and securities lending are measured at amortized cost.</w:t>
      </w:r>
    </w:p>
    <w:p>
      <w:pPr>
        <w:spacing w:after="0" w:line="195" w:lineRule="exact"/>
        <w:rPr>
          <w:rFonts w:ascii="Arial" w:cs="Arial" w:eastAsia="Arial" w:hAnsi="Arial"/>
          <w:sz w:val="16"/>
          <w:szCs w:val="16"/>
          <w:color w:val="auto"/>
        </w:rPr>
      </w:pPr>
    </w:p>
    <w:p>
      <w:pPr>
        <w:ind w:left="281" w:hanging="281"/>
        <w:spacing w:after="0"/>
        <w:tabs>
          <w:tab w:leader="none" w:pos="28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Financial liabilities are measured at fair value.</w:t>
      </w:r>
    </w:p>
    <w:p>
      <w:pPr>
        <w:spacing w:after="0" w:line="195" w:lineRule="exact"/>
        <w:rPr>
          <w:sz w:val="20"/>
          <w:szCs w:val="20"/>
          <w:color w:val="auto"/>
        </w:rPr>
      </w:pPr>
    </w:p>
    <w:p>
      <w:pPr>
        <w:ind w:left="1"/>
        <w:spacing w:after="0" w:line="283" w:lineRule="auto"/>
        <w:rPr>
          <w:sz w:val="20"/>
          <w:szCs w:val="20"/>
          <w:color w:val="auto"/>
        </w:rPr>
      </w:pPr>
      <w:r>
        <w:rPr>
          <w:rFonts w:ascii="Arial" w:cs="Arial" w:eastAsia="Arial" w:hAnsi="Arial"/>
          <w:sz w:val="15"/>
          <w:szCs w:val="15"/>
          <w:color w:val="auto"/>
        </w:rPr>
        <w:t>The difference between the carrying amount in the consolidated statement of financial position and the amounts presented in the tables above for derivatives (presented in other assets Note 12(b)), receivables from reverse repurchase agreement and securities borrowing and payables from repurchase agreements and securities lending and financial liabilities measured at fair value through profit or loss are financial instruments outside of the scope of offsetting disclosure.</w:t>
      </w: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- 141 -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1"/>
          </w:cols>
          <w:pgMar w:left="519" w:top="814" w:right="27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color w:val="auto"/>
        </w:rPr>
        <w:t>33.2 Market risk -</w:t>
      </w:r>
    </w:p>
    <w:p>
      <w:pPr>
        <w:spacing w:after="0" w:line="199" w:lineRule="exact"/>
        <w:rPr>
          <w:sz w:val="20"/>
          <w:szCs w:val="20"/>
          <w:color w:val="auto"/>
        </w:rPr>
      </w:pPr>
    </w:p>
    <w:p>
      <w:pPr>
        <w:jc w:val="both"/>
        <w:ind w:left="280" w:right="280"/>
        <w:spacing w:after="0" w:line="254" w:lineRule="auto"/>
        <w:rPr>
          <w:sz w:val="20"/>
          <w:szCs w:val="20"/>
          <w:color w:val="auto"/>
        </w:rPr>
      </w:pPr>
      <w:r>
        <w:rPr>
          <w:rFonts w:ascii="Arial" w:cs="Arial" w:eastAsia="Arial" w:hAnsi="Arial"/>
          <w:sz w:val="16"/>
          <w:szCs w:val="16"/>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69" w:lineRule="exact"/>
        <w:rPr>
          <w:sz w:val="20"/>
          <w:szCs w:val="20"/>
          <w:color w:val="auto"/>
        </w:rPr>
      </w:pPr>
    </w:p>
    <w:p>
      <w:pPr>
        <w:ind w:left="280" w:right="20"/>
        <w:spacing w:after="0" w:line="254" w:lineRule="auto"/>
        <w:rPr>
          <w:sz w:val="20"/>
          <w:szCs w:val="20"/>
          <w:color w:val="auto"/>
        </w:rPr>
      </w:pPr>
      <w:r>
        <w:rPr>
          <w:rFonts w:ascii="Arial" w:cs="Arial" w:eastAsia="Arial" w:hAnsi="Arial"/>
          <w:sz w:val="16"/>
          <w:szCs w:val="16"/>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with changes in other comprehensive income, this is due to movements in interest rates, prices and currency exchange rates.</w:t>
      </w:r>
    </w:p>
    <w:p>
      <w:pPr>
        <w:spacing w:after="0" w:line="169" w:lineRule="exact"/>
        <w:rPr>
          <w:sz w:val="20"/>
          <w:szCs w:val="20"/>
          <w:color w:val="auto"/>
        </w:rPr>
      </w:pPr>
    </w:p>
    <w:p>
      <w:pPr>
        <w:ind w:left="280" w:right="260"/>
        <w:spacing w:after="0" w:line="269" w:lineRule="auto"/>
        <w:rPr>
          <w:sz w:val="20"/>
          <w:szCs w:val="20"/>
          <w:color w:val="auto"/>
        </w:rPr>
      </w:pPr>
      <w:r>
        <w:rPr>
          <w:rFonts w:ascii="Arial" w:cs="Arial" w:eastAsia="Arial" w:hAnsi="Arial"/>
          <w:sz w:val="16"/>
          <w:szCs w:val="16"/>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57" w:lineRule="exact"/>
        <w:rPr>
          <w:sz w:val="20"/>
          <w:szCs w:val="20"/>
          <w:color w:val="auto"/>
        </w:rPr>
      </w:pPr>
    </w:p>
    <w:p>
      <w:pPr>
        <w:ind w:left="560" w:hanging="281"/>
        <w:spacing w:after="0"/>
        <w:tabs>
          <w:tab w:leader="none" w:pos="5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Trading Book -</w:t>
      </w:r>
    </w:p>
    <w:p>
      <w:pPr>
        <w:spacing w:after="0" w:line="195" w:lineRule="exact"/>
        <w:rPr>
          <w:rFonts w:ascii="Arial" w:cs="Arial" w:eastAsia="Arial" w:hAnsi="Arial"/>
          <w:sz w:val="16"/>
          <w:szCs w:val="16"/>
          <w:color w:val="auto"/>
        </w:rPr>
      </w:pPr>
    </w:p>
    <w:p>
      <w:pPr>
        <w:ind w:left="560"/>
        <w:spacing w:after="0" w:line="303" w:lineRule="auto"/>
        <w:rPr>
          <w:rFonts w:ascii="Arial" w:cs="Arial" w:eastAsia="Arial" w:hAnsi="Arial"/>
          <w:sz w:val="16"/>
          <w:szCs w:val="16"/>
          <w:color w:val="auto"/>
        </w:rPr>
      </w:pPr>
      <w:r>
        <w:rPr>
          <w:rFonts w:ascii="Arial" w:cs="Arial" w:eastAsia="Arial" w:hAnsi="Arial"/>
          <w:sz w:val="15"/>
          <w:szCs w:val="15"/>
          <w:color w:val="auto"/>
        </w:rPr>
        <w:t>The trading book is characterized for having liquid positions in stocks, bonds, foreign currencies and derivatives, arising from market-making transactions where the Group acts as principal with the customers or with the market. This portfolio includes investments and derivatives classified by Management as held for trading.</w:t>
      </w:r>
    </w:p>
    <w:p>
      <w:pPr>
        <w:spacing w:after="0" w:line="133" w:lineRule="exact"/>
        <w:rPr>
          <w:rFonts w:ascii="Arial" w:cs="Arial" w:eastAsia="Arial" w:hAnsi="Arial"/>
          <w:sz w:val="16"/>
          <w:szCs w:val="16"/>
          <w:color w:val="auto"/>
        </w:rPr>
      </w:pPr>
    </w:p>
    <w:p>
      <w:pPr>
        <w:ind w:left="840" w:hanging="276"/>
        <w:spacing w:after="0"/>
        <w:tabs>
          <w:tab w:leader="none" w:pos="8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Value at Risk (VaR) -</w:t>
      </w:r>
    </w:p>
    <w:p>
      <w:pPr>
        <w:spacing w:after="0" w:line="195" w:lineRule="exact"/>
        <w:rPr>
          <w:rFonts w:ascii="Arial" w:cs="Arial" w:eastAsia="Arial" w:hAnsi="Arial"/>
          <w:sz w:val="16"/>
          <w:szCs w:val="16"/>
          <w:color w:val="auto"/>
        </w:rPr>
      </w:pPr>
    </w:p>
    <w:p>
      <w:pPr>
        <w:ind w:left="840" w:right="260"/>
        <w:spacing w:after="0" w:line="269" w:lineRule="auto"/>
        <w:rPr>
          <w:rFonts w:ascii="Arial" w:cs="Arial" w:eastAsia="Arial" w:hAnsi="Arial"/>
          <w:sz w:val="16"/>
          <w:szCs w:val="16"/>
          <w:color w:val="auto"/>
        </w:rPr>
      </w:pPr>
      <w:r>
        <w:rPr>
          <w:rFonts w:ascii="Arial" w:cs="Arial" w:eastAsia="Arial" w:hAnsi="Arial"/>
          <w:sz w:val="16"/>
          <w:szCs w:val="16"/>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5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Daily calculation of VaR is a statistically-based estimate of the maximum potential loss on the current portfolio from adverse market movements.</w:t>
      </w:r>
    </w:p>
    <w:p>
      <w:pPr>
        <w:spacing w:after="0" w:line="195" w:lineRule="exact"/>
        <w:rPr>
          <w:rFonts w:ascii="Arial" w:cs="Arial" w:eastAsia="Arial" w:hAnsi="Arial"/>
          <w:sz w:val="16"/>
          <w:szCs w:val="16"/>
          <w:color w:val="auto"/>
        </w:rPr>
      </w:pPr>
    </w:p>
    <w:p>
      <w:pPr>
        <w:ind w:left="840" w:right="20"/>
        <w:spacing w:after="0" w:line="342" w:lineRule="auto"/>
        <w:rPr>
          <w:rFonts w:ascii="Arial" w:cs="Arial" w:eastAsia="Arial" w:hAnsi="Arial"/>
          <w:sz w:val="16"/>
          <w:szCs w:val="16"/>
          <w:color w:val="auto"/>
        </w:rPr>
      </w:pPr>
      <w:r>
        <w:rPr>
          <w:rFonts w:ascii="Arial" w:cs="Arial" w:eastAsia="Arial" w:hAnsi="Arial"/>
          <w:sz w:val="14"/>
          <w:szCs w:val="14"/>
          <w:color w:val="auto"/>
        </w:rPr>
        <w:t>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10" w:lineRule="exact"/>
        <w:rPr>
          <w:rFonts w:ascii="Arial" w:cs="Arial" w:eastAsia="Arial" w:hAnsi="Arial"/>
          <w:sz w:val="16"/>
          <w:szCs w:val="16"/>
          <w:color w:val="auto"/>
        </w:rPr>
      </w:pPr>
    </w:p>
    <w:p>
      <w:pPr>
        <w:ind w:left="840" w:right="100"/>
        <w:spacing w:after="0" w:line="254" w:lineRule="auto"/>
        <w:rPr>
          <w:rFonts w:ascii="Arial" w:cs="Arial" w:eastAsia="Arial" w:hAnsi="Arial"/>
          <w:sz w:val="16"/>
          <w:szCs w:val="16"/>
          <w:color w:val="auto"/>
        </w:rPr>
      </w:pPr>
      <w:r>
        <w:rPr>
          <w:rFonts w:ascii="Arial" w:cs="Arial" w:eastAsia="Arial" w:hAnsi="Arial"/>
          <w:sz w:val="16"/>
          <w:szCs w:val="16"/>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on the basis of the risk appetite and the trading strategies of each subsidiary.</w:t>
      </w:r>
    </w:p>
    <w:p>
      <w:pPr>
        <w:spacing w:after="0" w:line="169" w:lineRule="exact"/>
        <w:rPr>
          <w:rFonts w:ascii="Arial" w:cs="Arial" w:eastAsia="Arial" w:hAnsi="Arial"/>
          <w:sz w:val="16"/>
          <w:szCs w:val="16"/>
          <w:color w:val="auto"/>
        </w:rPr>
      </w:pPr>
    </w:p>
    <w:p>
      <w:pPr>
        <w:jc w:val="both"/>
        <w:ind w:left="840" w:right="100"/>
        <w:spacing w:after="0" w:line="258" w:lineRule="auto"/>
        <w:rPr>
          <w:rFonts w:ascii="Arial" w:cs="Arial" w:eastAsia="Arial" w:hAnsi="Arial"/>
          <w:sz w:val="16"/>
          <w:szCs w:val="16"/>
          <w:color w:val="auto"/>
        </w:rPr>
      </w:pPr>
      <w:r>
        <w:rPr>
          <w:rFonts w:ascii="Arial" w:cs="Arial" w:eastAsia="Arial" w:hAnsi="Arial"/>
          <w:sz w:val="16"/>
          <w:szCs w:val="16"/>
          <w:color w:val="auto"/>
        </w:rPr>
        <w:t>The assessment of portfolio movements has been based on historical one-year data and 131 market risk factors, which are composed as follows: 31 market curves, 74 stock prices, 15 mutual funds values, 3 volatility series and 8 survival probability curves. The Group applies these historical changes in rates directly to each position of its current portfolio (a method known as historical simulation).</w:t>
      </w:r>
    </w:p>
    <w:p>
      <w:pPr>
        <w:spacing w:after="0" w:line="354" w:lineRule="exact"/>
        <w:rPr>
          <w:rFonts w:ascii="Arial" w:cs="Arial" w:eastAsia="Arial" w:hAnsi="Arial"/>
          <w:sz w:val="16"/>
          <w:szCs w:val="16"/>
          <w:color w:val="auto"/>
        </w:rPr>
      </w:pPr>
    </w:p>
    <w:p>
      <w:pPr>
        <w:ind w:left="5600" w:hanging="91"/>
        <w:spacing w:after="0"/>
        <w:tabs>
          <w:tab w:leader="none" w:pos="5600" w:val="left"/>
        </w:tabs>
        <w:numPr>
          <w:ilvl w:val="2"/>
          <w:numId w:val="176"/>
        </w:numPr>
        <w:rPr>
          <w:rFonts w:ascii="Arial" w:cs="Arial" w:eastAsia="Arial" w:hAnsi="Arial"/>
          <w:sz w:val="16"/>
          <w:szCs w:val="16"/>
          <w:color w:val="auto"/>
        </w:rPr>
      </w:pPr>
      <w:r>
        <w:rPr>
          <w:rFonts w:ascii="Arial" w:cs="Arial" w:eastAsia="Arial" w:hAnsi="Arial"/>
          <w:sz w:val="16"/>
          <w:szCs w:val="16"/>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149" w:name="page150"/>
    <w:bookmarkEnd w:id="149"/>
    <w:p>
      <w:pPr>
        <w:ind w:left="561" w:right="100"/>
        <w:spacing w:after="0" w:line="269" w:lineRule="auto"/>
        <w:rPr>
          <w:sz w:val="20"/>
          <w:szCs w:val="20"/>
          <w:color w:val="auto"/>
        </w:rPr>
      </w:pPr>
      <w:r>
        <w:rPr>
          <w:rFonts w:ascii="Arial" w:cs="Arial" w:eastAsia="Arial" w:hAnsi="Arial"/>
          <w:sz w:val="16"/>
          <w:szCs w:val="16"/>
          <w:color w:val="212121"/>
        </w:rPr>
        <w:t>The Group Management considers that the market risk factors, incorporated in their VaR model, are adequate to measure the market risk to which its trading portfolio is exposed.</w:t>
      </w:r>
    </w:p>
    <w:p>
      <w:pPr>
        <w:spacing w:after="0" w:line="157" w:lineRule="exact"/>
        <w:rPr>
          <w:sz w:val="20"/>
          <w:szCs w:val="20"/>
          <w:color w:val="auto"/>
        </w:rPr>
      </w:pPr>
    </w:p>
    <w:p>
      <w:pPr>
        <w:ind w:left="561" w:right="360"/>
        <w:spacing w:after="0" w:line="269" w:lineRule="auto"/>
        <w:rPr>
          <w:sz w:val="20"/>
          <w:szCs w:val="20"/>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may occur, on average under normal market conditions, not more than once every hundred days.</w:t>
      </w:r>
    </w:p>
    <w:p>
      <w:pPr>
        <w:spacing w:after="0" w:line="157" w:lineRule="exact"/>
        <w:rPr>
          <w:sz w:val="20"/>
          <w:szCs w:val="20"/>
          <w:color w:val="auto"/>
        </w:rPr>
      </w:pPr>
    </w:p>
    <w:p>
      <w:pPr>
        <w:ind w:left="561" w:right="100"/>
        <w:spacing w:after="0" w:line="258" w:lineRule="auto"/>
        <w:rPr>
          <w:sz w:val="20"/>
          <w:szCs w:val="20"/>
          <w:color w:val="auto"/>
        </w:rPr>
      </w:pPr>
      <w:r>
        <w:rPr>
          <w:rFonts w:ascii="Arial" w:cs="Arial" w:eastAsia="Arial" w:hAnsi="Arial"/>
          <w:sz w:val="16"/>
          <w:szCs w:val="16"/>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65" w:lineRule="exact"/>
        <w:rPr>
          <w:sz w:val="20"/>
          <w:szCs w:val="20"/>
          <w:color w:val="auto"/>
        </w:rPr>
      </w:pPr>
    </w:p>
    <w:p>
      <w:pPr>
        <w:ind w:left="561" w:right="280"/>
        <w:spacing w:after="0" w:line="258" w:lineRule="auto"/>
        <w:rPr>
          <w:sz w:val="20"/>
          <w:szCs w:val="20"/>
          <w:color w:val="auto"/>
        </w:rPr>
      </w:pPr>
      <w:r>
        <w:rPr>
          <w:rFonts w:ascii="Arial" w:cs="Arial" w:eastAsia="Arial" w:hAnsi="Arial"/>
          <w:sz w:val="16"/>
          <w:szCs w:val="16"/>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Credicorp Committee.</w:t>
      </w:r>
    </w:p>
    <w:p>
      <w:pPr>
        <w:spacing w:after="0" w:line="165" w:lineRule="exact"/>
        <w:rPr>
          <w:sz w:val="20"/>
          <w:szCs w:val="20"/>
          <w:color w:val="auto"/>
        </w:rPr>
      </w:pPr>
    </w:p>
    <w:p>
      <w:pPr>
        <w:ind w:left="561"/>
        <w:spacing w:after="0"/>
        <w:rPr>
          <w:sz w:val="20"/>
          <w:szCs w:val="20"/>
          <w:color w:val="auto"/>
        </w:rPr>
      </w:pPr>
      <w:r>
        <w:rPr>
          <w:rFonts w:ascii="Arial" w:cs="Arial" w:eastAsia="Arial" w:hAnsi="Arial"/>
          <w:sz w:val="15"/>
          <w:szCs w:val="15"/>
          <w:color w:val="auto"/>
        </w:rPr>
        <w:t>In VaR calculation, the effects of the exchange rate are not included because said effects are measured in the net monetary position, see note 32.2 (b)(ii).</w:t>
      </w:r>
    </w:p>
    <w:p>
      <w:pPr>
        <w:spacing w:after="0" w:line="207" w:lineRule="exact"/>
        <w:rPr>
          <w:sz w:val="20"/>
          <w:szCs w:val="20"/>
          <w:color w:val="auto"/>
        </w:rPr>
      </w:pPr>
    </w:p>
    <w:p>
      <w:pPr>
        <w:ind w:left="561" w:right="240"/>
        <w:spacing w:after="0" w:line="254" w:lineRule="auto"/>
        <w:rPr>
          <w:sz w:val="20"/>
          <w:szCs w:val="20"/>
          <w:color w:val="auto"/>
        </w:rPr>
      </w:pPr>
      <w:r>
        <w:rPr>
          <w:rFonts w:ascii="Arial" w:cs="Arial" w:eastAsia="Arial" w:hAnsi="Arial"/>
          <w:sz w:val="16"/>
          <w:szCs w:val="16"/>
          <w:color w:val="auto"/>
        </w:rPr>
        <w:t>The Group's VaR showed an increase as of December 31, 2018, due to the increased of the price risk and the interest rates risk, which were not offset for a greater diversification among risks. The greater price risk responds to a greater exposure in shares of Credicorp Capital Colombia. The greater rate risk responds to a lower diversification of the interest rate portfolios the subsidiaries. The VaR remains contained within the limits of the risk appetite established by the Bank's Risk Management.</w:t>
      </w:r>
    </w:p>
    <w:p>
      <w:pPr>
        <w:spacing w:after="0" w:line="169" w:lineRule="exact"/>
        <w:rPr>
          <w:sz w:val="20"/>
          <w:szCs w:val="20"/>
          <w:color w:val="auto"/>
        </w:rPr>
      </w:pPr>
    </w:p>
    <w:tbl>
      <w:tblPr>
        <w:tblLayout w:type="fixed"/>
        <w:tblInd w:w="561" w:type="dxa"/>
        <w:tblCellMar>
          <w:top w:w="0" w:type="dxa"/>
          <w:left w:w="0" w:type="dxa"/>
          <w:bottom w:w="0" w:type="dxa"/>
          <w:right w:w="0" w:type="dxa"/>
        </w:tblCellMar>
      </w:tblPr>
      <w:tr>
        <w:trPr>
          <w:trHeight w:val="201"/>
        </w:trPr>
        <w:tc>
          <w:tcPr>
            <w:tcW w:w="7160" w:type="dxa"/>
            <w:vAlign w:val="bottom"/>
            <w:gridSpan w:val="2"/>
          </w:tcPr>
          <w:p>
            <w:pPr>
              <w:spacing w:after="0"/>
              <w:rPr>
                <w:sz w:val="20"/>
                <w:szCs w:val="20"/>
                <w:color w:val="auto"/>
              </w:rPr>
            </w:pPr>
            <w:r>
              <w:rPr>
                <w:rFonts w:ascii="Arial" w:cs="Arial" w:eastAsia="Arial" w:hAnsi="Arial"/>
                <w:sz w:val="16"/>
                <w:szCs w:val="16"/>
                <w:color w:val="auto"/>
              </w:rPr>
              <w:t>As of December 31, 2018 and 2017, the Group’s VaR by risk type is as follows:</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4"/>
                <w:szCs w:val="24"/>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risk</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9,527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Price risk</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4,476</w:t>
            </w:r>
          </w:p>
        </w:tc>
        <w:tc>
          <w:tcPr>
            <w:tcW w:w="1300" w:type="dxa"/>
            <w:vAlign w:val="bottom"/>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Volatility risk</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Diversification effect</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(3,587)</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(3,195)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4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Consolidated VaR by type of risk</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1"/>
        <w:spacing w:after="0"/>
        <w:rPr>
          <w:sz w:val="20"/>
          <w:szCs w:val="20"/>
          <w:color w:val="auto"/>
        </w:rPr>
      </w:pPr>
      <w:r>
        <w:rPr>
          <w:rFonts w:ascii="Arial" w:cs="Arial" w:eastAsia="Arial" w:hAnsi="Arial"/>
          <w:sz w:val="16"/>
          <w:szCs w:val="16"/>
          <w:color w:val="auto"/>
        </w:rPr>
        <w:t>In VaR calculation, financial instruments from the trading book were taken.</w:t>
      </w:r>
    </w:p>
    <w:p>
      <w:pPr>
        <w:spacing w:after="0" w:line="195" w:lineRule="exact"/>
        <w:rPr>
          <w:sz w:val="20"/>
          <w:szCs w:val="20"/>
          <w:color w:val="auto"/>
        </w:rPr>
      </w:pPr>
    </w:p>
    <w:p>
      <w:pPr>
        <w:ind w:left="561" w:right="400"/>
        <w:spacing w:after="0" w:line="303" w:lineRule="auto"/>
        <w:rPr>
          <w:sz w:val="20"/>
          <w:szCs w:val="20"/>
          <w:color w:val="auto"/>
        </w:rPr>
      </w:pPr>
      <w:r>
        <w:rPr>
          <w:rFonts w:ascii="Arial" w:cs="Arial" w:eastAsia="Arial" w:hAnsi="Arial"/>
          <w:sz w:val="15"/>
          <w:szCs w:val="15"/>
          <w:color w:val="auto"/>
        </w:rPr>
        <w:t>On the other hand, the instruments recorded as fair values through profit or loss are not part of the selling business model are considered as part of the sensitivity analysis of rates in the next section. See the chart of sensitivity of earnings at risk, net economic value and price sensitivity.</w:t>
      </w:r>
    </w:p>
    <w:p>
      <w:pPr>
        <w:spacing w:after="0" w:line="133" w:lineRule="exact"/>
        <w:rPr>
          <w:sz w:val="20"/>
          <w:szCs w:val="20"/>
          <w:color w:val="auto"/>
        </w:rPr>
      </w:pPr>
    </w:p>
    <w:p>
      <w:pPr>
        <w:ind w:left="1"/>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5"/>
          <w:szCs w:val="15"/>
          <w:color w:val="auto"/>
        </w:rPr>
        <w:t>Banking Book -</w:t>
      </w:r>
    </w:p>
    <w:p>
      <w:pPr>
        <w:spacing w:after="0" w:line="195" w:lineRule="exact"/>
        <w:rPr>
          <w:sz w:val="20"/>
          <w:szCs w:val="20"/>
          <w:color w:val="auto"/>
        </w:rPr>
      </w:pPr>
    </w:p>
    <w:p>
      <w:pPr>
        <w:ind w:left="281" w:right="80"/>
        <w:spacing w:after="0" w:line="269" w:lineRule="auto"/>
        <w:rPr>
          <w:sz w:val="20"/>
          <w:szCs w:val="20"/>
          <w:color w:val="auto"/>
        </w:rPr>
      </w:pPr>
      <w:r>
        <w:rPr>
          <w:rFonts w:ascii="Arial" w:cs="Arial" w:eastAsia="Arial" w:hAnsi="Arial"/>
          <w:sz w:val="16"/>
          <w:szCs w:val="16"/>
          <w:color w:val="auto"/>
        </w:rPr>
        <w:t>Non-trading portfolios which comprise the Banking Book are exposed to different risks, given that they are sensitive to market rate movements, which could bring about a deterioration in the value of assets compared to liabilities and hence to a reduction of their net worth.</w:t>
      </w:r>
    </w:p>
    <w:p>
      <w:pPr>
        <w:spacing w:after="0" w:line="157" w:lineRule="exact"/>
        <w:rPr>
          <w:sz w:val="20"/>
          <w:szCs w:val="20"/>
          <w:color w:val="auto"/>
        </w:rPr>
      </w:pPr>
    </w:p>
    <w:p>
      <w:pPr>
        <w:ind w:left="281" w:hanging="281"/>
        <w:spacing w:after="0"/>
        <w:tabs>
          <w:tab w:leader="none" w:pos="28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Interest rate risk -</w:t>
      </w:r>
    </w:p>
    <w:p>
      <w:pPr>
        <w:spacing w:after="0" w:line="195" w:lineRule="exact"/>
        <w:rPr>
          <w:rFonts w:ascii="Arial" w:cs="Arial" w:eastAsia="Arial" w:hAnsi="Arial"/>
          <w:sz w:val="16"/>
          <w:szCs w:val="16"/>
          <w:color w:val="auto"/>
        </w:rPr>
      </w:pPr>
    </w:p>
    <w:p>
      <w:pPr>
        <w:ind w:left="281"/>
        <w:spacing w:after="0" w:line="258" w:lineRule="auto"/>
        <w:rPr>
          <w:rFonts w:ascii="Arial" w:cs="Arial" w:eastAsia="Arial" w:hAnsi="Arial"/>
          <w:sz w:val="16"/>
          <w:szCs w:val="16"/>
          <w:color w:val="auto"/>
        </w:rPr>
      </w:pPr>
      <w:r>
        <w:rPr>
          <w:rFonts w:ascii="Arial" w:cs="Arial" w:eastAsia="Arial" w:hAnsi="Arial"/>
          <w:sz w:val="16"/>
          <w:szCs w:val="16"/>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354" w:lineRule="exact"/>
        <w:rPr>
          <w:rFonts w:ascii="Arial" w:cs="Arial" w:eastAsia="Arial" w:hAnsi="Arial"/>
          <w:sz w:val="16"/>
          <w:szCs w:val="16"/>
          <w:color w:val="auto"/>
        </w:rPr>
      </w:pPr>
    </w:p>
    <w:p>
      <w:pPr>
        <w:ind w:left="5321" w:hanging="91"/>
        <w:spacing w:after="0"/>
        <w:tabs>
          <w:tab w:leader="none" w:pos="532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41"/>
          </w:cols>
          <w:pgMar w:left="519" w:top="815" w:right="23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color w:val="auto"/>
        </w:rPr>
        <w:t>The Risk Committee sets the guidelines regarding the level of unmatched repricing of interest rates that can be tolerated, which is periodically monitored through ALCO.</w:t>
      </w:r>
    </w:p>
    <w:p>
      <w:pPr>
        <w:spacing w:after="0" w:line="21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57"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color w:val="auto"/>
        </w:rPr>
        <w:t>In this regard, Group companies that are exposed to the interest rate risk are those that have yields based on interest, such as credits, investments and technical reserves. Interest rate risk management in BCP Peru, BCP Bolivia, MiBanco, Atlantic Security Bank and Pacífico Grupo Asegurador is carried out by performing a repricing gap analysis, sensitivity analysis of the financial margin (GER) and sensitivity analysis of the net economic value (VEN). These calculations consider different rate shocks in stress scenarios.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Analysis of repricing gap -</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repricing gap analysis is intended to measure the risk exposure of interest rate for repricing periods, in which both balance and out of balance assets and liabilities are grouped. This allows identifying those sections in which the rate variations would have a potential impact.</w:t>
      </w:r>
    </w:p>
    <w:p>
      <w:pPr>
        <w:spacing w:after="0" w:line="34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11430</wp:posOffset>
            </wp:positionV>
            <wp:extent cx="726313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740"/>
          </w:cols>
          <w:pgMar w:left="800" w:top="814" w:right="359" w:bottom="1440" w:gutter="0" w:footer="0" w:header="0"/>
        </w:sectPr>
      </w:pPr>
    </w:p>
    <w:bookmarkStart w:id="151" w:name="page152"/>
    <w:bookmarkEnd w:id="151"/>
    <w:p>
      <w:pPr>
        <w:ind w:left="5"/>
        <w:spacing w:after="0" w:line="269" w:lineRule="auto"/>
        <w:rPr>
          <w:sz w:val="20"/>
          <w:szCs w:val="20"/>
          <w:color w:val="auto"/>
        </w:rPr>
      </w:pPr>
      <w:r>
        <w:rPr>
          <w:rFonts w:ascii="Arial" w:cs="Arial" w:eastAsia="Arial" w:hAnsi="Arial"/>
          <w:sz w:val="16"/>
          <w:szCs w:val="16"/>
          <w:color w:val="auto"/>
        </w:rPr>
        <w:t>The table below summarizes the Group’s exposure to interest rate risks. It includes the Group’s financial instruments at carrying amounts, categorized by the earlier of contractual re-pricing or maturity dates, what occurs first:</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4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jc w:val="right"/>
              <w:ind w:right="698"/>
              <w:spacing w:after="0"/>
              <w:rPr>
                <w:sz w:val="20"/>
                <w:szCs w:val="20"/>
                <w:color w:val="auto"/>
              </w:rPr>
            </w:pPr>
            <w:r>
              <w:rPr>
                <w:rFonts w:ascii="Arial" w:cs="Arial" w:eastAsia="Arial" w:hAnsi="Arial"/>
                <w:sz w:val="13"/>
                <w:szCs w:val="13"/>
                <w:b w:val="1"/>
                <w:bCs w:val="1"/>
                <w:color w:val="auto"/>
                <w:w w:val="87"/>
              </w:rPr>
              <w:t>At December 31, 2018</w:t>
            </w: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4"/>
        </w:trPr>
        <w:tc>
          <w:tcPr>
            <w:tcW w:w="4240" w:type="dxa"/>
            <w:vAlign w:val="bottom"/>
          </w:tcPr>
          <w:p>
            <w:pPr>
              <w:spacing w:after="0"/>
              <w:rPr>
                <w:sz w:val="9"/>
                <w:szCs w:val="9"/>
                <w:color w:val="auto"/>
              </w:rPr>
            </w:pPr>
          </w:p>
        </w:tc>
        <w:tc>
          <w:tcPr>
            <w:tcW w:w="840" w:type="dxa"/>
            <w:vAlign w:val="bottom"/>
            <w:gridSpan w:val="2"/>
          </w:tcPr>
          <w:p>
            <w:pPr>
              <w:jc w:val="center"/>
              <w:ind w:right="138"/>
              <w:spacing w:after="0" w:line="114" w:lineRule="exact"/>
              <w:rPr>
                <w:sz w:val="20"/>
                <w:szCs w:val="20"/>
                <w:color w:val="auto"/>
              </w:rPr>
            </w:pPr>
            <w:r>
              <w:rPr>
                <w:rFonts w:ascii="Arial" w:cs="Arial" w:eastAsia="Arial" w:hAnsi="Arial"/>
                <w:sz w:val="13"/>
                <w:szCs w:val="13"/>
                <w:b w:val="1"/>
                <w:bCs w:val="1"/>
                <w:color w:val="auto"/>
                <w:w w:val="86"/>
              </w:rPr>
              <w:t>Up to 1</w:t>
            </w:r>
          </w:p>
        </w:tc>
        <w:tc>
          <w:tcPr>
            <w:tcW w:w="86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82"/>
              </w:rPr>
              <w:t>1 to 3</w:t>
            </w:r>
          </w:p>
        </w:tc>
        <w:tc>
          <w:tcPr>
            <w:tcW w:w="860" w:type="dxa"/>
            <w:vAlign w:val="bottom"/>
            <w:gridSpan w:val="2"/>
          </w:tcPr>
          <w:p>
            <w:pPr>
              <w:jc w:val="center"/>
              <w:ind w:right="127"/>
              <w:spacing w:after="0" w:line="114" w:lineRule="exact"/>
              <w:rPr>
                <w:sz w:val="20"/>
                <w:szCs w:val="20"/>
                <w:color w:val="auto"/>
              </w:rPr>
            </w:pPr>
            <w:r>
              <w:rPr>
                <w:rFonts w:ascii="Arial" w:cs="Arial" w:eastAsia="Arial" w:hAnsi="Arial"/>
                <w:sz w:val="13"/>
                <w:szCs w:val="13"/>
                <w:b w:val="1"/>
                <w:bCs w:val="1"/>
                <w:color w:val="auto"/>
                <w:w w:val="87"/>
              </w:rPr>
              <w:t>3 to 12</w:t>
            </w:r>
          </w:p>
        </w:tc>
        <w:tc>
          <w:tcPr>
            <w:tcW w:w="900" w:type="dxa"/>
            <w:vAlign w:val="bottom"/>
            <w:gridSpan w:val="2"/>
          </w:tcPr>
          <w:p>
            <w:pPr>
              <w:jc w:val="center"/>
              <w:ind w:right="158"/>
              <w:spacing w:after="0" w:line="114" w:lineRule="exact"/>
              <w:rPr>
                <w:sz w:val="20"/>
                <w:szCs w:val="20"/>
                <w:color w:val="auto"/>
              </w:rPr>
            </w:pPr>
            <w:r>
              <w:rPr>
                <w:rFonts w:ascii="Arial" w:cs="Arial" w:eastAsia="Arial" w:hAnsi="Arial"/>
                <w:sz w:val="13"/>
                <w:szCs w:val="13"/>
                <w:b w:val="1"/>
                <w:bCs w:val="1"/>
                <w:color w:val="auto"/>
                <w:w w:val="88"/>
              </w:rPr>
              <w:t>1 to 5</w:t>
            </w:r>
          </w:p>
        </w:tc>
        <w:tc>
          <w:tcPr>
            <w:tcW w:w="840" w:type="dxa"/>
            <w:vAlign w:val="bottom"/>
            <w:gridSpan w:val="2"/>
          </w:tcPr>
          <w:p>
            <w:pPr>
              <w:jc w:val="right"/>
              <w:ind w:right="178"/>
              <w:spacing w:after="0" w:line="114" w:lineRule="exact"/>
              <w:rPr>
                <w:sz w:val="20"/>
                <w:szCs w:val="20"/>
                <w:color w:val="auto"/>
              </w:rPr>
            </w:pPr>
            <w:r>
              <w:rPr>
                <w:rFonts w:ascii="Arial" w:cs="Arial" w:eastAsia="Arial" w:hAnsi="Arial"/>
                <w:sz w:val="13"/>
                <w:szCs w:val="13"/>
                <w:b w:val="1"/>
                <w:bCs w:val="1"/>
                <w:color w:val="auto"/>
                <w:w w:val="96"/>
              </w:rPr>
              <w:t>More than</w:t>
            </w:r>
          </w:p>
        </w:tc>
        <w:tc>
          <w:tcPr>
            <w:tcW w:w="920" w:type="dxa"/>
            <w:vAlign w:val="bottom"/>
            <w:gridSpan w:val="2"/>
          </w:tcPr>
          <w:p>
            <w:pPr>
              <w:jc w:val="center"/>
              <w:ind w:right="138"/>
              <w:spacing w:after="0" w:line="114" w:lineRule="exact"/>
              <w:rPr>
                <w:sz w:val="20"/>
                <w:szCs w:val="20"/>
                <w:color w:val="auto"/>
              </w:rPr>
            </w:pPr>
            <w:r>
              <w:rPr>
                <w:rFonts w:ascii="Arial" w:cs="Arial" w:eastAsia="Arial" w:hAnsi="Arial"/>
                <w:sz w:val="13"/>
                <w:szCs w:val="13"/>
                <w:b w:val="1"/>
                <w:bCs w:val="1"/>
                <w:color w:val="auto"/>
                <w:w w:val="86"/>
              </w:rPr>
              <w:t>Non-interest</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0"/>
        </w:trPr>
        <w:tc>
          <w:tcPr>
            <w:tcW w:w="4240" w:type="dxa"/>
            <w:vAlign w:val="bottom"/>
          </w:tcPr>
          <w:p>
            <w:pPr>
              <w:spacing w:after="0"/>
              <w:rPr>
                <w:sz w:val="13"/>
                <w:szCs w:val="13"/>
                <w:color w:val="auto"/>
              </w:rPr>
            </w:pPr>
          </w:p>
        </w:tc>
        <w:tc>
          <w:tcPr>
            <w:tcW w:w="84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5"/>
              </w:rPr>
              <w:t>month</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months</w:t>
            </w:r>
          </w:p>
        </w:tc>
        <w:tc>
          <w:tcPr>
            <w:tcW w:w="860" w:type="dxa"/>
            <w:vAlign w:val="bottom"/>
            <w:gridSpan w:val="2"/>
          </w:tcPr>
          <w:p>
            <w:pPr>
              <w:jc w:val="center"/>
              <w:ind w:right="127"/>
              <w:spacing w:after="0"/>
              <w:rPr>
                <w:sz w:val="20"/>
                <w:szCs w:val="20"/>
                <w:color w:val="auto"/>
              </w:rPr>
            </w:pPr>
            <w:r>
              <w:rPr>
                <w:rFonts w:ascii="Arial" w:cs="Arial" w:eastAsia="Arial" w:hAnsi="Arial"/>
                <w:sz w:val="13"/>
                <w:szCs w:val="13"/>
                <w:b w:val="1"/>
                <w:bCs w:val="1"/>
                <w:color w:val="auto"/>
                <w:w w:val="85"/>
              </w:rPr>
              <w:t>months</w:t>
            </w:r>
          </w:p>
        </w:tc>
        <w:tc>
          <w:tcPr>
            <w:tcW w:w="90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8"/>
              </w:rPr>
              <w:t>years</w:t>
            </w:r>
          </w:p>
        </w:tc>
        <w:tc>
          <w:tcPr>
            <w:tcW w:w="840" w:type="dxa"/>
            <w:vAlign w:val="bottom"/>
            <w:gridSpan w:val="2"/>
          </w:tcPr>
          <w:p>
            <w:pPr>
              <w:jc w:val="right"/>
              <w:ind w:right="278"/>
              <w:spacing w:after="0"/>
              <w:rPr>
                <w:sz w:val="20"/>
                <w:szCs w:val="20"/>
                <w:color w:val="auto"/>
              </w:rPr>
            </w:pPr>
            <w:r>
              <w:rPr>
                <w:rFonts w:ascii="Arial" w:cs="Arial" w:eastAsia="Arial" w:hAnsi="Arial"/>
                <w:sz w:val="13"/>
                <w:szCs w:val="13"/>
                <w:b w:val="1"/>
                <w:bCs w:val="1"/>
                <w:color w:val="auto"/>
              </w:rPr>
              <w:t>5 years</w:t>
            </w:r>
          </w:p>
        </w:tc>
        <w:tc>
          <w:tcPr>
            <w:tcW w:w="92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9"/>
              </w:rPr>
              <w:t>bearing</w:t>
            </w:r>
          </w:p>
        </w:tc>
        <w:tc>
          <w:tcPr>
            <w:tcW w:w="840" w:type="dxa"/>
            <w:vAlign w:val="bottom"/>
            <w:gridSpan w:val="2"/>
          </w:tcPr>
          <w:p>
            <w:pPr>
              <w:jc w:val="right"/>
              <w:ind w:right="298"/>
              <w:spacing w:after="0"/>
              <w:rPr>
                <w:sz w:val="20"/>
                <w:szCs w:val="20"/>
                <w:color w:val="auto"/>
              </w:rPr>
            </w:pPr>
            <w:r>
              <w:rPr>
                <w:rFonts w:ascii="Arial" w:cs="Arial" w:eastAsia="Arial" w:hAnsi="Arial"/>
                <w:sz w:val="13"/>
                <w:szCs w:val="13"/>
                <w:b w:val="1"/>
                <w:bCs w:val="1"/>
                <w:color w:val="auto"/>
              </w:rPr>
              <w:t>Total</w:t>
            </w:r>
          </w:p>
        </w:tc>
      </w:tr>
      <w:tr>
        <w:trPr>
          <w:trHeight w:val="122"/>
        </w:trPr>
        <w:tc>
          <w:tcPr>
            <w:tcW w:w="424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740" w:type="dxa"/>
            <w:vAlign w:val="bottom"/>
            <w:tcBorders>
              <w:top w:val="single" w:sz="8" w:color="auto"/>
            </w:tcBorders>
          </w:tcPr>
          <w:p>
            <w:pPr>
              <w:jc w:val="right"/>
              <w:ind w:right="117"/>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Assets</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color w:val="auto"/>
                <w:w w:val="88"/>
              </w:rPr>
              <w:t>Cash and cash collateral, reverse repurchase agreements and securities borrowing</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8,348,880</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2,192,245</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2,644,313</w:t>
            </w:r>
          </w:p>
        </w:tc>
        <w:tc>
          <w:tcPr>
            <w:tcW w:w="20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4,973,228</w:t>
            </w:r>
          </w:p>
        </w:tc>
        <w:tc>
          <w:tcPr>
            <w:tcW w:w="200" w:type="dxa"/>
            <w:vAlign w:val="bottom"/>
          </w:tcPr>
          <w:p>
            <w:pPr>
              <w:spacing w:after="0"/>
              <w:rPr>
                <w:sz w:val="11"/>
                <w:szCs w:val="11"/>
                <w:color w:val="auto"/>
              </w:rPr>
            </w:pP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94,925</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7,997,867</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26,251,458</w:t>
            </w: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Investments</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1,024,895</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4,143,332</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6,231,197</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5,288,235</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w w:val="98"/>
              </w:rPr>
              <w:t>12,014,435</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648,579</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29,350,673</w:t>
            </w: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color w:val="auto"/>
              </w:rPr>
              <w:t>Loans, net</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w w:val="98"/>
              </w:rPr>
              <w:t>12,671,779</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17,663,723</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w w:val="98"/>
              </w:rPr>
              <w:t>25,826,794</w:t>
            </w:r>
          </w:p>
        </w:tc>
        <w:tc>
          <w:tcPr>
            <w:tcW w:w="20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36,908,775</w:t>
            </w:r>
          </w:p>
        </w:tc>
        <w:tc>
          <w:tcPr>
            <w:tcW w:w="200" w:type="dxa"/>
            <w:vAlign w:val="bottom"/>
          </w:tcPr>
          <w:p>
            <w:pPr>
              <w:spacing w:after="0"/>
              <w:rPr>
                <w:sz w:val="11"/>
                <w:szCs w:val="11"/>
                <w:color w:val="auto"/>
              </w:rPr>
            </w:pP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w w:val="98"/>
              </w:rPr>
              <w:t>13,581,585</w:t>
            </w:r>
          </w:p>
        </w:tc>
        <w:tc>
          <w:tcPr>
            <w:tcW w:w="92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(845,658)</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w w:val="99"/>
              </w:rPr>
              <w:t>105,806,998</w:t>
            </w: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Financial assets designated at fair value through profit or loss</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521,186</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521,186</w:t>
            </w: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color w:val="auto"/>
              </w:rPr>
              <w:t>Premiums and other policies receivable</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848,662</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24,303</w:t>
            </w:r>
          </w:p>
        </w:tc>
        <w:tc>
          <w:tcPr>
            <w:tcW w:w="860" w:type="dxa"/>
            <w:vAlign w:val="bottom"/>
            <w:gridSpan w:val="2"/>
          </w:tcPr>
          <w:p>
            <w:pPr>
              <w:jc w:val="right"/>
              <w:ind w:right="147"/>
              <w:spacing w:after="0" w:line="131" w:lineRule="exact"/>
              <w:rPr>
                <w:sz w:val="20"/>
                <w:szCs w:val="20"/>
                <w:color w:val="auto"/>
              </w:rPr>
            </w:pPr>
            <w:r>
              <w:rPr>
                <w:rFonts w:ascii="Arial" w:cs="Arial" w:eastAsia="Arial" w:hAnsi="Arial"/>
                <w:sz w:val="13"/>
                <w:szCs w:val="13"/>
                <w:color w:val="auto"/>
              </w:rPr>
              <w:t>9,124</w:t>
            </w:r>
          </w:p>
        </w:tc>
        <w:tc>
          <w:tcPr>
            <w:tcW w:w="90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5,184</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887,273</w:t>
            </w: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Accounts receivable from reinsurers and coinsurers</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89</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106,421</w:t>
            </w:r>
          </w:p>
        </w:tc>
        <w:tc>
          <w:tcPr>
            <w:tcW w:w="860" w:type="dxa"/>
            <w:vAlign w:val="bottom"/>
            <w:gridSpan w:val="2"/>
            <w:shd w:val="clear" w:color="auto" w:fill="CCEEFF"/>
          </w:tcPr>
          <w:p>
            <w:pPr>
              <w:jc w:val="right"/>
              <w:ind w:right="147"/>
              <w:spacing w:after="0" w:line="131" w:lineRule="exact"/>
              <w:rPr>
                <w:sz w:val="20"/>
                <w:szCs w:val="20"/>
                <w:color w:val="auto"/>
              </w:rPr>
            </w:pPr>
            <w:r>
              <w:rPr>
                <w:rFonts w:ascii="Arial" w:cs="Arial" w:eastAsia="Arial" w:hAnsi="Arial"/>
                <w:sz w:val="13"/>
                <w:szCs w:val="13"/>
                <w:color w:val="auto"/>
              </w:rPr>
              <w:t>734,043</w:t>
            </w: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1,104</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386</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842,043</w:t>
            </w:r>
          </w:p>
        </w:tc>
      </w:tr>
      <w:tr>
        <w:trPr>
          <w:trHeight w:val="142"/>
        </w:trPr>
        <w:tc>
          <w:tcPr>
            <w:tcW w:w="4240" w:type="dxa"/>
            <w:vAlign w:val="bottom"/>
          </w:tcPr>
          <w:p>
            <w:pPr>
              <w:spacing w:after="0" w:line="143" w:lineRule="exact"/>
              <w:rPr>
                <w:sz w:val="20"/>
                <w:szCs w:val="20"/>
                <w:color w:val="auto"/>
              </w:rPr>
            </w:pPr>
            <w:r>
              <w:rPr>
                <w:rFonts w:ascii="Arial" w:cs="Arial" w:eastAsia="Arial" w:hAnsi="Arial"/>
                <w:sz w:val="13"/>
                <w:szCs w:val="13"/>
                <w:color w:val="auto"/>
              </w:rPr>
              <w:t>Other assets (*)</w:t>
            </w:r>
          </w:p>
        </w:tc>
        <w:tc>
          <w:tcPr>
            <w:tcW w:w="84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164,247</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420</w:t>
            </w:r>
          </w:p>
        </w:tc>
        <w:tc>
          <w:tcPr>
            <w:tcW w:w="860" w:type="dxa"/>
            <w:vAlign w:val="bottom"/>
            <w:gridSpan w:val="2"/>
          </w:tcPr>
          <w:p>
            <w:pPr>
              <w:jc w:val="right"/>
              <w:ind w:right="147"/>
              <w:spacing w:after="0" w:line="143" w:lineRule="exact"/>
              <w:rPr>
                <w:sz w:val="20"/>
                <w:szCs w:val="20"/>
                <w:color w:val="auto"/>
              </w:rPr>
            </w:pPr>
            <w:r>
              <w:rPr>
                <w:rFonts w:ascii="Arial" w:cs="Arial" w:eastAsia="Arial" w:hAnsi="Arial"/>
                <w:sz w:val="13"/>
                <w:szCs w:val="13"/>
                <w:color w:val="auto"/>
              </w:rPr>
              <w:t>2,019</w:t>
            </w:r>
          </w:p>
        </w:tc>
        <w:tc>
          <w:tcPr>
            <w:tcW w:w="90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6,761</w:t>
            </w:r>
          </w:p>
        </w:tc>
        <w:tc>
          <w:tcPr>
            <w:tcW w:w="84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(1,242)</w:t>
            </w:r>
          </w:p>
        </w:tc>
        <w:tc>
          <w:tcPr>
            <w:tcW w:w="92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9,296,788</w:t>
            </w:r>
          </w:p>
        </w:tc>
        <w:tc>
          <w:tcPr>
            <w:tcW w:w="840" w:type="dxa"/>
            <w:vAlign w:val="bottom"/>
            <w:gridSpan w:val="2"/>
          </w:tcPr>
          <w:p>
            <w:pPr>
              <w:jc w:val="right"/>
              <w:ind w:right="58"/>
              <w:spacing w:after="0" w:line="143" w:lineRule="exact"/>
              <w:rPr>
                <w:sz w:val="20"/>
                <w:szCs w:val="20"/>
                <w:color w:val="auto"/>
              </w:rPr>
            </w:pPr>
            <w:r>
              <w:rPr>
                <w:rFonts w:ascii="Arial" w:cs="Arial" w:eastAsia="Arial" w:hAnsi="Arial"/>
                <w:sz w:val="13"/>
                <w:szCs w:val="13"/>
                <w:color w:val="auto"/>
              </w:rPr>
              <w:t>9,468,993</w:t>
            </w:r>
          </w:p>
        </w:tc>
      </w:tr>
      <w:tr>
        <w:trPr>
          <w:trHeight w:val="122"/>
        </w:trPr>
        <w:tc>
          <w:tcPr>
            <w:tcW w:w="42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 assets</w:t>
            </w: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8"/>
              </w:rPr>
              <w:t>23,058,552</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24,130,444</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8"/>
              </w:rPr>
              <w:t>35,447,490</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47,183,287</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8"/>
              </w:rPr>
              <w:t>25,690,089</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17,618,762</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173,128,624</w:t>
            </w:r>
          </w:p>
        </w:tc>
        <w:tc>
          <w:tcPr>
            <w:tcW w:w="100" w:type="dxa"/>
            <w:vAlign w:val="bottom"/>
            <w:tcBorders>
              <w:top w:val="single" w:sz="8" w:color="CCEEFF"/>
            </w:tcBorders>
            <w:shd w:val="clear" w:color="auto" w:fill="CCEEFF"/>
          </w:tcPr>
          <w:p>
            <w:pPr>
              <w:spacing w:after="0"/>
              <w:rPr>
                <w:sz w:val="10"/>
                <w:szCs w:val="10"/>
                <w:color w:val="auto"/>
              </w:rPr>
            </w:pPr>
          </w:p>
        </w:tc>
      </w:tr>
      <w:tr>
        <w:trPr>
          <w:trHeight w:val="122"/>
        </w:trPr>
        <w:tc>
          <w:tcPr>
            <w:tcW w:w="4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Liabilities</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color w:val="auto"/>
              </w:rPr>
              <w:t>Deposits and obligations</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w w:val="98"/>
              </w:rPr>
              <w:t>27,696,282</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9,545,250</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w w:val="98"/>
              </w:rPr>
              <w:t>17,413,186</w:t>
            </w:r>
          </w:p>
        </w:tc>
        <w:tc>
          <w:tcPr>
            <w:tcW w:w="20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39,389,207</w:t>
            </w:r>
          </w:p>
        </w:tc>
        <w:tc>
          <w:tcPr>
            <w:tcW w:w="200" w:type="dxa"/>
            <w:vAlign w:val="bottom"/>
          </w:tcPr>
          <w:p>
            <w:pPr>
              <w:spacing w:after="0"/>
              <w:rPr>
                <w:sz w:val="11"/>
                <w:szCs w:val="11"/>
                <w:color w:val="auto"/>
              </w:rPr>
            </w:pP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6,724,393</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3,782,992</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w w:val="99"/>
              </w:rPr>
              <w:t>104,551,310</w:t>
            </w: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Payables from repurchase agreements and securities lending</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1,825,899</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3,895,312</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5,128,527</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3,811,941</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1,609,500</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1,592,318</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17,863,497</w:t>
            </w: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color w:val="auto"/>
              </w:rPr>
              <w:t>Accounts payable to reinsurers and coinsurers</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5,504</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281,808</w:t>
            </w:r>
          </w:p>
        </w:tc>
        <w:tc>
          <w:tcPr>
            <w:tcW w:w="860" w:type="dxa"/>
            <w:vAlign w:val="bottom"/>
            <w:gridSpan w:val="2"/>
          </w:tcPr>
          <w:p>
            <w:pPr>
              <w:jc w:val="right"/>
              <w:ind w:right="147"/>
              <w:spacing w:after="0" w:line="131" w:lineRule="exact"/>
              <w:rPr>
                <w:sz w:val="20"/>
                <w:szCs w:val="20"/>
                <w:color w:val="auto"/>
              </w:rPr>
            </w:pPr>
            <w:r>
              <w:rPr>
                <w:rFonts w:ascii="Arial" w:cs="Arial" w:eastAsia="Arial" w:hAnsi="Arial"/>
                <w:sz w:val="13"/>
                <w:szCs w:val="13"/>
                <w:color w:val="auto"/>
              </w:rPr>
              <w:t>3,082</w:t>
            </w:r>
          </w:p>
        </w:tc>
        <w:tc>
          <w:tcPr>
            <w:tcW w:w="90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1,299</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291,693</w:t>
            </w: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Technical reserves for claims and insurance premiums</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217,240</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600,927</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1,007,817</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2,327,437</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4,247,236</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52,014</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8,452,671</w:t>
            </w: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color w:val="auto"/>
              </w:rPr>
              <w:t>Financial liabilities at fair value through profit or loss</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362,310</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362,310</w:t>
            </w: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Bonds and Notes issued</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27</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1,934</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2,499,807</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12,441,149</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445,350</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69,273</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15,457,540</w:t>
            </w: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color w:val="auto"/>
              </w:rPr>
              <w:t>Other liabilities (**)</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155,293</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218,227</w:t>
            </w:r>
          </w:p>
        </w:tc>
        <w:tc>
          <w:tcPr>
            <w:tcW w:w="860" w:type="dxa"/>
            <w:vAlign w:val="bottom"/>
            <w:gridSpan w:val="2"/>
          </w:tcPr>
          <w:p>
            <w:pPr>
              <w:jc w:val="right"/>
              <w:ind w:right="147"/>
              <w:spacing w:after="0" w:line="131" w:lineRule="exact"/>
              <w:rPr>
                <w:sz w:val="20"/>
                <w:szCs w:val="20"/>
                <w:color w:val="auto"/>
              </w:rPr>
            </w:pPr>
            <w:r>
              <w:rPr>
                <w:rFonts w:ascii="Arial" w:cs="Arial" w:eastAsia="Arial" w:hAnsi="Arial"/>
                <w:sz w:val="13"/>
                <w:szCs w:val="13"/>
                <w:color w:val="auto"/>
              </w:rPr>
              <w:t>2,419</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4,987,256</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5,363,195</w:t>
            </w:r>
          </w:p>
        </w:tc>
      </w:tr>
      <w:tr>
        <w:trPr>
          <w:trHeight w:val="142"/>
        </w:trPr>
        <w:tc>
          <w:tcPr>
            <w:tcW w:w="42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Equity</w:t>
            </w:r>
          </w:p>
        </w:tc>
        <w:tc>
          <w:tcPr>
            <w:tcW w:w="84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24,266,076</w:t>
            </w:r>
          </w:p>
        </w:tc>
        <w:tc>
          <w:tcPr>
            <w:tcW w:w="840" w:type="dxa"/>
            <w:vAlign w:val="bottom"/>
            <w:gridSpan w:val="2"/>
            <w:shd w:val="clear" w:color="auto" w:fill="CCEEFF"/>
          </w:tcPr>
          <w:p>
            <w:pPr>
              <w:jc w:val="right"/>
              <w:ind w:right="58"/>
              <w:spacing w:after="0" w:line="143" w:lineRule="exact"/>
              <w:rPr>
                <w:sz w:val="20"/>
                <w:szCs w:val="20"/>
                <w:color w:val="auto"/>
              </w:rPr>
            </w:pPr>
            <w:r>
              <w:rPr>
                <w:rFonts w:ascii="Arial" w:cs="Arial" w:eastAsia="Arial" w:hAnsi="Arial"/>
                <w:sz w:val="13"/>
                <w:szCs w:val="13"/>
                <w:color w:val="auto"/>
              </w:rPr>
              <w:t>24,266,076</w:t>
            </w:r>
          </w:p>
        </w:tc>
      </w:tr>
      <w:tr>
        <w:trPr>
          <w:trHeight w:val="122"/>
        </w:trPr>
        <w:tc>
          <w:tcPr>
            <w:tcW w:w="424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Total liabilities and equity</w:t>
            </w: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29,900,245</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14,543,458</w:t>
            </w:r>
          </w:p>
        </w:tc>
        <w:tc>
          <w:tcPr>
            <w:tcW w:w="18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26,054,838</w:t>
            </w:r>
          </w:p>
        </w:tc>
        <w:tc>
          <w:tcPr>
            <w:tcW w:w="2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57,971,033</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13,026,479</w:t>
            </w:r>
          </w:p>
        </w:tc>
        <w:tc>
          <w:tcPr>
            <w:tcW w:w="18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35,112,239</w:t>
            </w:r>
          </w:p>
        </w:tc>
        <w:tc>
          <w:tcPr>
            <w:tcW w:w="18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9"/>
              </w:rPr>
              <w:t>176,608,292</w:t>
            </w:r>
          </w:p>
        </w:tc>
        <w:tc>
          <w:tcPr>
            <w:tcW w:w="100" w:type="dxa"/>
            <w:vAlign w:val="bottom"/>
            <w:tcBorders>
              <w:bottom w:val="single" w:sz="8" w:color="CCEEFF"/>
            </w:tcBorders>
          </w:tcPr>
          <w:p>
            <w:pPr>
              <w:spacing w:after="0"/>
              <w:rPr>
                <w:sz w:val="10"/>
                <w:szCs w:val="10"/>
                <w:color w:val="auto"/>
              </w:rPr>
            </w:pPr>
          </w:p>
        </w:tc>
      </w:tr>
      <w:tr>
        <w:trPr>
          <w:trHeight w:val="122"/>
        </w:trPr>
        <w:tc>
          <w:tcPr>
            <w:tcW w:w="4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0"/>
        </w:trPr>
        <w:tc>
          <w:tcPr>
            <w:tcW w:w="4240" w:type="dxa"/>
            <w:vAlign w:val="bottom"/>
          </w:tcPr>
          <w:p>
            <w:pPr>
              <w:spacing w:after="0" w:line="131" w:lineRule="exact"/>
              <w:rPr>
                <w:sz w:val="20"/>
                <w:szCs w:val="20"/>
                <w:color w:val="auto"/>
              </w:rPr>
            </w:pPr>
            <w:r>
              <w:rPr>
                <w:rFonts w:ascii="Arial" w:cs="Arial" w:eastAsia="Arial" w:hAnsi="Arial"/>
                <w:sz w:val="13"/>
                <w:szCs w:val="13"/>
                <w:b w:val="1"/>
                <w:bCs w:val="1"/>
                <w:color w:val="auto"/>
              </w:rPr>
              <w:t>Off-balance-sheet accounts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4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Derivative financial assets</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3,393,623</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2,736,835</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1,204,498</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347,883</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72,826</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7,755,665</w:t>
            </w:r>
          </w:p>
        </w:tc>
      </w:tr>
      <w:tr>
        <w:trPr>
          <w:trHeight w:val="142"/>
        </w:trPr>
        <w:tc>
          <w:tcPr>
            <w:tcW w:w="4240" w:type="dxa"/>
            <w:vAlign w:val="bottom"/>
          </w:tcPr>
          <w:p>
            <w:pPr>
              <w:spacing w:after="0" w:line="143" w:lineRule="exact"/>
              <w:rPr>
                <w:sz w:val="20"/>
                <w:szCs w:val="20"/>
                <w:color w:val="auto"/>
              </w:rPr>
            </w:pPr>
            <w:r>
              <w:rPr>
                <w:rFonts w:ascii="Arial" w:cs="Arial" w:eastAsia="Arial" w:hAnsi="Arial"/>
                <w:sz w:val="13"/>
                <w:szCs w:val="13"/>
                <w:color w:val="auto"/>
              </w:rPr>
              <w:t>Derivative financial liabilities</w:t>
            </w:r>
          </w:p>
        </w:tc>
        <w:tc>
          <w:tcPr>
            <w:tcW w:w="84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823,012</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819,882</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3,728,800</w:t>
            </w:r>
          </w:p>
        </w:tc>
        <w:tc>
          <w:tcPr>
            <w:tcW w:w="20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1,754,972</w:t>
            </w:r>
          </w:p>
        </w:tc>
        <w:tc>
          <w:tcPr>
            <w:tcW w:w="200" w:type="dxa"/>
            <w:vAlign w:val="bottom"/>
          </w:tcPr>
          <w:p>
            <w:pPr>
              <w:spacing w:after="0"/>
              <w:rPr>
                <w:sz w:val="12"/>
                <w:szCs w:val="12"/>
                <w:color w:val="auto"/>
              </w:rPr>
            </w:pPr>
          </w:p>
        </w:tc>
        <w:tc>
          <w:tcPr>
            <w:tcW w:w="84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534,259</w:t>
            </w:r>
          </w:p>
        </w:tc>
        <w:tc>
          <w:tcPr>
            <w:tcW w:w="92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8"/>
              <w:spacing w:after="0" w:line="143" w:lineRule="exact"/>
              <w:rPr>
                <w:sz w:val="20"/>
                <w:szCs w:val="20"/>
                <w:color w:val="auto"/>
              </w:rPr>
            </w:pPr>
            <w:r>
              <w:rPr>
                <w:rFonts w:ascii="Arial" w:cs="Arial" w:eastAsia="Arial" w:hAnsi="Arial"/>
                <w:sz w:val="13"/>
                <w:szCs w:val="13"/>
                <w:color w:val="auto"/>
              </w:rPr>
              <w:t>7,660,925</w:t>
            </w:r>
          </w:p>
        </w:tc>
      </w:tr>
      <w:tr>
        <w:trPr>
          <w:trHeight w:val="122"/>
        </w:trPr>
        <w:tc>
          <w:tcPr>
            <w:tcW w:w="42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2,570,611</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1,916,953</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(2,524,302</w:t>
            </w:r>
          </w:p>
        </w:tc>
        <w:tc>
          <w:tcPr>
            <w:tcW w:w="200" w:type="dxa"/>
            <w:vAlign w:val="bottom"/>
            <w:tcBorders>
              <w:top w:val="single" w:sz="8" w:color="CCEEFF"/>
            </w:tcBorders>
            <w:shd w:val="clear" w:color="auto" w:fill="CCEEFF"/>
          </w:tcPr>
          <w:p>
            <w:pPr>
              <w:jc w:val="right"/>
              <w:ind w:right="107"/>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(1,407,089</w:t>
            </w:r>
          </w:p>
        </w:tc>
        <w:tc>
          <w:tcPr>
            <w:tcW w:w="200" w:type="dxa"/>
            <w:vAlign w:val="bottom"/>
            <w:tcBorders>
              <w:top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(461,433</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94,740</w:t>
            </w:r>
          </w:p>
        </w:tc>
        <w:tc>
          <w:tcPr>
            <w:tcW w:w="100" w:type="dxa"/>
            <w:vAlign w:val="bottom"/>
            <w:tcBorders>
              <w:top w:val="single" w:sz="8" w:color="CCEEFF"/>
            </w:tcBorders>
            <w:shd w:val="clear" w:color="auto" w:fill="CCEEFF"/>
          </w:tcPr>
          <w:p>
            <w:pPr>
              <w:spacing w:after="0"/>
              <w:rPr>
                <w:sz w:val="10"/>
                <w:szCs w:val="10"/>
                <w:color w:val="auto"/>
              </w:rPr>
            </w:pPr>
          </w:p>
        </w:tc>
      </w:tr>
      <w:tr>
        <w:trPr>
          <w:trHeight w:val="122"/>
        </w:trPr>
        <w:tc>
          <w:tcPr>
            <w:tcW w:w="424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Marginal gap</w:t>
            </w: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(4,271,082</w:t>
            </w:r>
          </w:p>
        </w:tc>
        <w:tc>
          <w:tcPr>
            <w:tcW w:w="180" w:type="dxa"/>
            <w:vAlign w:val="bottom"/>
            <w:tcBorders>
              <w:bottom w:val="single" w:sz="8" w:color="CCEEFF"/>
            </w:tcBorders>
          </w:tcPr>
          <w:p>
            <w:pPr>
              <w:jc w:val="right"/>
              <w:ind w:right="9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11,503,939</w:t>
            </w:r>
          </w:p>
        </w:tc>
        <w:tc>
          <w:tcPr>
            <w:tcW w:w="1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6,868,350</w:t>
            </w:r>
          </w:p>
        </w:tc>
        <w:tc>
          <w:tcPr>
            <w:tcW w:w="2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7"/>
              </w:rPr>
              <w:t>(12,194,835</w:t>
            </w:r>
          </w:p>
        </w:tc>
        <w:tc>
          <w:tcPr>
            <w:tcW w:w="200" w:type="dxa"/>
            <w:vAlign w:val="bottom"/>
            <w:tcBorders>
              <w:bottom w:val="single" w:sz="8" w:color="CCEEFF"/>
            </w:tcBorders>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12,202,177</w:t>
            </w:r>
          </w:p>
        </w:tc>
        <w:tc>
          <w:tcPr>
            <w:tcW w:w="1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(17,493,477</w:t>
            </w:r>
          </w:p>
        </w:tc>
        <w:tc>
          <w:tcPr>
            <w:tcW w:w="180" w:type="dxa"/>
            <w:vAlign w:val="bottom"/>
            <w:tcBorders>
              <w:bottom w:val="single" w:sz="8" w:color="CCEEFF"/>
            </w:tcBorders>
          </w:tcPr>
          <w:p>
            <w:pPr>
              <w:jc w:val="right"/>
              <w:ind w:right="98"/>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(3,384,928</w:t>
            </w:r>
          </w:p>
        </w:tc>
        <w:tc>
          <w:tcPr>
            <w:tcW w:w="100" w:type="dxa"/>
            <w:vAlign w:val="bottom"/>
            <w:tcBorders>
              <w:bottom w:val="single" w:sz="8" w:color="CCEEFF"/>
            </w:tcBorders>
          </w:tcPr>
          <w:p>
            <w:pPr>
              <w:jc w:val="right"/>
              <w:ind w:right="18"/>
              <w:spacing w:after="0"/>
              <w:rPr>
                <w:sz w:val="20"/>
                <w:szCs w:val="20"/>
                <w:color w:val="auto"/>
              </w:rPr>
            </w:pPr>
            <w:r>
              <w:rPr>
                <w:rFonts w:ascii="Arial" w:cs="Arial" w:eastAsia="Arial" w:hAnsi="Arial"/>
                <w:sz w:val="8"/>
                <w:szCs w:val="8"/>
                <w:color w:val="auto"/>
                <w:w w:val="73"/>
              </w:rPr>
              <w:t>)</w:t>
            </w:r>
          </w:p>
        </w:tc>
      </w:tr>
      <w:tr>
        <w:trPr>
          <w:trHeight w:val="134"/>
        </w:trPr>
        <w:tc>
          <w:tcPr>
            <w:tcW w:w="424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color w:val="auto"/>
              </w:rPr>
              <w:t>Accumulated gap</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(4,271,082</w:t>
            </w:r>
          </w:p>
        </w:tc>
        <w:tc>
          <w:tcPr>
            <w:tcW w:w="1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7,232,857</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8"/>
              </w:rPr>
              <w:t>14,101,207</w:t>
            </w:r>
          </w:p>
        </w:tc>
        <w:tc>
          <w:tcPr>
            <w:tcW w:w="2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1,906,372</w:t>
            </w:r>
          </w:p>
        </w:tc>
        <w:tc>
          <w:tcPr>
            <w:tcW w:w="2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8"/>
              </w:rPr>
              <w:t>14,108,549</w:t>
            </w:r>
          </w:p>
        </w:tc>
        <w:tc>
          <w:tcPr>
            <w:tcW w:w="1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(3,384,928</w:t>
            </w:r>
          </w:p>
        </w:tc>
        <w:tc>
          <w:tcPr>
            <w:tcW w:w="1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20"/>
        </w:trPr>
        <w:tc>
          <w:tcPr>
            <w:tcW w:w="4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5" w:right="2060" w:hanging="5"/>
        <w:spacing w:after="0" w:line="269" w:lineRule="auto"/>
        <w:tabs>
          <w:tab w:leader="none" w:pos="22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Includes property, furniture and equipment, net, intangible and goodwill, net, due from customers on acceptances and other assets. (**) Includes banker’s acceptances outstanding and other liabilities.</w:t>
      </w:r>
    </w:p>
    <w:p>
      <w:pPr>
        <w:spacing w:after="0" w:line="157" w:lineRule="exact"/>
        <w:rPr>
          <w:sz w:val="20"/>
          <w:szCs w:val="20"/>
          <w:color w:val="auto"/>
        </w:rPr>
      </w:pPr>
    </w:p>
    <w:p>
      <w:pPr>
        <w:ind w:left="5" w:right="40"/>
        <w:spacing w:after="0" w:line="269" w:lineRule="auto"/>
        <w:rPr>
          <w:sz w:val="20"/>
          <w:szCs w:val="20"/>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346" w:lineRule="exact"/>
        <w:rPr>
          <w:sz w:val="20"/>
          <w:szCs w:val="20"/>
          <w:color w:val="auto"/>
        </w:rPr>
      </w:pPr>
    </w:p>
    <w:p>
      <w:pPr>
        <w:jc w:val="center"/>
        <w:ind w:right="195"/>
        <w:spacing w:after="0"/>
        <w:rPr>
          <w:sz w:val="20"/>
          <w:szCs w:val="20"/>
          <w:color w:val="auto"/>
        </w:rPr>
      </w:pPr>
      <w:r>
        <w:rPr>
          <w:rFonts w:ascii="Arial" w:cs="Arial" w:eastAsia="Arial" w:hAnsi="Arial"/>
          <w:sz w:val="16"/>
          <w:szCs w:val="16"/>
          <w:color w:val="auto"/>
        </w:rPr>
        <w:t>- 145 -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11430</wp:posOffset>
            </wp:positionV>
            <wp:extent cx="726313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525"/>
          </w:cols>
          <w:pgMar w:left="795" w:top="838" w:right="579" w:bottom="1440" w:gutter="0" w:footer="0" w:header="0"/>
        </w:sectPr>
      </w:pPr>
    </w:p>
    <w:bookmarkStart w:id="152" w:name="page153"/>
    <w:bookmarkEnd w:id="152"/>
    <w:tbl>
      <w:tblPr>
        <w:tblLayout w:type="fixed"/>
        <w:tblInd w:w="5"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3"/>
                <w:szCs w:val="13"/>
                <w:b w:val="1"/>
                <w:bCs w:val="1"/>
                <w:color w:val="auto"/>
              </w:rPr>
              <w:t>At December 31, 2017</w:t>
            </w: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4"/>
        </w:trPr>
        <w:tc>
          <w:tcPr>
            <w:tcW w:w="4280" w:type="dxa"/>
            <w:vAlign w:val="bottom"/>
          </w:tcPr>
          <w:p>
            <w:pPr>
              <w:spacing w:after="0"/>
              <w:rPr>
                <w:sz w:val="9"/>
                <w:szCs w:val="9"/>
                <w:color w:val="auto"/>
              </w:rPr>
            </w:pPr>
          </w:p>
        </w:tc>
        <w:tc>
          <w:tcPr>
            <w:tcW w:w="860" w:type="dxa"/>
            <w:vAlign w:val="bottom"/>
            <w:gridSpan w:val="2"/>
          </w:tcPr>
          <w:p>
            <w:pPr>
              <w:jc w:val="center"/>
              <w:ind w:right="138"/>
              <w:spacing w:after="0" w:line="114" w:lineRule="exact"/>
              <w:rPr>
                <w:sz w:val="20"/>
                <w:szCs w:val="20"/>
                <w:color w:val="auto"/>
              </w:rPr>
            </w:pPr>
            <w:r>
              <w:rPr>
                <w:rFonts w:ascii="Arial" w:cs="Arial" w:eastAsia="Arial" w:hAnsi="Arial"/>
                <w:sz w:val="13"/>
                <w:szCs w:val="13"/>
                <w:b w:val="1"/>
                <w:bCs w:val="1"/>
                <w:color w:val="auto"/>
                <w:w w:val="90"/>
              </w:rPr>
              <w:t>Up to 1</w:t>
            </w:r>
          </w:p>
        </w:tc>
        <w:tc>
          <w:tcPr>
            <w:tcW w:w="840" w:type="dxa"/>
            <w:vAlign w:val="bottom"/>
            <w:gridSpan w:val="2"/>
          </w:tcPr>
          <w:p>
            <w:pPr>
              <w:jc w:val="center"/>
              <w:ind w:right="138"/>
              <w:spacing w:after="0" w:line="114" w:lineRule="exact"/>
              <w:rPr>
                <w:sz w:val="20"/>
                <w:szCs w:val="20"/>
                <w:color w:val="auto"/>
              </w:rPr>
            </w:pPr>
            <w:r>
              <w:rPr>
                <w:rFonts w:ascii="Arial" w:cs="Arial" w:eastAsia="Arial" w:hAnsi="Arial"/>
                <w:sz w:val="13"/>
                <w:szCs w:val="13"/>
                <w:b w:val="1"/>
                <w:bCs w:val="1"/>
                <w:color w:val="auto"/>
                <w:w w:val="88"/>
              </w:rPr>
              <w:t>1 to 3</w:t>
            </w:r>
          </w:p>
        </w:tc>
        <w:tc>
          <w:tcPr>
            <w:tcW w:w="86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87"/>
              </w:rPr>
              <w:t>3 to 12</w:t>
            </w:r>
          </w:p>
        </w:tc>
        <w:tc>
          <w:tcPr>
            <w:tcW w:w="860" w:type="dxa"/>
            <w:vAlign w:val="bottom"/>
            <w:gridSpan w:val="2"/>
          </w:tcPr>
          <w:p>
            <w:pPr>
              <w:jc w:val="center"/>
              <w:ind w:right="158"/>
              <w:spacing w:after="0" w:line="114" w:lineRule="exact"/>
              <w:rPr>
                <w:sz w:val="20"/>
                <w:szCs w:val="20"/>
                <w:color w:val="auto"/>
              </w:rPr>
            </w:pPr>
            <w:r>
              <w:rPr>
                <w:rFonts w:ascii="Arial" w:cs="Arial" w:eastAsia="Arial" w:hAnsi="Arial"/>
                <w:sz w:val="13"/>
                <w:szCs w:val="13"/>
                <w:b w:val="1"/>
                <w:bCs w:val="1"/>
                <w:color w:val="auto"/>
                <w:w w:val="88"/>
              </w:rPr>
              <w:t>1 to 5</w:t>
            </w:r>
          </w:p>
        </w:tc>
        <w:tc>
          <w:tcPr>
            <w:tcW w:w="840" w:type="dxa"/>
            <w:vAlign w:val="bottom"/>
            <w:gridSpan w:val="2"/>
          </w:tcPr>
          <w:p>
            <w:pPr>
              <w:jc w:val="right"/>
              <w:ind w:right="220"/>
              <w:spacing w:after="0" w:line="114" w:lineRule="exact"/>
              <w:rPr>
                <w:sz w:val="20"/>
                <w:szCs w:val="20"/>
                <w:color w:val="auto"/>
              </w:rPr>
            </w:pPr>
            <w:r>
              <w:rPr>
                <w:rFonts w:ascii="Arial" w:cs="Arial" w:eastAsia="Arial" w:hAnsi="Arial"/>
                <w:sz w:val="13"/>
                <w:szCs w:val="13"/>
                <w:b w:val="1"/>
                <w:bCs w:val="1"/>
                <w:color w:val="auto"/>
                <w:w w:val="96"/>
              </w:rPr>
              <w:t>More than</w:t>
            </w:r>
          </w:p>
        </w:tc>
        <w:tc>
          <w:tcPr>
            <w:tcW w:w="920" w:type="dxa"/>
            <w:vAlign w:val="bottom"/>
            <w:gridSpan w:val="2"/>
          </w:tcPr>
          <w:p>
            <w:pPr>
              <w:jc w:val="center"/>
              <w:ind w:right="138"/>
              <w:spacing w:after="0" w:line="114" w:lineRule="exact"/>
              <w:rPr>
                <w:sz w:val="20"/>
                <w:szCs w:val="20"/>
                <w:color w:val="auto"/>
              </w:rPr>
            </w:pPr>
            <w:r>
              <w:rPr>
                <w:rFonts w:ascii="Arial" w:cs="Arial" w:eastAsia="Arial" w:hAnsi="Arial"/>
                <w:sz w:val="13"/>
                <w:szCs w:val="13"/>
                <w:b w:val="1"/>
                <w:bCs w:val="1"/>
                <w:color w:val="auto"/>
                <w:w w:val="86"/>
              </w:rPr>
              <w:t>Non-interest</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0"/>
        </w:trPr>
        <w:tc>
          <w:tcPr>
            <w:tcW w:w="4280" w:type="dxa"/>
            <w:vAlign w:val="bottom"/>
          </w:tcPr>
          <w:p>
            <w:pPr>
              <w:spacing w:after="0"/>
              <w:rPr>
                <w:sz w:val="13"/>
                <w:szCs w:val="13"/>
                <w:color w:val="auto"/>
              </w:rPr>
            </w:pPr>
          </w:p>
        </w:tc>
        <w:tc>
          <w:tcPr>
            <w:tcW w:w="8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90"/>
              </w:rPr>
              <w:t>month</w:t>
            </w:r>
          </w:p>
        </w:tc>
        <w:tc>
          <w:tcPr>
            <w:tcW w:w="84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5"/>
              </w:rPr>
              <w:t>months</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months</w:t>
            </w:r>
          </w:p>
        </w:tc>
        <w:tc>
          <w:tcPr>
            <w:tcW w:w="8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2"/>
              </w:rPr>
              <w:t>years</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5 years</w:t>
            </w:r>
          </w:p>
        </w:tc>
        <w:tc>
          <w:tcPr>
            <w:tcW w:w="92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9"/>
              </w:rPr>
              <w:t>bearing</w:t>
            </w:r>
          </w:p>
        </w:tc>
        <w:tc>
          <w:tcPr>
            <w:tcW w:w="840" w:type="dxa"/>
            <w:vAlign w:val="bottom"/>
            <w:gridSpan w:val="2"/>
          </w:tcPr>
          <w:p>
            <w:pPr>
              <w:jc w:val="right"/>
              <w:ind w:right="298"/>
              <w:spacing w:after="0"/>
              <w:rPr>
                <w:sz w:val="20"/>
                <w:szCs w:val="20"/>
                <w:color w:val="auto"/>
              </w:rPr>
            </w:pPr>
            <w:r>
              <w:rPr>
                <w:rFonts w:ascii="Arial" w:cs="Arial" w:eastAsia="Arial" w:hAnsi="Arial"/>
                <w:sz w:val="13"/>
                <w:szCs w:val="13"/>
                <w:b w:val="1"/>
                <w:bCs w:val="1"/>
                <w:color w:val="auto"/>
              </w:rPr>
              <w:t>Total</w:t>
            </w:r>
          </w:p>
        </w:tc>
      </w:tr>
      <w:tr>
        <w:trPr>
          <w:trHeight w:val="122"/>
        </w:trPr>
        <w:tc>
          <w:tcPr>
            <w:tcW w:w="428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740" w:type="dxa"/>
            <w:vAlign w:val="bottom"/>
            <w:tcBorders>
              <w:top w:val="single" w:sz="8" w:color="auto"/>
            </w:tcBorders>
          </w:tcPr>
          <w:p>
            <w:pPr>
              <w:jc w:val="right"/>
              <w:ind w:right="157"/>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Assets</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color w:val="auto"/>
                <w:w w:val="89"/>
              </w:rPr>
              <w:t>Cash and cash collateral, reverse repurchase agreements and securities borrowing</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w w:val="98"/>
              </w:rPr>
              <w:t>11,473,580</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1,859,361</w:t>
            </w: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4,638,314</w:t>
            </w:r>
          </w:p>
        </w:tc>
        <w:tc>
          <w:tcPr>
            <w:tcW w:w="18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6,222,420</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79,788</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6,428,944</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30,702,407</w:t>
            </w: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Investment</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1,642,823</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3,789,292</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4,013,113</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6,208,053</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w w:val="98"/>
              </w:rPr>
              <w:t>11,072,700</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2,111,283</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28,837,264</w:t>
            </w: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color w:val="auto"/>
              </w:rPr>
              <w:t>Loans, net</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w w:val="98"/>
              </w:rPr>
              <w:t>12,192,582</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w w:val="98"/>
              </w:rPr>
              <w:t>15,509,563</w:t>
            </w: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23,933,640</w:t>
            </w:r>
          </w:p>
        </w:tc>
        <w:tc>
          <w:tcPr>
            <w:tcW w:w="18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w w:val="98"/>
              </w:rPr>
              <w:t>32,989,209</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w w:val="98"/>
              </w:rPr>
              <w:t>12,108,217</w:t>
            </w:r>
          </w:p>
        </w:tc>
        <w:tc>
          <w:tcPr>
            <w:tcW w:w="92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(755,934)</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95,977,277</w:t>
            </w: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Financial assets designated at fair value through profit or loss</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537,685</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537,685</w:t>
            </w: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color w:val="auto"/>
              </w:rPr>
              <w:t>Premiums and other policies receivable</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626,392</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22,088</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6,500</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1,849</w:t>
            </w: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656,829</w:t>
            </w: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Accounts receivable from reinsurers and coinsurers</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163,425</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309,669</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208,531</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34,070</w:t>
            </w: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715,695</w:t>
            </w:r>
          </w:p>
        </w:tc>
      </w:tr>
      <w:tr>
        <w:trPr>
          <w:trHeight w:val="142"/>
        </w:trPr>
        <w:tc>
          <w:tcPr>
            <w:tcW w:w="4280" w:type="dxa"/>
            <w:vAlign w:val="bottom"/>
          </w:tcPr>
          <w:p>
            <w:pPr>
              <w:spacing w:after="0" w:line="143" w:lineRule="exact"/>
              <w:rPr>
                <w:sz w:val="20"/>
                <w:szCs w:val="20"/>
                <w:color w:val="auto"/>
              </w:rPr>
            </w:pPr>
            <w:r>
              <w:rPr>
                <w:rFonts w:ascii="Arial" w:cs="Arial" w:eastAsia="Arial" w:hAnsi="Arial"/>
                <w:sz w:val="13"/>
                <w:szCs w:val="13"/>
                <w:color w:val="auto"/>
              </w:rPr>
              <w:t>Other assets (*)</w:t>
            </w:r>
          </w:p>
        </w:tc>
        <w:tc>
          <w:tcPr>
            <w:tcW w:w="86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180,725</w:t>
            </w:r>
          </w:p>
        </w:tc>
        <w:tc>
          <w:tcPr>
            <w:tcW w:w="84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24,927</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9,736</w:t>
            </w:r>
          </w:p>
        </w:tc>
        <w:tc>
          <w:tcPr>
            <w:tcW w:w="86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5,946</w:t>
            </w: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577,129</w:t>
            </w:r>
          </w:p>
        </w:tc>
        <w:tc>
          <w:tcPr>
            <w:tcW w:w="92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7,722,740</w:t>
            </w:r>
          </w:p>
        </w:tc>
        <w:tc>
          <w:tcPr>
            <w:tcW w:w="840" w:type="dxa"/>
            <w:vAlign w:val="bottom"/>
            <w:gridSpan w:val="2"/>
          </w:tcPr>
          <w:p>
            <w:pPr>
              <w:jc w:val="right"/>
              <w:ind w:right="58"/>
              <w:spacing w:after="0" w:line="143" w:lineRule="exact"/>
              <w:rPr>
                <w:sz w:val="20"/>
                <w:szCs w:val="20"/>
                <w:color w:val="auto"/>
              </w:rPr>
            </w:pPr>
            <w:r>
              <w:rPr>
                <w:rFonts w:ascii="Arial" w:cs="Arial" w:eastAsia="Arial" w:hAnsi="Arial"/>
                <w:sz w:val="13"/>
                <w:szCs w:val="13"/>
                <w:color w:val="auto"/>
              </w:rPr>
              <w:t>8,521,203</w:t>
            </w:r>
          </w:p>
        </w:tc>
      </w:tr>
      <w:tr>
        <w:trPr>
          <w:trHeight w:val="122"/>
        </w:trPr>
        <w:tc>
          <w:tcPr>
            <w:tcW w:w="42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 assets</w:t>
            </w: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8"/>
              </w:rPr>
              <w:t>26,279,527</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8"/>
              </w:rPr>
              <w:t>21,514,900</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32,809,834</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8"/>
              </w:rPr>
              <w:t>45,461,547</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8"/>
              </w:rPr>
              <w:t>23,837,834</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16,044,718</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165,948,360</w:t>
            </w:r>
          </w:p>
        </w:tc>
        <w:tc>
          <w:tcPr>
            <w:tcW w:w="100" w:type="dxa"/>
            <w:vAlign w:val="bottom"/>
            <w:tcBorders>
              <w:top w:val="single" w:sz="8" w:color="CCEEFF"/>
            </w:tcBorders>
            <w:shd w:val="clear" w:color="auto" w:fill="CCEEFF"/>
          </w:tcPr>
          <w:p>
            <w:pPr>
              <w:spacing w:after="0"/>
              <w:rPr>
                <w:sz w:val="10"/>
                <w:szCs w:val="10"/>
                <w:color w:val="auto"/>
              </w:rPr>
            </w:pPr>
          </w:p>
        </w:tc>
      </w:tr>
      <w:tr>
        <w:trPr>
          <w:trHeight w:val="122"/>
        </w:trPr>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Liabilities</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color w:val="auto"/>
              </w:rPr>
              <w:t>Deposits and obligations</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w w:val="98"/>
              </w:rPr>
              <w:t>26,156,669</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9,513,156</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17,056,114</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w w:val="98"/>
              </w:rPr>
              <w:t>36,200,975</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6,213,829</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2,029,668</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97,170,411</w:t>
            </w: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Payables from repurchase agreements and securities lending</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4,070,558</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1,949,926</w:t>
            </w: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6,931,824</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6,056,395</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2,153,396</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250,633</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21,412,732</w:t>
            </w: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color w:val="auto"/>
              </w:rPr>
              <w:t>Accounts payable to reinsurers and coinsurers</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51,814</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141,708</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31,726</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9,937</w:t>
            </w: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235,185</w:t>
            </w: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Technical reserves for claims and insurance premiums</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200,307</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118,642</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443,141</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1,918,617</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3,922,902</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840,151</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7,443,760</w:t>
            </w: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color w:val="auto"/>
              </w:rPr>
              <w:t>Financial liabilities at fair value through profit or loss</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168,089</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168,089</w:t>
            </w: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Bonds and Notes issued</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791,247</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1,656</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395,125</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w w:val="98"/>
              </w:rPr>
              <w:t>11,998,887</w:t>
            </w: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2,973,831</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81,511</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16,242,257</w:t>
            </w: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color w:val="auto"/>
              </w:rPr>
              <w:t>Other liabilities (**)</w:t>
            </w:r>
          </w:p>
        </w:tc>
        <w:tc>
          <w:tcPr>
            <w:tcW w:w="860" w:type="dxa"/>
            <w:vAlign w:val="bottom"/>
            <w:gridSpan w:val="2"/>
          </w:tcPr>
          <w:p>
            <w:pPr>
              <w:jc w:val="right"/>
              <w:ind w:right="158"/>
              <w:spacing w:after="0" w:line="131" w:lineRule="exact"/>
              <w:rPr>
                <w:sz w:val="20"/>
                <w:szCs w:val="20"/>
                <w:color w:val="auto"/>
              </w:rPr>
            </w:pPr>
            <w:r>
              <w:rPr>
                <w:rFonts w:ascii="Arial" w:cs="Arial" w:eastAsia="Arial" w:hAnsi="Arial"/>
                <w:sz w:val="13"/>
                <w:szCs w:val="13"/>
                <w:color w:val="auto"/>
              </w:rPr>
              <w:t>155,851</w:t>
            </w:r>
          </w:p>
        </w:tc>
        <w:tc>
          <w:tcPr>
            <w:tcW w:w="84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211,103</w:t>
            </w:r>
          </w:p>
        </w:tc>
        <w:tc>
          <w:tcPr>
            <w:tcW w:w="8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2,434</w:t>
            </w: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4,674,892</w:t>
            </w:r>
          </w:p>
        </w:tc>
        <w:tc>
          <w:tcPr>
            <w:tcW w:w="840" w:type="dxa"/>
            <w:vAlign w:val="bottom"/>
            <w:gridSpan w:val="2"/>
          </w:tcPr>
          <w:p>
            <w:pPr>
              <w:jc w:val="right"/>
              <w:ind w:right="58"/>
              <w:spacing w:after="0" w:line="131" w:lineRule="exact"/>
              <w:rPr>
                <w:sz w:val="20"/>
                <w:szCs w:val="20"/>
                <w:color w:val="auto"/>
              </w:rPr>
            </w:pPr>
            <w:r>
              <w:rPr>
                <w:rFonts w:ascii="Arial" w:cs="Arial" w:eastAsia="Arial" w:hAnsi="Arial"/>
                <w:sz w:val="13"/>
                <w:szCs w:val="13"/>
                <w:color w:val="auto"/>
              </w:rPr>
              <w:t>5,044,280</w:t>
            </w:r>
          </w:p>
        </w:tc>
      </w:tr>
      <w:tr>
        <w:trPr>
          <w:trHeight w:val="142"/>
        </w:trPr>
        <w:tc>
          <w:tcPr>
            <w:tcW w:w="42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Equity</w:t>
            </w:r>
          </w:p>
        </w:tc>
        <w:tc>
          <w:tcPr>
            <w:tcW w:w="860" w:type="dxa"/>
            <w:vAlign w:val="bottom"/>
            <w:gridSpan w:val="2"/>
            <w:shd w:val="clear" w:color="auto" w:fill="CCEEFF"/>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22,253,703</w:t>
            </w:r>
          </w:p>
        </w:tc>
        <w:tc>
          <w:tcPr>
            <w:tcW w:w="840" w:type="dxa"/>
            <w:vAlign w:val="bottom"/>
            <w:gridSpan w:val="2"/>
            <w:shd w:val="clear" w:color="auto" w:fill="CCEEFF"/>
          </w:tcPr>
          <w:p>
            <w:pPr>
              <w:jc w:val="right"/>
              <w:ind w:right="58"/>
              <w:spacing w:after="0" w:line="143" w:lineRule="exact"/>
              <w:rPr>
                <w:sz w:val="20"/>
                <w:szCs w:val="20"/>
                <w:color w:val="auto"/>
              </w:rPr>
            </w:pPr>
            <w:r>
              <w:rPr>
                <w:rFonts w:ascii="Arial" w:cs="Arial" w:eastAsia="Arial" w:hAnsi="Arial"/>
                <w:sz w:val="13"/>
                <w:szCs w:val="13"/>
                <w:color w:val="auto"/>
              </w:rPr>
              <w:t>22,253,703</w:t>
            </w:r>
          </w:p>
        </w:tc>
      </w:tr>
      <w:tr>
        <w:trPr>
          <w:trHeight w:val="122"/>
        </w:trPr>
        <w:tc>
          <w:tcPr>
            <w:tcW w:w="428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Total liabilities and equity</w:t>
            </w: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31,426,446</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11,936,191</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24,860,364</w:t>
            </w:r>
          </w:p>
        </w:tc>
        <w:tc>
          <w:tcPr>
            <w:tcW w:w="18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56,184,811</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15,263,958</w:t>
            </w:r>
          </w:p>
        </w:tc>
        <w:tc>
          <w:tcPr>
            <w:tcW w:w="18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30,298,647</w:t>
            </w:r>
          </w:p>
        </w:tc>
        <w:tc>
          <w:tcPr>
            <w:tcW w:w="18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9"/>
              </w:rPr>
              <w:t>169,970,417</w:t>
            </w:r>
          </w:p>
        </w:tc>
        <w:tc>
          <w:tcPr>
            <w:tcW w:w="100" w:type="dxa"/>
            <w:vAlign w:val="bottom"/>
            <w:tcBorders>
              <w:bottom w:val="single" w:sz="8" w:color="CCEEFF"/>
            </w:tcBorders>
          </w:tcPr>
          <w:p>
            <w:pPr>
              <w:spacing w:after="0"/>
              <w:rPr>
                <w:sz w:val="10"/>
                <w:szCs w:val="10"/>
                <w:color w:val="auto"/>
              </w:rPr>
            </w:pPr>
          </w:p>
        </w:tc>
      </w:tr>
      <w:tr>
        <w:trPr>
          <w:trHeight w:val="122"/>
        </w:trPr>
        <w:tc>
          <w:tcPr>
            <w:tcW w:w="4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0"/>
        </w:trPr>
        <w:tc>
          <w:tcPr>
            <w:tcW w:w="4280" w:type="dxa"/>
            <w:vAlign w:val="bottom"/>
          </w:tcPr>
          <w:p>
            <w:pPr>
              <w:spacing w:after="0" w:line="131" w:lineRule="exact"/>
              <w:rPr>
                <w:sz w:val="20"/>
                <w:szCs w:val="20"/>
                <w:color w:val="auto"/>
              </w:rPr>
            </w:pPr>
            <w:r>
              <w:rPr>
                <w:rFonts w:ascii="Arial" w:cs="Arial" w:eastAsia="Arial" w:hAnsi="Arial"/>
                <w:sz w:val="13"/>
                <w:szCs w:val="13"/>
                <w:b w:val="1"/>
                <w:bCs w:val="1"/>
                <w:color w:val="auto"/>
              </w:rPr>
              <w:t>Off-balance-sheet accounts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42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Derivative financial assets</w:t>
            </w:r>
          </w:p>
        </w:tc>
        <w:tc>
          <w:tcPr>
            <w:tcW w:w="860" w:type="dxa"/>
            <w:vAlign w:val="bottom"/>
            <w:gridSpan w:val="2"/>
            <w:shd w:val="clear" w:color="auto" w:fill="CCEEFF"/>
          </w:tcPr>
          <w:p>
            <w:pPr>
              <w:jc w:val="right"/>
              <w:ind w:right="158"/>
              <w:spacing w:after="0" w:line="131" w:lineRule="exact"/>
              <w:rPr>
                <w:sz w:val="20"/>
                <w:szCs w:val="20"/>
                <w:color w:val="auto"/>
              </w:rPr>
            </w:pPr>
            <w:r>
              <w:rPr>
                <w:rFonts w:ascii="Arial" w:cs="Arial" w:eastAsia="Arial" w:hAnsi="Arial"/>
                <w:sz w:val="13"/>
                <w:szCs w:val="13"/>
                <w:color w:val="auto"/>
              </w:rPr>
              <w:t>1,397,860</w:t>
            </w:r>
          </w:p>
        </w:tc>
        <w:tc>
          <w:tcPr>
            <w:tcW w:w="84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2,023,671</w:t>
            </w:r>
          </w:p>
        </w:tc>
        <w:tc>
          <w:tcPr>
            <w:tcW w:w="8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426,309</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6,993,576</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2,393,197</w:t>
            </w:r>
          </w:p>
        </w:tc>
        <w:tc>
          <w:tcPr>
            <w:tcW w:w="92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58"/>
              <w:spacing w:after="0" w:line="131" w:lineRule="exact"/>
              <w:rPr>
                <w:sz w:val="20"/>
                <w:szCs w:val="20"/>
                <w:color w:val="auto"/>
              </w:rPr>
            </w:pPr>
            <w:r>
              <w:rPr>
                <w:rFonts w:ascii="Arial" w:cs="Arial" w:eastAsia="Arial" w:hAnsi="Arial"/>
                <w:sz w:val="13"/>
                <w:szCs w:val="13"/>
                <w:color w:val="auto"/>
              </w:rPr>
              <w:t>13,234,613</w:t>
            </w:r>
          </w:p>
        </w:tc>
      </w:tr>
      <w:tr>
        <w:trPr>
          <w:trHeight w:val="142"/>
        </w:trPr>
        <w:tc>
          <w:tcPr>
            <w:tcW w:w="4280" w:type="dxa"/>
            <w:vAlign w:val="bottom"/>
          </w:tcPr>
          <w:p>
            <w:pPr>
              <w:spacing w:after="0" w:line="143" w:lineRule="exact"/>
              <w:rPr>
                <w:sz w:val="20"/>
                <w:szCs w:val="20"/>
                <w:color w:val="auto"/>
              </w:rPr>
            </w:pPr>
            <w:r>
              <w:rPr>
                <w:rFonts w:ascii="Arial" w:cs="Arial" w:eastAsia="Arial" w:hAnsi="Arial"/>
                <w:sz w:val="13"/>
                <w:szCs w:val="13"/>
                <w:color w:val="auto"/>
              </w:rPr>
              <w:t>Derivative financial liabilities</w:t>
            </w:r>
          </w:p>
        </w:tc>
        <w:tc>
          <w:tcPr>
            <w:tcW w:w="860" w:type="dxa"/>
            <w:vAlign w:val="bottom"/>
            <w:gridSpan w:val="2"/>
          </w:tcPr>
          <w:p>
            <w:pPr>
              <w:jc w:val="right"/>
              <w:ind w:right="158"/>
              <w:spacing w:after="0" w:line="143" w:lineRule="exact"/>
              <w:rPr>
                <w:sz w:val="20"/>
                <w:szCs w:val="20"/>
                <w:color w:val="auto"/>
              </w:rPr>
            </w:pPr>
            <w:r>
              <w:rPr>
                <w:rFonts w:ascii="Arial" w:cs="Arial" w:eastAsia="Arial" w:hAnsi="Arial"/>
                <w:sz w:val="13"/>
                <w:szCs w:val="13"/>
                <w:color w:val="auto"/>
              </w:rPr>
              <w:t>4,153,574</w:t>
            </w:r>
          </w:p>
        </w:tc>
        <w:tc>
          <w:tcPr>
            <w:tcW w:w="84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4,460,947</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181,534</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3,944,123</w:t>
            </w: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494,435</w:t>
            </w:r>
          </w:p>
        </w:tc>
        <w:tc>
          <w:tcPr>
            <w:tcW w:w="92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8"/>
              <w:spacing w:after="0" w:line="143" w:lineRule="exact"/>
              <w:rPr>
                <w:sz w:val="20"/>
                <w:szCs w:val="20"/>
                <w:color w:val="auto"/>
              </w:rPr>
            </w:pPr>
            <w:r>
              <w:rPr>
                <w:rFonts w:ascii="Arial" w:cs="Arial" w:eastAsia="Arial" w:hAnsi="Arial"/>
                <w:sz w:val="13"/>
                <w:szCs w:val="13"/>
                <w:color w:val="auto"/>
              </w:rPr>
              <w:t>13,234,613</w:t>
            </w:r>
          </w:p>
        </w:tc>
      </w:tr>
      <w:tr>
        <w:trPr>
          <w:trHeight w:val="122"/>
        </w:trPr>
        <w:tc>
          <w:tcPr>
            <w:tcW w:w="42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(2,755,714</w:t>
            </w:r>
          </w:p>
        </w:tc>
        <w:tc>
          <w:tcPr>
            <w:tcW w:w="200" w:type="dxa"/>
            <w:vAlign w:val="bottom"/>
            <w:tcBorders>
              <w:top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(2,437,276</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244,775</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3,049,453</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1,898,762</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r>
      <w:tr>
        <w:trPr>
          <w:trHeight w:val="122"/>
        </w:trPr>
        <w:tc>
          <w:tcPr>
            <w:tcW w:w="428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Marginal gap</w:t>
            </w: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(7,902,633</w:t>
            </w:r>
          </w:p>
        </w:tc>
        <w:tc>
          <w:tcPr>
            <w:tcW w:w="200" w:type="dxa"/>
            <w:vAlign w:val="bottom"/>
            <w:tcBorders>
              <w:bottom w:val="single" w:sz="8" w:color="CCEEFF"/>
            </w:tcBorders>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7,141,433</w:t>
            </w:r>
          </w:p>
        </w:tc>
        <w:tc>
          <w:tcPr>
            <w:tcW w:w="1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8,194,245</w:t>
            </w:r>
          </w:p>
        </w:tc>
        <w:tc>
          <w:tcPr>
            <w:tcW w:w="1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(7,673,811</w:t>
            </w:r>
          </w:p>
        </w:tc>
        <w:tc>
          <w:tcPr>
            <w:tcW w:w="200" w:type="dxa"/>
            <w:vAlign w:val="bottom"/>
            <w:tcBorders>
              <w:bottom w:val="single" w:sz="8" w:color="CCEEFF"/>
            </w:tcBorders>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8"/>
              </w:rPr>
              <w:t>10,472,638</w:t>
            </w:r>
          </w:p>
        </w:tc>
        <w:tc>
          <w:tcPr>
            <w:tcW w:w="1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(14,253,929</w:t>
            </w:r>
          </w:p>
        </w:tc>
        <w:tc>
          <w:tcPr>
            <w:tcW w:w="180" w:type="dxa"/>
            <w:vAlign w:val="bottom"/>
            <w:tcBorders>
              <w:bottom w:val="single" w:sz="8" w:color="CCEEFF"/>
            </w:tcBorders>
          </w:tcPr>
          <w:p>
            <w:pPr>
              <w:jc w:val="right"/>
              <w:ind w:right="98"/>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(4,022,057</w:t>
            </w:r>
          </w:p>
        </w:tc>
        <w:tc>
          <w:tcPr>
            <w:tcW w:w="100" w:type="dxa"/>
            <w:vAlign w:val="bottom"/>
            <w:tcBorders>
              <w:bottom w:val="single" w:sz="8" w:color="CCEEFF"/>
            </w:tcBorders>
          </w:tcPr>
          <w:p>
            <w:pPr>
              <w:jc w:val="right"/>
              <w:ind w:right="18"/>
              <w:spacing w:after="0"/>
              <w:rPr>
                <w:sz w:val="20"/>
                <w:szCs w:val="20"/>
                <w:color w:val="auto"/>
              </w:rPr>
            </w:pPr>
            <w:r>
              <w:rPr>
                <w:rFonts w:ascii="Arial" w:cs="Arial" w:eastAsia="Arial" w:hAnsi="Arial"/>
                <w:sz w:val="8"/>
                <w:szCs w:val="8"/>
                <w:color w:val="auto"/>
                <w:w w:val="73"/>
              </w:rPr>
              <w:t>)</w:t>
            </w:r>
          </w:p>
        </w:tc>
      </w:tr>
      <w:tr>
        <w:trPr>
          <w:trHeight w:val="134"/>
        </w:trPr>
        <w:tc>
          <w:tcPr>
            <w:tcW w:w="428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color w:val="auto"/>
              </w:rPr>
              <w:t>Accumulated gap</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(7,902,633</w:t>
            </w:r>
          </w:p>
        </w:tc>
        <w:tc>
          <w:tcPr>
            <w:tcW w:w="2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(761,200</w:t>
            </w:r>
          </w:p>
        </w:tc>
        <w:tc>
          <w:tcPr>
            <w:tcW w:w="1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7,433,045</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(240,766</w:t>
            </w:r>
          </w:p>
        </w:tc>
        <w:tc>
          <w:tcPr>
            <w:tcW w:w="2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8"/>
              </w:rPr>
              <w:t>10,231,872</w:t>
            </w:r>
          </w:p>
        </w:tc>
        <w:tc>
          <w:tcPr>
            <w:tcW w:w="1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(4,022,057</w:t>
            </w:r>
          </w:p>
        </w:tc>
        <w:tc>
          <w:tcPr>
            <w:tcW w:w="1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20"/>
        </w:trPr>
        <w:tc>
          <w:tcPr>
            <w:tcW w:w="4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5" w:right="2020" w:hanging="5"/>
        <w:spacing w:after="0" w:line="269" w:lineRule="auto"/>
        <w:tabs>
          <w:tab w:leader="none" w:pos="22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Includes property, furniture and equipment, net, intangible and goodwill, net, due from customers on acceptances and other assets. (**)Includes banker’s acceptances outstanding and other liabilities.</w:t>
      </w:r>
    </w:p>
    <w:p>
      <w:pPr>
        <w:spacing w:after="0" w:line="157" w:lineRule="exact"/>
        <w:rPr>
          <w:sz w:val="20"/>
          <w:szCs w:val="20"/>
          <w:color w:val="auto"/>
        </w:rPr>
      </w:pPr>
    </w:p>
    <w:p>
      <w:pPr>
        <w:ind w:left="5"/>
        <w:spacing w:after="0" w:line="269" w:lineRule="auto"/>
        <w:rPr>
          <w:sz w:val="20"/>
          <w:szCs w:val="20"/>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346" w:lineRule="exact"/>
        <w:rPr>
          <w:sz w:val="20"/>
          <w:szCs w:val="20"/>
          <w:color w:val="auto"/>
        </w:rPr>
      </w:pPr>
    </w:p>
    <w:p>
      <w:pPr>
        <w:jc w:val="center"/>
        <w:ind w:right="155"/>
        <w:spacing w:after="0"/>
        <w:rPr>
          <w:sz w:val="20"/>
          <w:szCs w:val="20"/>
          <w:color w:val="auto"/>
        </w:rPr>
      </w:pPr>
      <w:r>
        <w:rPr>
          <w:rFonts w:ascii="Arial" w:cs="Arial" w:eastAsia="Arial" w:hAnsi="Arial"/>
          <w:sz w:val="16"/>
          <w:szCs w:val="16"/>
          <w:color w:val="auto"/>
        </w:rPr>
        <w:t>- 146 -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11430</wp:posOffset>
            </wp:positionV>
            <wp:extent cx="726313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485"/>
          </w:cols>
          <w:pgMar w:left="795" w:top="819" w:right="619" w:bottom="1440" w:gutter="0" w:footer="0" w:header="0"/>
        </w:sectPr>
      </w:pPr>
    </w:p>
    <w:bookmarkStart w:id="153" w:name="page154"/>
    <w:bookmarkEnd w:id="153"/>
    <w:p>
      <w:pPr>
        <w:ind w:left="560"/>
        <w:spacing w:after="0"/>
        <w:rPr>
          <w:sz w:val="20"/>
          <w:szCs w:val="20"/>
          <w:color w:val="auto"/>
        </w:rPr>
      </w:pPr>
      <w:r>
        <w:rPr>
          <w:rFonts w:ascii="Arial" w:cs="Arial" w:eastAsia="Arial" w:hAnsi="Arial"/>
          <w:sz w:val="16"/>
          <w:szCs w:val="16"/>
          <w:color w:val="auto"/>
        </w:rPr>
        <w:t>Sensitivity to changes in interest rates -</w:t>
      </w:r>
    </w:p>
    <w:p>
      <w:pPr>
        <w:spacing w:after="0" w:line="195" w:lineRule="exact"/>
        <w:rPr>
          <w:sz w:val="20"/>
          <w:szCs w:val="20"/>
          <w:color w:val="auto"/>
        </w:rPr>
      </w:pPr>
    </w:p>
    <w:p>
      <w:pPr>
        <w:ind w:left="560" w:right="100"/>
        <w:spacing w:after="0" w:line="254" w:lineRule="auto"/>
        <w:rPr>
          <w:sz w:val="20"/>
          <w:szCs w:val="20"/>
          <w:color w:val="auto"/>
        </w:rPr>
      </w:pPr>
      <w:r>
        <w:rPr>
          <w:rFonts w:ascii="Arial" w:cs="Arial" w:eastAsia="Arial" w:hAnsi="Arial"/>
          <w:sz w:val="16"/>
          <w:szCs w:val="16"/>
          <w:color w:val="auto"/>
        </w:rPr>
        <w:t>The sensitivity analysis of a reasonable possible change in interest rates on the banking book comprises an assessment of the sensitivity of the financial margins that seeks to measure the potential changes in the interest accruals over a period of time and the expected movement of the interest rate curves, as well as the sensibility of the net economic value, which is a long-term metric measured as the difference arising between the Net Economic Value of net assets and liabilities before and after a variation in interest rates.</w:t>
      </w:r>
    </w:p>
    <w:p>
      <w:pPr>
        <w:spacing w:after="0" w:line="169" w:lineRule="exact"/>
        <w:rPr>
          <w:sz w:val="20"/>
          <w:szCs w:val="20"/>
          <w:color w:val="auto"/>
        </w:rPr>
      </w:pPr>
    </w:p>
    <w:p>
      <w:pPr>
        <w:ind w:left="560" w:right="20"/>
        <w:spacing w:after="0" w:line="342" w:lineRule="auto"/>
        <w:rPr>
          <w:sz w:val="20"/>
          <w:szCs w:val="20"/>
          <w:color w:val="auto"/>
        </w:rPr>
      </w:pPr>
      <w:r>
        <w:rPr>
          <w:rFonts w:ascii="Arial" w:cs="Arial" w:eastAsia="Arial" w:hAnsi="Arial"/>
          <w:sz w:val="14"/>
          <w:szCs w:val="14"/>
          <w:color w:val="auto"/>
        </w:rPr>
        <w:t>The sensitivity of the financial margin is the effect of the assumed changes in interest rates on the net interest income before income tax and non-controlling interest for one year, based on the floating rate of non-trading financial assets and financial liabilities held at December 31, 2018 and 2017, including the effect of derivative instruments.</w:t>
      </w:r>
    </w:p>
    <w:p>
      <w:pPr>
        <w:spacing w:after="0" w:line="110" w:lineRule="exact"/>
        <w:rPr>
          <w:sz w:val="20"/>
          <w:szCs w:val="20"/>
          <w:color w:val="auto"/>
        </w:rPr>
      </w:pPr>
    </w:p>
    <w:p>
      <w:pPr>
        <w:jc w:val="both"/>
        <w:ind w:left="560" w:right="180"/>
        <w:spacing w:after="0" w:line="312" w:lineRule="auto"/>
        <w:rPr>
          <w:sz w:val="20"/>
          <w:szCs w:val="20"/>
          <w:color w:val="auto"/>
        </w:rPr>
      </w:pPr>
      <w:r>
        <w:rPr>
          <w:rFonts w:ascii="Arial" w:cs="Arial" w:eastAsia="Arial" w:hAnsi="Arial"/>
          <w:sz w:val="14"/>
          <w:szCs w:val="14"/>
          <w:color w:val="auto"/>
        </w:rPr>
        <w:t>The sensitivity of the Net Economic Value is calculated by reassessing the financial assets and liabilities sensitive to rates, except for the trading instruments, and held to maturity at a fixed rate, before income tax and non-controlling interest, including the effect of any associated hedge, and derivative instruments designated as a cash flow hedge. Regarding rate risk management, no distinction is made by accounting category for the investments that are considered in these calculations.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results of the sensitivity analysis regarding changes in interest rates at December 31, 2018 and 2017 are presented below:</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2018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 w:type="dxa"/>
            <w:vAlign w:val="bottom"/>
          </w:tcPr>
          <w:p>
            <w:pPr>
              <w:spacing w:after="0"/>
              <w:rPr>
                <w:sz w:val="14"/>
                <w:szCs w:val="14"/>
                <w:color w:val="auto"/>
              </w:rPr>
            </w:pPr>
          </w:p>
        </w:tc>
        <w:tc>
          <w:tcPr>
            <w:tcW w:w="284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ind w:left="480"/>
              <w:spacing w:after="0" w:line="167" w:lineRule="exact"/>
              <w:rPr>
                <w:sz w:val="20"/>
                <w:szCs w:val="20"/>
                <w:color w:val="auto"/>
              </w:rPr>
            </w:pPr>
            <w:r>
              <w:rPr>
                <w:rFonts w:ascii="Arial" w:cs="Arial" w:eastAsia="Arial" w:hAnsi="Arial"/>
                <w:sz w:val="16"/>
                <w:szCs w:val="16"/>
                <w:b w:val="1"/>
                <w:bCs w:val="1"/>
                <w:color w:val="auto"/>
                <w:w w:val="92"/>
              </w:rPr>
              <w:t>Changes in</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ind w:right="161"/>
              <w:spacing w:after="0" w:line="167" w:lineRule="exact"/>
              <w:rPr>
                <w:sz w:val="20"/>
                <w:szCs w:val="20"/>
                <w:color w:val="auto"/>
              </w:rPr>
            </w:pPr>
            <w:r>
              <w:rPr>
                <w:rFonts w:ascii="Arial" w:cs="Arial" w:eastAsia="Arial" w:hAnsi="Arial"/>
                <w:sz w:val="16"/>
                <w:szCs w:val="16"/>
                <w:b w:val="1"/>
                <w:bCs w:val="1"/>
                <w:color w:val="auto"/>
                <w:w w:val="89"/>
              </w:rPr>
              <w:t>Sensitivity of net</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141"/>
              <w:spacing w:after="0" w:line="167" w:lineRule="exact"/>
              <w:rPr>
                <w:sz w:val="20"/>
                <w:szCs w:val="20"/>
                <w:color w:val="auto"/>
              </w:rPr>
            </w:pPr>
            <w:r>
              <w:rPr>
                <w:rFonts w:ascii="Arial" w:cs="Arial" w:eastAsia="Arial" w:hAnsi="Arial"/>
                <w:sz w:val="16"/>
                <w:szCs w:val="16"/>
                <w:b w:val="1"/>
                <w:bCs w:val="1"/>
                <w:color w:val="auto"/>
                <w:w w:val="87"/>
              </w:rPr>
              <w:t>Sensitivity of Net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80" w:type="dxa"/>
            <w:vAlign w:val="bottom"/>
            <w:gridSpan w:val="2"/>
          </w:tcPr>
          <w:p>
            <w:pPr>
              <w:ind w:left="540"/>
              <w:spacing w:after="0"/>
              <w:rPr>
                <w:sz w:val="20"/>
                <w:szCs w:val="20"/>
                <w:color w:val="auto"/>
              </w:rPr>
            </w:pPr>
            <w:r>
              <w:rPr>
                <w:rFonts w:ascii="Arial" w:cs="Arial" w:eastAsia="Arial" w:hAnsi="Arial"/>
                <w:sz w:val="16"/>
                <w:szCs w:val="16"/>
                <w:b w:val="1"/>
                <w:bCs w:val="1"/>
                <w:color w:val="auto"/>
              </w:rPr>
              <w:t>Currency</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ind w:left="460"/>
              <w:spacing w:after="0"/>
              <w:rPr>
                <w:sz w:val="20"/>
                <w:szCs w:val="20"/>
                <w:color w:val="auto"/>
              </w:rPr>
            </w:pPr>
            <w:r>
              <w:rPr>
                <w:rFonts w:ascii="Arial" w:cs="Arial" w:eastAsia="Arial" w:hAnsi="Arial"/>
                <w:sz w:val="16"/>
                <w:szCs w:val="16"/>
                <w:b w:val="1"/>
                <w:bCs w:val="1"/>
                <w:color w:val="auto"/>
                <w:w w:val="87"/>
              </w:rPr>
              <w:t>basis points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61"/>
              <w:spacing w:after="0"/>
              <w:rPr>
                <w:sz w:val="20"/>
                <w:szCs w:val="20"/>
                <w:color w:val="auto"/>
              </w:rPr>
            </w:pPr>
            <w:r>
              <w:rPr>
                <w:rFonts w:ascii="Arial" w:cs="Arial" w:eastAsia="Arial" w:hAnsi="Arial"/>
                <w:sz w:val="16"/>
                <w:szCs w:val="16"/>
                <w:b w:val="1"/>
                <w:bCs w:val="1"/>
                <w:color w:val="auto"/>
                <w:w w:val="92"/>
              </w:rPr>
              <w:t>profit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41"/>
              <w:spacing w:after="0"/>
              <w:rPr>
                <w:sz w:val="20"/>
                <w:szCs w:val="20"/>
                <w:color w:val="auto"/>
              </w:rPr>
            </w:pPr>
            <w:r>
              <w:rPr>
                <w:rFonts w:ascii="Arial" w:cs="Arial" w:eastAsia="Arial" w:hAnsi="Arial"/>
                <w:sz w:val="16"/>
                <w:szCs w:val="16"/>
                <w:b w:val="1"/>
                <w:bCs w:val="1"/>
                <w:color w:val="auto"/>
                <w:w w:val="88"/>
              </w:rPr>
              <w:t>Economic Value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7"/>
              </w:rPr>
              <w:t>S/(000)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vMerge w:val="restart"/>
          </w:tcPr>
          <w:p>
            <w:pPr>
              <w:spacing w:after="0"/>
              <w:rPr>
                <w:sz w:val="15"/>
                <w:szCs w:val="15"/>
                <w:color w:val="auto"/>
              </w:rPr>
            </w:pPr>
          </w:p>
        </w:tc>
        <w:tc>
          <w:tcPr>
            <w:tcW w:w="28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vMerge w:val="continue"/>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439,964</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15,695</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659,946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20,926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879,928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31,389</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1,319,893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48,325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6,718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72,487</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10,078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96,650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13,437</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144,975</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20,155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54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jc w:val="right"/>
              <w:ind w:right="1061"/>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ind w:left="480"/>
              <w:spacing w:after="0" w:line="166" w:lineRule="exact"/>
              <w:rPr>
                <w:sz w:val="20"/>
                <w:szCs w:val="20"/>
                <w:color w:val="auto"/>
              </w:rPr>
            </w:pPr>
            <w:r>
              <w:rPr>
                <w:rFonts w:ascii="Arial" w:cs="Arial" w:eastAsia="Arial" w:hAnsi="Arial"/>
                <w:sz w:val="16"/>
                <w:szCs w:val="16"/>
                <w:b w:val="1"/>
                <w:bCs w:val="1"/>
                <w:color w:val="auto"/>
                <w:w w:val="92"/>
              </w:rPr>
              <w:t>Changes in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61"/>
              <w:spacing w:after="0" w:line="166" w:lineRule="exact"/>
              <w:rPr>
                <w:sz w:val="20"/>
                <w:szCs w:val="20"/>
                <w:color w:val="auto"/>
              </w:rPr>
            </w:pPr>
            <w:r>
              <w:rPr>
                <w:rFonts w:ascii="Arial" w:cs="Arial" w:eastAsia="Arial" w:hAnsi="Arial"/>
                <w:sz w:val="16"/>
                <w:szCs w:val="16"/>
                <w:b w:val="1"/>
                <w:bCs w:val="1"/>
                <w:color w:val="auto"/>
                <w:w w:val="89"/>
              </w:rPr>
              <w:t>Sensitivity of net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41"/>
              <w:spacing w:after="0" w:line="166" w:lineRule="exact"/>
              <w:rPr>
                <w:sz w:val="20"/>
                <w:szCs w:val="20"/>
                <w:color w:val="auto"/>
              </w:rPr>
            </w:pPr>
            <w:r>
              <w:rPr>
                <w:rFonts w:ascii="Arial" w:cs="Arial" w:eastAsia="Arial" w:hAnsi="Arial"/>
                <w:sz w:val="16"/>
                <w:szCs w:val="16"/>
                <w:b w:val="1"/>
                <w:bCs w:val="1"/>
                <w:color w:val="auto"/>
                <w:w w:val="87"/>
              </w:rPr>
              <w:t>Sensitivity of Net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80" w:type="dxa"/>
            <w:vAlign w:val="bottom"/>
            <w:gridSpan w:val="2"/>
          </w:tcPr>
          <w:p>
            <w:pPr>
              <w:ind w:left="540"/>
              <w:spacing w:after="0"/>
              <w:rPr>
                <w:sz w:val="20"/>
                <w:szCs w:val="20"/>
                <w:color w:val="auto"/>
              </w:rPr>
            </w:pPr>
            <w:r>
              <w:rPr>
                <w:rFonts w:ascii="Arial" w:cs="Arial" w:eastAsia="Arial" w:hAnsi="Arial"/>
                <w:sz w:val="16"/>
                <w:szCs w:val="16"/>
                <w:b w:val="1"/>
                <w:bCs w:val="1"/>
                <w:color w:val="auto"/>
              </w:rPr>
              <w:t>Currency</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ind w:left="460"/>
              <w:spacing w:after="0"/>
              <w:rPr>
                <w:sz w:val="20"/>
                <w:szCs w:val="20"/>
                <w:color w:val="auto"/>
              </w:rPr>
            </w:pPr>
            <w:r>
              <w:rPr>
                <w:rFonts w:ascii="Arial" w:cs="Arial" w:eastAsia="Arial" w:hAnsi="Arial"/>
                <w:sz w:val="16"/>
                <w:szCs w:val="16"/>
                <w:b w:val="1"/>
                <w:bCs w:val="1"/>
                <w:color w:val="auto"/>
                <w:w w:val="87"/>
              </w:rPr>
              <w:t>basis points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61"/>
              <w:spacing w:after="0"/>
              <w:rPr>
                <w:sz w:val="20"/>
                <w:szCs w:val="20"/>
                <w:color w:val="auto"/>
              </w:rPr>
            </w:pPr>
            <w:r>
              <w:rPr>
                <w:rFonts w:ascii="Arial" w:cs="Arial" w:eastAsia="Arial" w:hAnsi="Arial"/>
                <w:sz w:val="16"/>
                <w:szCs w:val="16"/>
                <w:b w:val="1"/>
                <w:bCs w:val="1"/>
                <w:color w:val="auto"/>
                <w:w w:val="92"/>
              </w:rPr>
              <w:t>profit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41"/>
              <w:spacing w:after="0"/>
              <w:rPr>
                <w:sz w:val="20"/>
                <w:szCs w:val="20"/>
                <w:color w:val="auto"/>
              </w:rPr>
            </w:pPr>
            <w:r>
              <w:rPr>
                <w:rFonts w:ascii="Arial" w:cs="Arial" w:eastAsia="Arial" w:hAnsi="Arial"/>
                <w:sz w:val="16"/>
                <w:szCs w:val="16"/>
                <w:b w:val="1"/>
                <w:bCs w:val="1"/>
                <w:color w:val="auto"/>
                <w:w w:val="88"/>
              </w:rPr>
              <w:t>Economic Value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7"/>
              </w:rPr>
              <w:t>S/(000)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7"/>
              </w:rPr>
              <w:t>S/(000)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vMerge w:val="restart"/>
          </w:tcPr>
          <w:p>
            <w:pPr>
              <w:spacing w:after="0"/>
              <w:rPr>
                <w:sz w:val="15"/>
                <w:szCs w:val="15"/>
                <w:color w:val="auto"/>
              </w:rPr>
            </w:pPr>
          </w:p>
        </w:tc>
        <w:tc>
          <w:tcPr>
            <w:tcW w:w="2840" w:type="dxa"/>
            <w:vAlign w:val="bottom"/>
          </w:tcPr>
          <w:p>
            <w:pPr>
              <w:spacing w:after="0"/>
              <w:rPr>
                <w:sz w:val="15"/>
                <w:szCs w:val="15"/>
                <w:color w:val="auto"/>
              </w:rPr>
            </w:pPr>
          </w:p>
        </w:tc>
        <w:tc>
          <w:tcPr>
            <w:tcW w:w="372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vMerge w:val="continue"/>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354,899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2,176</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532,348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709,798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Soles</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4,352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1,064,696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8,068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129,876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12,103</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194,813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259,751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U.S. Dollar</w:t>
            </w:r>
          </w:p>
        </w:tc>
        <w:tc>
          <w:tcPr>
            <w:tcW w:w="3720" w:type="dxa"/>
            <w:vAlign w:val="bottom"/>
            <w:gridSpan w:val="3"/>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24,205</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389,627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jc w:val="right"/>
              <w:ind w:right="1081"/>
              <w:spacing w:after="0"/>
              <w:rPr>
                <w:sz w:val="20"/>
                <w:szCs w:val="20"/>
                <w:color w:val="auto"/>
              </w:rPr>
            </w:pPr>
            <w:r>
              <w:rPr>
                <w:rFonts w:ascii="Arial" w:cs="Arial" w:eastAsia="Arial" w:hAnsi="Arial"/>
                <w:sz w:val="16"/>
                <w:szCs w:val="16"/>
                <w:color w:val="auto"/>
              </w:rPr>
              <w:t>- 147 -</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4" w:right="219" w:bottom="1440" w:gutter="0" w:footer="0" w:header="0"/>
        </w:sectPr>
      </w:pPr>
    </w:p>
    <w:bookmarkStart w:id="154" w:name="page155"/>
    <w:bookmarkEnd w:id="154"/>
    <w:p>
      <w:pPr>
        <w:jc w:val="both"/>
        <w:ind w:left="560" w:right="660"/>
        <w:spacing w:after="0" w:line="283" w:lineRule="auto"/>
        <w:rPr>
          <w:sz w:val="20"/>
          <w:szCs w:val="20"/>
          <w:color w:val="auto"/>
        </w:rPr>
      </w:pPr>
      <w:r>
        <w:rPr>
          <w:rFonts w:ascii="Arial" w:cs="Arial" w:eastAsia="Arial" w:hAnsi="Arial"/>
          <w:sz w:val="15"/>
          <w:szCs w:val="15"/>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148" w:lineRule="exact"/>
        <w:rPr>
          <w:sz w:val="20"/>
          <w:szCs w:val="20"/>
          <w:color w:val="auto"/>
        </w:rPr>
      </w:pPr>
    </w:p>
    <w:p>
      <w:pPr>
        <w:ind w:left="560" w:right="20"/>
        <w:spacing w:after="0" w:line="258" w:lineRule="auto"/>
        <w:rPr>
          <w:sz w:val="20"/>
          <w:szCs w:val="20"/>
          <w:color w:val="auto"/>
        </w:rPr>
      </w:pPr>
      <w:r>
        <w:rPr>
          <w:rFonts w:ascii="Arial" w:cs="Arial" w:eastAsia="Arial" w:hAnsi="Arial"/>
          <w:sz w:val="16"/>
          <w:szCs w:val="16"/>
          <w:color w:val="auto"/>
        </w:rPr>
        <w:t>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165" w:lineRule="exact"/>
        <w:rPr>
          <w:sz w:val="20"/>
          <w:szCs w:val="20"/>
          <w:color w:val="auto"/>
        </w:rPr>
      </w:pPr>
    </w:p>
    <w:p>
      <w:pPr>
        <w:ind w:left="560" w:right="360"/>
        <w:spacing w:after="0" w:line="258" w:lineRule="auto"/>
        <w:rPr>
          <w:sz w:val="20"/>
          <w:szCs w:val="20"/>
          <w:color w:val="auto"/>
        </w:rPr>
      </w:pPr>
      <w:r>
        <w:rPr>
          <w:rFonts w:ascii="Arial" w:cs="Arial" w:eastAsia="Arial" w:hAnsi="Arial"/>
          <w:sz w:val="16"/>
          <w:szCs w:val="16"/>
          <w:color w:val="auto"/>
        </w:rPr>
        <w:t>As of December 31, 2018, investments in equity securities and funds that are non-trading, recorded at fair value through other comprehensive income and at fair value through profit or loss, respectively, are not considered as comprising investment securities for interest rate sensitivity calculation purposes; however, a 10, 25 and 30 percent of changes in market prices is conducted to these price-sensitivity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market price sensitivity tests as of December 31, 2018 are presented below:</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Equity securities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0" w:type="dxa"/>
            <w:vAlign w:val="bottom"/>
          </w:tcPr>
          <w:p>
            <w:pPr>
              <w:spacing w:after="0"/>
              <w:rPr>
                <w:sz w:val="14"/>
                <w:szCs w:val="14"/>
                <w:color w:val="auto"/>
              </w:rPr>
            </w:pPr>
          </w:p>
        </w:tc>
        <w:tc>
          <w:tcPr>
            <w:tcW w:w="3140" w:type="dxa"/>
            <w:vAlign w:val="bottom"/>
            <w:tcBorders>
              <w:top w:val="single" w:sz="8" w:color="auto"/>
            </w:tcBorders>
          </w:tcPr>
          <w:p>
            <w:pPr>
              <w:spacing w:after="0" w:line="167" w:lineRule="exact"/>
              <w:rPr>
                <w:sz w:val="20"/>
                <w:szCs w:val="20"/>
                <w:color w:val="auto"/>
              </w:rPr>
            </w:pPr>
            <w:r>
              <w:rPr>
                <w:rFonts w:ascii="Arial" w:cs="Arial" w:eastAsia="Arial" w:hAnsi="Arial"/>
                <w:sz w:val="16"/>
                <w:szCs w:val="16"/>
                <w:b w:val="1"/>
                <w:bCs w:val="1"/>
                <w:color w:val="auto"/>
              </w:rPr>
              <w:t>Measured at fair value</w:t>
            </w:r>
          </w:p>
        </w:tc>
        <w:tc>
          <w:tcPr>
            <w:tcW w:w="3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2"/>
        </w:trPr>
        <w:tc>
          <w:tcPr>
            <w:tcW w:w="56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through other comprehensive</w:t>
            </w: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Change in</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5"/>
        </w:trPr>
        <w:tc>
          <w:tcPr>
            <w:tcW w:w="56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market prices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8"/>
        </w:trPr>
        <w:tc>
          <w:tcPr>
            <w:tcW w:w="560" w:type="dxa"/>
            <w:vAlign w:val="bottom"/>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75"/>
        </w:trPr>
        <w:tc>
          <w:tcPr>
            <w:tcW w:w="5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64,947</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Equity securities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162,368</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194,841</w:t>
            </w:r>
          </w:p>
        </w:tc>
        <w:tc>
          <w:tcPr>
            <w:tcW w:w="1740" w:type="dxa"/>
            <w:vAlign w:val="bottom"/>
          </w:tcPr>
          <w:p>
            <w:pPr>
              <w:spacing w:after="0"/>
              <w:rPr>
                <w:sz w:val="16"/>
                <w:szCs w:val="16"/>
                <w:color w:val="auto"/>
              </w:rPr>
            </w:pPr>
          </w:p>
        </w:tc>
      </w:tr>
      <w:tr>
        <w:trPr>
          <w:trHeight w:val="390"/>
        </w:trPr>
        <w:tc>
          <w:tcPr>
            <w:tcW w:w="56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4"/>
          </w:tcPr>
          <w:p>
            <w:pPr>
              <w:ind w:left="1180"/>
              <w:spacing w:after="0"/>
              <w:rPr>
                <w:sz w:val="20"/>
                <w:szCs w:val="20"/>
                <w:color w:val="auto"/>
              </w:rPr>
            </w:pPr>
            <w:r>
              <w:rPr>
                <w:rFonts w:ascii="Arial" w:cs="Arial" w:eastAsia="Arial" w:hAnsi="Arial"/>
                <w:sz w:val="16"/>
                <w:szCs w:val="16"/>
                <w:b w:val="1"/>
                <w:bCs w:val="1"/>
                <w:color w:val="auto"/>
              </w:rPr>
              <w:t>Funds</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7"/>
        </w:trPr>
        <w:tc>
          <w:tcPr>
            <w:tcW w:w="56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Measured at fair value</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Change in</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5"/>
        </w:trPr>
        <w:tc>
          <w:tcPr>
            <w:tcW w:w="56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through profit or loss</w:t>
            </w: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market prices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8"/>
        </w:trPr>
        <w:tc>
          <w:tcPr>
            <w:tcW w:w="560" w:type="dxa"/>
            <w:vAlign w:val="bottom"/>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75"/>
        </w:trPr>
        <w:tc>
          <w:tcPr>
            <w:tcW w:w="5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740" w:type="dxa"/>
            <w:vAlign w:val="bottom"/>
            <w:gridSpan w:val="4"/>
          </w:tcPr>
          <w:p>
            <w:pPr>
              <w:spacing w:after="0"/>
              <w:rPr>
                <w:sz w:val="15"/>
                <w:szCs w:val="15"/>
                <w:color w:val="auto"/>
              </w:rPr>
            </w:pPr>
          </w:p>
        </w:tc>
        <w:tc>
          <w:tcPr>
            <w:tcW w:w="1260" w:type="dxa"/>
            <w:vAlign w:val="bottom"/>
            <w:gridSpan w:val="2"/>
          </w:tcPr>
          <w:p>
            <w:pPr>
              <w:spacing w:after="0"/>
              <w:rPr>
                <w:sz w:val="15"/>
                <w:szCs w:val="15"/>
                <w:color w:val="auto"/>
              </w:rPr>
            </w:pPr>
          </w:p>
        </w:tc>
        <w:tc>
          <w:tcPr>
            <w:tcW w:w="1740" w:type="dxa"/>
            <w:vAlign w:val="bottom"/>
          </w:tcPr>
          <w:p>
            <w:pPr>
              <w:spacing w:after="0"/>
              <w:rPr>
                <w:sz w:val="15"/>
                <w:szCs w:val="15"/>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mutual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25,687</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Participation in mutual funds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64,219</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mutual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77,062</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Restricted mutual funds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40,735</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Restricted mutual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101,838</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Restricted mutual funds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122,205</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RAL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44,504</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Participation in RAL funds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111,260</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RAL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133,512</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Investment funds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32,346</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Investment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80,864</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Investment funds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97,037</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Hedge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4,434</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Hedge funds</w:t>
            </w:r>
          </w:p>
        </w:tc>
        <w:tc>
          <w:tcPr>
            <w:tcW w:w="4740" w:type="dxa"/>
            <w:vAlign w:val="bottom"/>
            <w:gridSpan w:val="4"/>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11,084</w:t>
            </w:r>
          </w:p>
        </w:tc>
        <w:tc>
          <w:tcPr>
            <w:tcW w:w="174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Hedge funds</w:t>
            </w:r>
          </w:p>
        </w:tc>
        <w:tc>
          <w:tcPr>
            <w:tcW w:w="47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13,301</w:t>
            </w:r>
          </w:p>
        </w:tc>
        <w:tc>
          <w:tcPr>
            <w:tcW w:w="1740" w:type="dxa"/>
            <w:vAlign w:val="bottom"/>
          </w:tcPr>
          <w:p>
            <w:pPr>
              <w:spacing w:after="0"/>
              <w:rPr>
                <w:sz w:val="16"/>
                <w:szCs w:val="16"/>
                <w:color w:val="auto"/>
              </w:rPr>
            </w:pPr>
          </w:p>
        </w:tc>
      </w:tr>
      <w:tr>
        <w:trPr>
          <w:trHeight w:val="568"/>
        </w:trPr>
        <w:tc>
          <w:tcPr>
            <w:tcW w:w="5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rPr>
              <w:t>- 148 -</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15" w:right="219" w:bottom="1440" w:gutter="0" w:footer="0" w:header="0"/>
        </w:sectPr>
      </w:pPr>
    </w:p>
    <w:bookmarkStart w:id="155" w:name="page156"/>
    <w:bookmarkEnd w:id="155"/>
    <w:p>
      <w:pPr>
        <w:ind w:left="233" w:right="420"/>
        <w:spacing w:after="0" w:line="342" w:lineRule="auto"/>
        <w:rPr>
          <w:sz w:val="20"/>
          <w:szCs w:val="20"/>
          <w:color w:val="auto"/>
        </w:rPr>
      </w:pPr>
      <w:r>
        <w:rPr>
          <w:rFonts w:ascii="Arial" w:cs="Arial" w:eastAsia="Arial" w:hAnsi="Arial"/>
          <w:sz w:val="14"/>
          <w:szCs w:val="14"/>
          <w:color w:val="auto"/>
        </w:rPr>
        <w:t>At December 31, 2017, available-for-sale investments in equity securities and various funds are not considered as comprising investment securities for interest rate sensitivity calculation purposes; however, a 10, 25 and 30 percent of changes in market prices is conducted to these price-sensitivity securities.</w:t>
      </w:r>
    </w:p>
    <w:p>
      <w:pPr>
        <w:spacing w:after="0" w:line="110" w:lineRule="exact"/>
        <w:rPr>
          <w:sz w:val="20"/>
          <w:szCs w:val="20"/>
          <w:color w:val="auto"/>
        </w:rPr>
      </w:pPr>
    </w:p>
    <w:tbl>
      <w:tblPr>
        <w:tblLayout w:type="fixed"/>
        <w:tblInd w:w="233" w:type="dxa"/>
        <w:tblCellMar>
          <w:top w:w="0" w:type="dxa"/>
          <w:left w:w="0" w:type="dxa"/>
          <w:bottom w:w="0" w:type="dxa"/>
          <w:right w:w="0" w:type="dxa"/>
        </w:tblCellMar>
      </w:tblPr>
      <w:tr>
        <w:trPr>
          <w:trHeight w:val="201"/>
        </w:trPr>
        <w:tc>
          <w:tcPr>
            <w:tcW w:w="6500" w:type="dxa"/>
            <w:vAlign w:val="bottom"/>
          </w:tcPr>
          <w:p>
            <w:pPr>
              <w:spacing w:after="0"/>
              <w:rPr>
                <w:sz w:val="20"/>
                <w:szCs w:val="20"/>
                <w:color w:val="auto"/>
              </w:rPr>
            </w:pPr>
            <w:r>
              <w:rPr>
                <w:rFonts w:ascii="Arial" w:cs="Arial" w:eastAsia="Arial" w:hAnsi="Arial"/>
                <w:sz w:val="16"/>
                <w:szCs w:val="16"/>
                <w:color w:val="auto"/>
              </w:rPr>
              <w:t>Sensitivity tests as of December 31, 2017 are presented below:</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Market price sensitivity</w:t>
            </w: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Change in</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500" w:type="dxa"/>
            <w:vAlign w:val="bottom"/>
            <w:vMerge w:val="continue"/>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market prices</w:t>
            </w:r>
          </w:p>
        </w:tc>
        <w:tc>
          <w:tcPr>
            <w:tcW w:w="11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76,559</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Equity securities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191,399</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229,678</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Participation in mutual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40,957</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mutual funds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102,392</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Participation in mutual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122,870</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Restricted mutual funds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41,670</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Restricted mutual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104,174</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Restricted mutual funds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125,009</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Participation in RAL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52,741</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Participation in RAL funds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131,851</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Participation in RAL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158,222</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Investment funds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5,962</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Investment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14,905</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Investment funds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17,886</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Hedge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Hedge funds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1"/>
        </w:trPr>
        <w:tc>
          <w:tcPr>
            <w:tcW w:w="6500" w:type="dxa"/>
            <w:vAlign w:val="bottom"/>
          </w:tcPr>
          <w:p>
            <w:pPr>
              <w:spacing w:after="0"/>
              <w:rPr>
                <w:sz w:val="20"/>
                <w:szCs w:val="20"/>
                <w:color w:val="auto"/>
              </w:rPr>
            </w:pPr>
            <w:r>
              <w:rPr>
                <w:rFonts w:ascii="Arial" w:cs="Arial" w:eastAsia="Arial" w:hAnsi="Arial"/>
                <w:sz w:val="16"/>
                <w:szCs w:val="16"/>
                <w:color w:val="auto"/>
              </w:rPr>
              <w:t>Hedge funds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13" w:hanging="213"/>
        <w:spacing w:after="0"/>
        <w:tabs>
          <w:tab w:leader="none" w:pos="21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Foreign exchange risk -</w:t>
      </w:r>
    </w:p>
    <w:p>
      <w:pPr>
        <w:spacing w:after="0" w:line="195" w:lineRule="exact"/>
        <w:rPr>
          <w:rFonts w:ascii="Arial" w:cs="Arial" w:eastAsia="Arial" w:hAnsi="Arial"/>
          <w:sz w:val="16"/>
          <w:szCs w:val="16"/>
          <w:color w:val="auto"/>
        </w:rPr>
      </w:pPr>
    </w:p>
    <w:p>
      <w:pPr>
        <w:ind w:left="233" w:right="420"/>
        <w:spacing w:after="0" w:line="269" w:lineRule="auto"/>
        <w:rPr>
          <w:rFonts w:ascii="Arial" w:cs="Arial" w:eastAsia="Arial" w:hAnsi="Arial"/>
          <w:sz w:val="16"/>
          <w:szCs w:val="16"/>
          <w:color w:val="auto"/>
        </w:rPr>
      </w:pPr>
      <w:r>
        <w:rPr>
          <w:rFonts w:ascii="Arial" w:cs="Arial" w:eastAsia="Arial" w:hAnsi="Arial"/>
          <w:sz w:val="16"/>
          <w:szCs w:val="16"/>
          <w:color w:val="auto"/>
        </w:rPr>
        <w:t>The Group is exposed to foreign currency exchange rates on its financial position and cash flows. Management sets limits on the level of exposure by currency and overnight and intra-day total positions, which are monitored daily.</w:t>
      </w:r>
    </w:p>
    <w:p>
      <w:pPr>
        <w:spacing w:after="0" w:line="156" w:lineRule="exact"/>
        <w:rPr>
          <w:rFonts w:ascii="Arial" w:cs="Arial" w:eastAsia="Arial" w:hAnsi="Arial"/>
          <w:sz w:val="16"/>
          <w:szCs w:val="16"/>
          <w:color w:val="auto"/>
        </w:rPr>
      </w:pPr>
    </w:p>
    <w:p>
      <w:pPr>
        <w:ind w:left="233"/>
        <w:spacing w:after="0" w:line="269" w:lineRule="auto"/>
        <w:rPr>
          <w:rFonts w:ascii="Arial" w:cs="Arial" w:eastAsia="Arial" w:hAnsi="Arial"/>
          <w:sz w:val="16"/>
          <w:szCs w:val="16"/>
          <w:color w:val="auto"/>
        </w:rPr>
      </w:pPr>
      <w:r>
        <w:rPr>
          <w:rFonts w:ascii="Arial" w:cs="Arial" w:eastAsia="Arial" w:hAnsi="Arial"/>
          <w:sz w:val="16"/>
          <w:szCs w:val="16"/>
          <w:color w:val="auto"/>
        </w:rPr>
        <w:t>At December 31, 2018, the free market exchange rate for buying and selling transactions for each United Stated Dollar, the main foreign currency held by the Group, was S/3.373 (S/3.241 at December 31, 2017).</w:t>
      </w:r>
    </w:p>
    <w:p>
      <w:pPr>
        <w:spacing w:after="0" w:line="346" w:lineRule="exact"/>
        <w:rPr>
          <w:rFonts w:ascii="Arial" w:cs="Arial" w:eastAsia="Arial" w:hAnsi="Arial"/>
          <w:sz w:val="16"/>
          <w:szCs w:val="16"/>
          <w:color w:val="auto"/>
        </w:rPr>
      </w:pPr>
    </w:p>
    <w:p>
      <w:pPr>
        <w:ind w:left="5273" w:hanging="91"/>
        <w:spacing w:after="0"/>
        <w:tabs>
          <w:tab w:leader="none" w:pos="527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11430</wp:posOffset>
            </wp:positionV>
            <wp:extent cx="726313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953"/>
          </w:cols>
          <w:pgMar w:left="567" w:top="814" w:right="379" w:bottom="1440" w:gutter="0" w:footer="0" w:header="0"/>
        </w:sectPr>
      </w:pPr>
    </w:p>
    <w:bookmarkStart w:id="156" w:name="page157"/>
    <w:bookmarkEnd w:id="156"/>
    <w:p>
      <w:pPr>
        <w:ind w:right="100"/>
        <w:spacing w:after="0" w:line="269" w:lineRule="auto"/>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 December 31, 2018 and 2017, the Group’s assets and liabilities by currencies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5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3"/>
                <w:szCs w:val="13"/>
                <w:b w:val="1"/>
                <w:bCs w:val="1"/>
                <w:color w:val="auto"/>
              </w:rPr>
              <w:t>At December 31, 2018</w:t>
            </w: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3"/>
                <w:szCs w:val="13"/>
                <w:b w:val="1"/>
                <w:bCs w:val="1"/>
                <w:color w:val="auto"/>
              </w:rPr>
              <w:t>At December 31, 2017</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4"/>
        </w:trPr>
        <w:tc>
          <w:tcPr>
            <w:tcW w:w="3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138"/>
              <w:spacing w:after="0" w:line="114"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138"/>
              <w:spacing w:after="0" w:line="114"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0"/>
        </w:trPr>
        <w:tc>
          <w:tcPr>
            <w:tcW w:w="3560" w:type="dxa"/>
            <w:vAlign w:val="bottom"/>
          </w:tcPr>
          <w:p>
            <w:pPr>
              <w:spacing w:after="0"/>
              <w:rPr>
                <w:sz w:val="13"/>
                <w:szCs w:val="13"/>
                <w:color w:val="auto"/>
              </w:rPr>
            </w:pPr>
          </w:p>
        </w:tc>
        <w:tc>
          <w:tcPr>
            <w:tcW w:w="880" w:type="dxa"/>
            <w:vAlign w:val="bottom"/>
            <w:gridSpan w:val="2"/>
          </w:tcPr>
          <w:p>
            <w:pPr>
              <w:jc w:val="right"/>
              <w:ind w:right="358"/>
              <w:spacing w:after="0"/>
              <w:rPr>
                <w:sz w:val="20"/>
                <w:szCs w:val="20"/>
                <w:color w:val="auto"/>
              </w:rPr>
            </w:pPr>
            <w:r>
              <w:rPr>
                <w:rFonts w:ascii="Arial" w:cs="Arial" w:eastAsia="Arial" w:hAnsi="Arial"/>
                <w:sz w:val="13"/>
                <w:szCs w:val="13"/>
                <w:b w:val="1"/>
                <w:bCs w:val="1"/>
                <w:color w:val="auto"/>
              </w:rPr>
              <w:t>Soles</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b w:val="1"/>
                <w:bCs w:val="1"/>
                <w:color w:val="auto"/>
                <w:w w:val="94"/>
              </w:rPr>
              <w:t>U.S. Dollar</w:t>
            </w:r>
          </w:p>
        </w:tc>
        <w:tc>
          <w:tcPr>
            <w:tcW w:w="90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5"/>
              </w:rPr>
              <w:t>currencies</w:t>
            </w:r>
          </w:p>
        </w:tc>
        <w:tc>
          <w:tcPr>
            <w:tcW w:w="960" w:type="dxa"/>
            <w:vAlign w:val="bottom"/>
            <w:gridSpan w:val="2"/>
          </w:tcPr>
          <w:p>
            <w:pPr>
              <w:jc w:val="right"/>
              <w:ind w:right="398"/>
              <w:spacing w:after="0"/>
              <w:rPr>
                <w:sz w:val="20"/>
                <w:szCs w:val="20"/>
                <w:color w:val="auto"/>
              </w:rPr>
            </w:pPr>
            <w:r>
              <w:rPr>
                <w:rFonts w:ascii="Arial" w:cs="Arial" w:eastAsia="Arial" w:hAnsi="Arial"/>
                <w:sz w:val="13"/>
                <w:szCs w:val="13"/>
                <w:b w:val="1"/>
                <w:bCs w:val="1"/>
                <w:color w:val="auto"/>
              </w:rPr>
              <w:t>Total</w:t>
            </w:r>
          </w:p>
        </w:tc>
        <w:tc>
          <w:tcPr>
            <w:tcW w:w="900" w:type="dxa"/>
            <w:vAlign w:val="bottom"/>
            <w:gridSpan w:val="2"/>
          </w:tcPr>
          <w:p>
            <w:pPr>
              <w:jc w:val="right"/>
              <w:ind w:right="358"/>
              <w:spacing w:after="0"/>
              <w:rPr>
                <w:sz w:val="20"/>
                <w:szCs w:val="20"/>
                <w:color w:val="auto"/>
              </w:rPr>
            </w:pPr>
            <w:r>
              <w:rPr>
                <w:rFonts w:ascii="Arial" w:cs="Arial" w:eastAsia="Arial" w:hAnsi="Arial"/>
                <w:sz w:val="13"/>
                <w:szCs w:val="13"/>
                <w:b w:val="1"/>
                <w:bCs w:val="1"/>
                <w:color w:val="auto"/>
              </w:rPr>
              <w:t>Soles</w:t>
            </w:r>
          </w:p>
        </w:tc>
        <w:tc>
          <w:tcPr>
            <w:tcW w:w="900" w:type="dxa"/>
            <w:vAlign w:val="bottom"/>
            <w:gridSpan w:val="2"/>
          </w:tcPr>
          <w:p>
            <w:pPr>
              <w:jc w:val="right"/>
              <w:ind w:right="198"/>
              <w:spacing w:after="0"/>
              <w:rPr>
                <w:sz w:val="20"/>
                <w:szCs w:val="20"/>
                <w:color w:val="auto"/>
              </w:rPr>
            </w:pPr>
            <w:r>
              <w:rPr>
                <w:rFonts w:ascii="Arial" w:cs="Arial" w:eastAsia="Arial" w:hAnsi="Arial"/>
                <w:sz w:val="13"/>
                <w:szCs w:val="13"/>
                <w:b w:val="1"/>
                <w:bCs w:val="1"/>
                <w:color w:val="auto"/>
                <w:w w:val="97"/>
              </w:rPr>
              <w:t>U.S. Dollar</w:t>
            </w:r>
          </w:p>
        </w:tc>
        <w:tc>
          <w:tcPr>
            <w:tcW w:w="90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5"/>
              </w:rPr>
              <w:t>currencies</w:t>
            </w:r>
          </w:p>
        </w:tc>
        <w:tc>
          <w:tcPr>
            <w:tcW w:w="88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22"/>
        </w:trPr>
        <w:tc>
          <w:tcPr>
            <w:tcW w:w="3560" w:type="dxa"/>
            <w:vAlign w:val="bottom"/>
          </w:tcPr>
          <w:p>
            <w:pPr>
              <w:spacing w:after="0"/>
              <w:rPr>
                <w:sz w:val="10"/>
                <w:szCs w:val="10"/>
                <w:color w:val="auto"/>
              </w:rPr>
            </w:pPr>
          </w:p>
        </w:tc>
        <w:tc>
          <w:tcPr>
            <w:tcW w:w="700" w:type="dxa"/>
            <w:vAlign w:val="bottom"/>
            <w:tcBorders>
              <w:top w:val="single" w:sz="8" w:color="auto"/>
            </w:tcBorders>
          </w:tcPr>
          <w:p>
            <w:pPr>
              <w:jc w:val="right"/>
              <w:ind w:right="9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ind w:right="9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S/(000)</w:t>
            </w:r>
          </w:p>
        </w:tc>
        <w:tc>
          <w:tcPr>
            <w:tcW w:w="180" w:type="dxa"/>
            <w:vAlign w:val="bottom"/>
          </w:tcPr>
          <w:p>
            <w:pPr>
              <w:spacing w:after="0"/>
              <w:rPr>
                <w:sz w:val="10"/>
                <w:szCs w:val="10"/>
                <w:color w:val="auto"/>
              </w:rPr>
            </w:pPr>
          </w:p>
        </w:tc>
        <w:tc>
          <w:tcPr>
            <w:tcW w:w="780" w:type="dxa"/>
            <w:vAlign w:val="bottom"/>
            <w:tcBorders>
              <w:top w:val="single" w:sz="8" w:color="auto"/>
            </w:tcBorders>
          </w:tcPr>
          <w:p>
            <w:pPr>
              <w:jc w:val="right"/>
              <w:ind w:right="13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ind w:right="11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ind w:right="117"/>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4"/>
              </w:rPr>
              <w:t>S/(000)</w:t>
            </w:r>
          </w:p>
        </w:tc>
        <w:tc>
          <w:tcPr>
            <w:tcW w:w="180" w:type="dxa"/>
            <w:vAlign w:val="bottom"/>
          </w:tcPr>
          <w:p>
            <w:pPr>
              <w:spacing w:after="0"/>
              <w:rPr>
                <w:sz w:val="10"/>
                <w:szCs w:val="10"/>
                <w:color w:val="auto"/>
              </w:rPr>
            </w:pPr>
          </w:p>
        </w:tc>
        <w:tc>
          <w:tcPr>
            <w:tcW w:w="780" w:type="dxa"/>
            <w:vAlign w:val="bottom"/>
            <w:tcBorders>
              <w:top w:val="single" w:sz="8" w:color="auto"/>
            </w:tcBorders>
          </w:tcPr>
          <w:p>
            <w:pPr>
              <w:jc w:val="right"/>
              <w:ind w:right="137"/>
              <w:spacing w:after="0" w:line="123" w:lineRule="exact"/>
              <w:rPr>
                <w:sz w:val="20"/>
                <w:szCs w:val="20"/>
                <w:color w:val="auto"/>
              </w:rPr>
            </w:pPr>
            <w:r>
              <w:rPr>
                <w:rFonts w:ascii="Arial" w:cs="Arial" w:eastAsia="Arial" w:hAnsi="Arial"/>
                <w:sz w:val="13"/>
                <w:szCs w:val="13"/>
                <w:b w:val="1"/>
                <w:bCs w:val="1"/>
                <w:color w:val="auto"/>
              </w:rPr>
              <w:t>S/(000)</w:t>
            </w:r>
          </w:p>
        </w:tc>
        <w:tc>
          <w:tcPr>
            <w:tcW w:w="100" w:type="dxa"/>
            <w:vAlign w:val="bottom"/>
            <w:gridSpan w:val="2"/>
          </w:tcPr>
          <w:p>
            <w:pPr>
              <w:spacing w:after="0"/>
              <w:rPr>
                <w:sz w:val="10"/>
                <w:szCs w:val="10"/>
                <w:color w:val="auto"/>
              </w:rPr>
            </w:pPr>
          </w:p>
        </w:tc>
      </w:tr>
      <w:tr>
        <w:trPr>
          <w:trHeight w:val="130"/>
        </w:trPr>
        <w:tc>
          <w:tcPr>
            <w:tcW w:w="35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Monetary assets</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Cash and due from banks</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3,582,390</w:t>
            </w:r>
          </w:p>
        </w:tc>
        <w:tc>
          <w:tcPr>
            <w:tcW w:w="180" w:type="dxa"/>
            <w:vAlign w:val="bottom"/>
          </w:tcPr>
          <w:p>
            <w:pPr>
              <w:spacing w:after="0"/>
              <w:rPr>
                <w:sz w:val="11"/>
                <w:szCs w:val="11"/>
                <w:color w:val="auto"/>
              </w:rPr>
            </w:pPr>
          </w:p>
        </w:tc>
        <w:tc>
          <w:tcPr>
            <w:tcW w:w="88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17,117,551</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1,468,575</w:t>
            </w:r>
          </w:p>
        </w:tc>
        <w:tc>
          <w:tcPr>
            <w:tcW w:w="96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22,168,516</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3,149,300</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18,578,798</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1,493,889</w:t>
            </w:r>
          </w:p>
        </w:tc>
        <w:tc>
          <w:tcPr>
            <w:tcW w:w="180" w:type="dxa"/>
            <w:vAlign w:val="bottom"/>
          </w:tcPr>
          <w:p>
            <w:pPr>
              <w:spacing w:after="0"/>
              <w:rPr>
                <w:sz w:val="11"/>
                <w:szCs w:val="11"/>
                <w:color w:val="auto"/>
              </w:rPr>
            </w:pPr>
          </w:p>
        </w:tc>
        <w:tc>
          <w:tcPr>
            <w:tcW w:w="8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23,221,987</w:t>
            </w:r>
          </w:p>
        </w:tc>
        <w:tc>
          <w:tcPr>
            <w:tcW w:w="80" w:type="dxa"/>
            <w:vAlign w:val="bottom"/>
          </w:tcPr>
          <w:p>
            <w:pPr>
              <w:spacing w:after="0"/>
              <w:rPr>
                <w:sz w:val="11"/>
                <w:szCs w:val="11"/>
                <w:color w:val="auto"/>
              </w:rPr>
            </w:pPr>
          </w:p>
        </w:tc>
      </w:tr>
      <w:tr>
        <w:trPr>
          <w:trHeight w:val="114"/>
        </w:trPr>
        <w:tc>
          <w:tcPr>
            <w:tcW w:w="35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7"/>
              </w:rPr>
              <w:t>Cash collateral, reverse repurchase agreements and securities</w:t>
            </w: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6"/>
        </w:trPr>
        <w:tc>
          <w:tcPr>
            <w:tcW w:w="356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borrowing</w:t>
            </w:r>
          </w:p>
        </w:tc>
        <w:tc>
          <w:tcPr>
            <w:tcW w:w="880" w:type="dxa"/>
            <w:vAlign w:val="bottom"/>
            <w:gridSpan w:val="2"/>
            <w:shd w:val="clear" w:color="auto" w:fill="CCEEFF"/>
          </w:tcPr>
          <w:p>
            <w:pPr>
              <w:jc w:val="right"/>
              <w:ind w:right="138"/>
              <w:spacing w:after="0" w:line="146" w:lineRule="exact"/>
              <w:rPr>
                <w:sz w:val="20"/>
                <w:szCs w:val="20"/>
                <w:color w:val="auto"/>
              </w:rPr>
            </w:pPr>
            <w:r>
              <w:rPr>
                <w:rFonts w:ascii="Arial" w:cs="Arial" w:eastAsia="Arial" w:hAnsi="Arial"/>
                <w:sz w:val="13"/>
                <w:szCs w:val="13"/>
                <w:color w:val="auto"/>
              </w:rPr>
              <w:t>6,654</w:t>
            </w:r>
          </w:p>
        </w:tc>
        <w:tc>
          <w:tcPr>
            <w:tcW w:w="880" w:type="dxa"/>
            <w:vAlign w:val="bottom"/>
            <w:gridSpan w:val="2"/>
            <w:shd w:val="clear" w:color="auto" w:fill="CCEEFF"/>
          </w:tcPr>
          <w:p>
            <w:pPr>
              <w:jc w:val="right"/>
              <w:ind w:right="138"/>
              <w:spacing w:after="0" w:line="146" w:lineRule="exact"/>
              <w:rPr>
                <w:sz w:val="20"/>
                <w:szCs w:val="20"/>
                <w:color w:val="auto"/>
              </w:rPr>
            </w:pPr>
            <w:r>
              <w:rPr>
                <w:rFonts w:ascii="Arial" w:cs="Arial" w:eastAsia="Arial" w:hAnsi="Arial"/>
                <w:sz w:val="13"/>
                <w:szCs w:val="13"/>
                <w:color w:val="auto"/>
              </w:rPr>
              <w:t>3,362,285</w:t>
            </w:r>
          </w:p>
        </w:tc>
        <w:tc>
          <w:tcPr>
            <w:tcW w:w="900" w:type="dxa"/>
            <w:vAlign w:val="bottom"/>
            <w:gridSpan w:val="2"/>
            <w:shd w:val="clear" w:color="auto" w:fill="CCEEFF"/>
          </w:tcPr>
          <w:p>
            <w:pPr>
              <w:jc w:val="right"/>
              <w:ind w:right="138"/>
              <w:spacing w:after="0" w:line="146" w:lineRule="exact"/>
              <w:rPr>
                <w:sz w:val="20"/>
                <w:szCs w:val="20"/>
                <w:color w:val="auto"/>
              </w:rPr>
            </w:pPr>
            <w:r>
              <w:rPr>
                <w:rFonts w:ascii="Arial" w:cs="Arial" w:eastAsia="Arial" w:hAnsi="Arial"/>
                <w:sz w:val="13"/>
                <w:szCs w:val="13"/>
                <w:color w:val="auto"/>
              </w:rPr>
              <w:t>714,003</w:t>
            </w:r>
          </w:p>
        </w:tc>
        <w:tc>
          <w:tcPr>
            <w:tcW w:w="960" w:type="dxa"/>
            <w:vAlign w:val="bottom"/>
            <w:gridSpan w:val="2"/>
            <w:shd w:val="clear" w:color="auto" w:fill="CCEEFF"/>
          </w:tcPr>
          <w:p>
            <w:pPr>
              <w:jc w:val="right"/>
              <w:ind w:right="138"/>
              <w:spacing w:after="0" w:line="146" w:lineRule="exact"/>
              <w:rPr>
                <w:sz w:val="20"/>
                <w:szCs w:val="20"/>
                <w:color w:val="auto"/>
              </w:rPr>
            </w:pPr>
            <w:r>
              <w:rPr>
                <w:rFonts w:ascii="Arial" w:cs="Arial" w:eastAsia="Arial" w:hAnsi="Arial"/>
                <w:sz w:val="13"/>
                <w:szCs w:val="13"/>
                <w:color w:val="auto"/>
              </w:rPr>
              <w:t>4,082,942</w:t>
            </w:r>
          </w:p>
        </w:tc>
        <w:tc>
          <w:tcPr>
            <w:tcW w:w="900" w:type="dxa"/>
            <w:vAlign w:val="bottom"/>
            <w:gridSpan w:val="2"/>
            <w:shd w:val="clear" w:color="auto" w:fill="CCEEFF"/>
          </w:tcPr>
          <w:p>
            <w:pPr>
              <w:jc w:val="right"/>
              <w:ind w:right="138"/>
              <w:spacing w:after="0" w:line="146" w:lineRule="exact"/>
              <w:rPr>
                <w:sz w:val="20"/>
                <w:szCs w:val="20"/>
                <w:color w:val="auto"/>
              </w:rPr>
            </w:pPr>
            <w:r>
              <w:rPr>
                <w:rFonts w:ascii="Arial" w:cs="Arial" w:eastAsia="Arial" w:hAnsi="Arial"/>
                <w:sz w:val="13"/>
                <w:szCs w:val="13"/>
                <w:color w:val="auto"/>
              </w:rPr>
              <w:t>119,976</w:t>
            </w:r>
          </w:p>
        </w:tc>
        <w:tc>
          <w:tcPr>
            <w:tcW w:w="900" w:type="dxa"/>
            <w:vAlign w:val="bottom"/>
            <w:gridSpan w:val="2"/>
            <w:shd w:val="clear" w:color="auto" w:fill="CCEEFF"/>
          </w:tcPr>
          <w:p>
            <w:pPr>
              <w:jc w:val="right"/>
              <w:ind w:right="138"/>
              <w:spacing w:after="0" w:line="146" w:lineRule="exact"/>
              <w:rPr>
                <w:sz w:val="20"/>
                <w:szCs w:val="20"/>
                <w:color w:val="auto"/>
              </w:rPr>
            </w:pPr>
            <w:r>
              <w:rPr>
                <w:rFonts w:ascii="Arial" w:cs="Arial" w:eastAsia="Arial" w:hAnsi="Arial"/>
                <w:sz w:val="13"/>
                <w:szCs w:val="13"/>
                <w:color w:val="auto"/>
              </w:rPr>
              <w:t>6,915,937</w:t>
            </w:r>
          </w:p>
        </w:tc>
        <w:tc>
          <w:tcPr>
            <w:tcW w:w="900" w:type="dxa"/>
            <w:vAlign w:val="bottom"/>
            <w:gridSpan w:val="2"/>
            <w:shd w:val="clear" w:color="auto" w:fill="CCEEFF"/>
          </w:tcPr>
          <w:p>
            <w:pPr>
              <w:jc w:val="right"/>
              <w:ind w:right="138"/>
              <w:spacing w:after="0" w:line="146" w:lineRule="exact"/>
              <w:rPr>
                <w:sz w:val="20"/>
                <w:szCs w:val="20"/>
                <w:color w:val="auto"/>
              </w:rPr>
            </w:pPr>
            <w:r>
              <w:rPr>
                <w:rFonts w:ascii="Arial" w:cs="Arial" w:eastAsia="Arial" w:hAnsi="Arial"/>
                <w:sz w:val="13"/>
                <w:szCs w:val="13"/>
                <w:color w:val="auto"/>
              </w:rPr>
              <w:t>444,507</w:t>
            </w:r>
          </w:p>
        </w:tc>
        <w:tc>
          <w:tcPr>
            <w:tcW w:w="8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7,480,420</w:t>
            </w:r>
          </w:p>
        </w:tc>
        <w:tc>
          <w:tcPr>
            <w:tcW w:w="80" w:type="dxa"/>
            <w:vAlign w:val="bottom"/>
            <w:shd w:val="clear" w:color="auto" w:fill="CCEEFF"/>
          </w:tcPr>
          <w:p>
            <w:pPr>
              <w:spacing w:after="0"/>
              <w:rPr>
                <w:sz w:val="12"/>
                <w:szCs w:val="12"/>
                <w:color w:val="auto"/>
              </w:rPr>
            </w:pP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Investments:</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3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At fair value through profit or loss</w:t>
            </w:r>
          </w:p>
        </w:tc>
        <w:tc>
          <w:tcPr>
            <w:tcW w:w="88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541,649</w:t>
            </w:r>
          </w:p>
        </w:tc>
        <w:tc>
          <w:tcPr>
            <w:tcW w:w="88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733,801</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2,236,995</w:t>
            </w:r>
          </w:p>
        </w:tc>
        <w:tc>
          <w:tcPr>
            <w:tcW w:w="96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3,512,445</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2,222,061</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209,543</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1,593,133</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4,024,737</w:t>
            </w:r>
          </w:p>
        </w:tc>
        <w:tc>
          <w:tcPr>
            <w:tcW w:w="80" w:type="dxa"/>
            <w:vAlign w:val="bottom"/>
            <w:shd w:val="clear" w:color="auto" w:fill="CCEEFF"/>
          </w:tcPr>
          <w:p>
            <w:pPr>
              <w:spacing w:after="0"/>
              <w:rPr>
                <w:sz w:val="11"/>
                <w:szCs w:val="11"/>
                <w:color w:val="auto"/>
              </w:rPr>
            </w:pPr>
          </w:p>
        </w:tc>
      </w:tr>
      <w:tr>
        <w:trPr>
          <w:trHeight w:val="130"/>
        </w:trPr>
        <w:tc>
          <w:tcPr>
            <w:tcW w:w="3560" w:type="dxa"/>
            <w:vAlign w:val="bottom"/>
          </w:tcPr>
          <w:p>
            <w:pPr>
              <w:ind w:left="140"/>
              <w:spacing w:after="0" w:line="131" w:lineRule="exact"/>
              <w:rPr>
                <w:sz w:val="20"/>
                <w:szCs w:val="20"/>
                <w:color w:val="auto"/>
              </w:rPr>
            </w:pPr>
            <w:r>
              <w:rPr>
                <w:rFonts w:ascii="Arial" w:cs="Arial" w:eastAsia="Arial" w:hAnsi="Arial"/>
                <w:sz w:val="13"/>
                <w:szCs w:val="13"/>
                <w:color w:val="auto"/>
              </w:rPr>
              <w:t>At fair value through other comprehensive income</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16,758,808</w:t>
            </w:r>
          </w:p>
        </w:tc>
        <w:tc>
          <w:tcPr>
            <w:tcW w:w="180" w:type="dxa"/>
            <w:vAlign w:val="bottom"/>
          </w:tcPr>
          <w:p>
            <w:pPr>
              <w:spacing w:after="0"/>
              <w:rPr>
                <w:sz w:val="11"/>
                <w:szCs w:val="11"/>
                <w:color w:val="auto"/>
              </w:rPr>
            </w:pPr>
          </w:p>
        </w:tc>
        <w:tc>
          <w:tcPr>
            <w:tcW w:w="88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7,057,303</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731,145</w:t>
            </w:r>
          </w:p>
        </w:tc>
        <w:tc>
          <w:tcPr>
            <w:tcW w:w="96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24,547,256</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r>
      <w:tr>
        <w:trPr>
          <w:trHeight w:val="130"/>
        </w:trPr>
        <w:tc>
          <w:tcPr>
            <w:tcW w:w="3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Available-for-sale</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13,804,121</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7,697,970</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810,517</w:t>
            </w:r>
          </w:p>
        </w:tc>
        <w:tc>
          <w:tcPr>
            <w:tcW w:w="8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22,312,608</w:t>
            </w:r>
          </w:p>
        </w:tc>
        <w:tc>
          <w:tcPr>
            <w:tcW w:w="80" w:type="dxa"/>
            <w:vAlign w:val="bottom"/>
            <w:shd w:val="clear" w:color="auto" w:fill="CCEEFF"/>
          </w:tcPr>
          <w:p>
            <w:pPr>
              <w:spacing w:after="0"/>
              <w:rPr>
                <w:sz w:val="11"/>
                <w:szCs w:val="11"/>
                <w:color w:val="auto"/>
              </w:rPr>
            </w:pPr>
          </w:p>
        </w:tc>
      </w:tr>
      <w:tr>
        <w:trPr>
          <w:trHeight w:val="130"/>
        </w:trPr>
        <w:tc>
          <w:tcPr>
            <w:tcW w:w="3560" w:type="dxa"/>
            <w:vAlign w:val="bottom"/>
          </w:tcPr>
          <w:p>
            <w:pPr>
              <w:ind w:left="140"/>
              <w:spacing w:after="0" w:line="131" w:lineRule="exact"/>
              <w:rPr>
                <w:sz w:val="20"/>
                <w:szCs w:val="20"/>
                <w:color w:val="auto"/>
              </w:rPr>
            </w:pPr>
            <w:r>
              <w:rPr>
                <w:rFonts w:ascii="Arial" w:cs="Arial" w:eastAsia="Arial" w:hAnsi="Arial"/>
                <w:sz w:val="13"/>
                <w:szCs w:val="13"/>
                <w:color w:val="auto"/>
              </w:rPr>
              <w:t>At amortized cost</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3,239,330</w:t>
            </w:r>
          </w:p>
        </w:tc>
        <w:tc>
          <w:tcPr>
            <w:tcW w:w="180" w:type="dxa"/>
            <w:vAlign w:val="bottom"/>
          </w:tcPr>
          <w:p>
            <w:pPr>
              <w:spacing w:after="0"/>
              <w:rPr>
                <w:sz w:val="11"/>
                <w:szCs w:val="11"/>
                <w:color w:val="auto"/>
              </w:rPr>
            </w:pPr>
          </w:p>
        </w:tc>
        <w:tc>
          <w:tcPr>
            <w:tcW w:w="88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915,508</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4,154,838</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r>
      <w:tr>
        <w:trPr>
          <w:trHeight w:val="130"/>
        </w:trPr>
        <w:tc>
          <w:tcPr>
            <w:tcW w:w="3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Held-to-maturity</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3,453,790</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959,583</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4,413,373</w:t>
            </w:r>
          </w:p>
        </w:tc>
        <w:tc>
          <w:tcPr>
            <w:tcW w:w="80" w:type="dxa"/>
            <w:vAlign w:val="bottom"/>
            <w:shd w:val="clear" w:color="auto" w:fill="CCEEFF"/>
          </w:tcPr>
          <w:p>
            <w:pPr>
              <w:spacing w:after="0"/>
              <w:rPr>
                <w:sz w:val="11"/>
                <w:szCs w:val="11"/>
                <w:color w:val="auto"/>
              </w:rPr>
            </w:pP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Loans, net</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61,665,634</w:t>
            </w:r>
          </w:p>
        </w:tc>
        <w:tc>
          <w:tcPr>
            <w:tcW w:w="180" w:type="dxa"/>
            <w:vAlign w:val="bottom"/>
          </w:tcPr>
          <w:p>
            <w:pPr>
              <w:spacing w:after="0"/>
              <w:rPr>
                <w:sz w:val="11"/>
                <w:szCs w:val="11"/>
                <w:color w:val="auto"/>
              </w:rPr>
            </w:pPr>
          </w:p>
        </w:tc>
        <w:tc>
          <w:tcPr>
            <w:tcW w:w="88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37,032,752</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7,108,612</w:t>
            </w:r>
          </w:p>
        </w:tc>
        <w:tc>
          <w:tcPr>
            <w:tcW w:w="96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105,806,998</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56,226,385</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33,580,636</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6,170,256</w:t>
            </w:r>
          </w:p>
        </w:tc>
        <w:tc>
          <w:tcPr>
            <w:tcW w:w="180" w:type="dxa"/>
            <w:vAlign w:val="bottom"/>
          </w:tcPr>
          <w:p>
            <w:pPr>
              <w:spacing w:after="0"/>
              <w:rPr>
                <w:sz w:val="11"/>
                <w:szCs w:val="11"/>
                <w:color w:val="auto"/>
              </w:rPr>
            </w:pPr>
          </w:p>
        </w:tc>
        <w:tc>
          <w:tcPr>
            <w:tcW w:w="8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95,977,277</w:t>
            </w:r>
          </w:p>
        </w:tc>
        <w:tc>
          <w:tcPr>
            <w:tcW w:w="80" w:type="dxa"/>
            <w:vAlign w:val="bottom"/>
          </w:tcPr>
          <w:p>
            <w:pPr>
              <w:spacing w:after="0"/>
              <w:rPr>
                <w:sz w:val="11"/>
                <w:szCs w:val="11"/>
                <w:color w:val="auto"/>
              </w:rPr>
            </w:pPr>
          </w:p>
        </w:tc>
      </w:tr>
      <w:tr>
        <w:trPr>
          <w:trHeight w:val="130"/>
        </w:trPr>
        <w:tc>
          <w:tcPr>
            <w:tcW w:w="3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Financial assets at fair value through profit or loss</w:t>
            </w:r>
          </w:p>
        </w:tc>
        <w:tc>
          <w:tcPr>
            <w:tcW w:w="88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44,109</w:t>
            </w:r>
          </w:p>
        </w:tc>
        <w:tc>
          <w:tcPr>
            <w:tcW w:w="88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477,077</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521,186</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48,454</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489,231</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537,685</w:t>
            </w:r>
          </w:p>
        </w:tc>
        <w:tc>
          <w:tcPr>
            <w:tcW w:w="80" w:type="dxa"/>
            <w:vAlign w:val="bottom"/>
            <w:shd w:val="clear" w:color="auto" w:fill="CCEEFF"/>
          </w:tcPr>
          <w:p>
            <w:pPr>
              <w:spacing w:after="0"/>
              <w:rPr>
                <w:sz w:val="11"/>
                <w:szCs w:val="11"/>
                <w:color w:val="auto"/>
              </w:rPr>
            </w:pPr>
          </w:p>
        </w:tc>
      </w:tr>
      <w:tr>
        <w:trPr>
          <w:trHeight w:val="142"/>
        </w:trPr>
        <w:tc>
          <w:tcPr>
            <w:tcW w:w="3560" w:type="dxa"/>
            <w:vAlign w:val="bottom"/>
          </w:tcPr>
          <w:p>
            <w:pPr>
              <w:spacing w:after="0" w:line="143" w:lineRule="exact"/>
              <w:rPr>
                <w:sz w:val="20"/>
                <w:szCs w:val="20"/>
                <w:color w:val="auto"/>
              </w:rPr>
            </w:pPr>
            <w:r>
              <w:rPr>
                <w:rFonts w:ascii="Arial" w:cs="Arial" w:eastAsia="Arial" w:hAnsi="Arial"/>
                <w:sz w:val="13"/>
                <w:szCs w:val="13"/>
                <w:color w:val="auto"/>
              </w:rPr>
              <w:t>Other assets</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2,561,684</w:t>
            </w:r>
          </w:p>
        </w:tc>
        <w:tc>
          <w:tcPr>
            <w:tcW w:w="180" w:type="dxa"/>
            <w:vAlign w:val="bottom"/>
          </w:tcPr>
          <w:p>
            <w:pPr>
              <w:spacing w:after="0"/>
              <w:rPr>
                <w:sz w:val="12"/>
                <w:szCs w:val="12"/>
                <w:color w:val="auto"/>
              </w:rPr>
            </w:pPr>
          </w:p>
        </w:tc>
        <w:tc>
          <w:tcPr>
            <w:tcW w:w="88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2,765,000</w:t>
            </w:r>
          </w:p>
        </w:tc>
        <w:tc>
          <w:tcPr>
            <w:tcW w:w="90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408,913</w:t>
            </w:r>
          </w:p>
        </w:tc>
        <w:tc>
          <w:tcPr>
            <w:tcW w:w="96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5,735,597</w:t>
            </w:r>
          </w:p>
        </w:tc>
        <w:tc>
          <w:tcPr>
            <w:tcW w:w="90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1,219,985</w:t>
            </w:r>
          </w:p>
        </w:tc>
        <w:tc>
          <w:tcPr>
            <w:tcW w:w="90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2,268,659</w:t>
            </w:r>
          </w:p>
        </w:tc>
        <w:tc>
          <w:tcPr>
            <w:tcW w:w="900" w:type="dxa"/>
            <w:vAlign w:val="bottom"/>
            <w:gridSpan w:val="2"/>
          </w:tcPr>
          <w:p>
            <w:pPr>
              <w:jc w:val="right"/>
              <w:ind w:right="138"/>
              <w:spacing w:after="0" w:line="143" w:lineRule="exact"/>
              <w:rPr>
                <w:sz w:val="20"/>
                <w:szCs w:val="20"/>
                <w:color w:val="auto"/>
              </w:rPr>
            </w:pPr>
            <w:r>
              <w:rPr>
                <w:rFonts w:ascii="Arial" w:cs="Arial" w:eastAsia="Arial" w:hAnsi="Arial"/>
                <w:sz w:val="13"/>
                <w:szCs w:val="13"/>
                <w:color w:val="auto"/>
              </w:rPr>
              <w:t>876,864</w:t>
            </w:r>
          </w:p>
        </w:tc>
        <w:tc>
          <w:tcPr>
            <w:tcW w:w="8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4,365,508</w:t>
            </w:r>
          </w:p>
        </w:tc>
        <w:tc>
          <w:tcPr>
            <w:tcW w:w="80" w:type="dxa"/>
            <w:vAlign w:val="bottom"/>
          </w:tcPr>
          <w:p>
            <w:pPr>
              <w:spacing w:after="0"/>
              <w:rPr>
                <w:sz w:val="12"/>
                <w:szCs w:val="12"/>
                <w:color w:val="auto"/>
              </w:rPr>
            </w:pPr>
          </w:p>
        </w:tc>
      </w:tr>
      <w:tr>
        <w:trPr>
          <w:trHeight w:val="122"/>
        </w:trPr>
        <w:tc>
          <w:tcPr>
            <w:tcW w:w="35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 monetary assets</w:t>
            </w: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88,400,258</w:t>
            </w: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69,461,277</w:t>
            </w: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12,668,243</w:t>
            </w:r>
          </w:p>
        </w:tc>
        <w:tc>
          <w:tcPr>
            <w:tcW w:w="1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170,529,778</w:t>
            </w: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80,244,072</w:t>
            </w: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70,700,357</w:t>
            </w: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11,389,166</w:t>
            </w:r>
          </w:p>
        </w:tc>
        <w:tc>
          <w:tcPr>
            <w:tcW w:w="1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162,333,595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22"/>
        </w:trPr>
        <w:tc>
          <w:tcPr>
            <w:tcW w:w="3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0"/>
        </w:trPr>
        <w:tc>
          <w:tcPr>
            <w:tcW w:w="35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Monetary liabilities</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Deposits and obligations</w:t>
            </w: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w w:val="97"/>
              </w:rPr>
              <w:t>(51,559,266)</w:t>
            </w: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w w:val="97"/>
              </w:rPr>
              <w:t>(44,122,875)</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(8,869,169)</w:t>
            </w:r>
          </w:p>
        </w:tc>
        <w:tc>
          <w:tcPr>
            <w:tcW w:w="9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w w:val="98"/>
              </w:rPr>
              <w:t>(104,551,310)</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(43,334,026)</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(45,875,469)</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(7,960,916)</w:t>
            </w:r>
          </w:p>
        </w:tc>
        <w:tc>
          <w:tcPr>
            <w:tcW w:w="88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(97,170,411)</w:t>
            </w:r>
          </w:p>
        </w:tc>
      </w:tr>
      <w:tr>
        <w:trPr>
          <w:trHeight w:val="130"/>
        </w:trPr>
        <w:tc>
          <w:tcPr>
            <w:tcW w:w="3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Payables from repurchase agreements and securities lending</w:t>
            </w:r>
          </w:p>
        </w:tc>
        <w:tc>
          <w:tcPr>
            <w:tcW w:w="8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(5,914,736)</w:t>
            </w:r>
          </w:p>
        </w:tc>
        <w:tc>
          <w:tcPr>
            <w:tcW w:w="8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(1,860,424)</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(1,640,197)</w:t>
            </w:r>
          </w:p>
        </w:tc>
        <w:tc>
          <w:tcPr>
            <w:tcW w:w="9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(9,415,357)</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(10,155,790)</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(1,582,783)</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(1,677,270)</w:t>
            </w:r>
          </w:p>
        </w:tc>
        <w:tc>
          <w:tcPr>
            <w:tcW w:w="88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(13,415,843)</w:t>
            </w: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Due to bank and correspondents</w:t>
            </w: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(3,442,620)</w:t>
            </w: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(4,751,314)</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(254,206)</w:t>
            </w:r>
          </w:p>
        </w:tc>
        <w:tc>
          <w:tcPr>
            <w:tcW w:w="9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(8,448,140)</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(3,229,753)</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(4,463,659)</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(303,477)</w:t>
            </w:r>
          </w:p>
        </w:tc>
        <w:tc>
          <w:tcPr>
            <w:tcW w:w="88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(7,996,889)</w:t>
            </w:r>
          </w:p>
        </w:tc>
      </w:tr>
      <w:tr>
        <w:trPr>
          <w:trHeight w:val="130"/>
        </w:trPr>
        <w:tc>
          <w:tcPr>
            <w:tcW w:w="3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Financial liabilities at fair value through profit or loss</w:t>
            </w:r>
          </w:p>
        </w:tc>
        <w:tc>
          <w:tcPr>
            <w:tcW w:w="8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(35,220)</w:t>
            </w:r>
          </w:p>
        </w:tc>
        <w:tc>
          <w:tcPr>
            <w:tcW w:w="8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(58,031)</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(269,059)</w:t>
            </w:r>
          </w:p>
        </w:tc>
        <w:tc>
          <w:tcPr>
            <w:tcW w:w="9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(362,310)</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(3,094)</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(26,057)</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(138,938)</w:t>
            </w:r>
          </w:p>
        </w:tc>
        <w:tc>
          <w:tcPr>
            <w:tcW w:w="88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(168,089)</w:t>
            </w: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Technical reserves for claims and insurance premiums</w:t>
            </w: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(4,318,973)</w:t>
            </w: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(4,131,263)</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(2,435)</w:t>
            </w:r>
          </w:p>
        </w:tc>
        <w:tc>
          <w:tcPr>
            <w:tcW w:w="9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(8,452,671)</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(3,632,896)</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(3,809,742)</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(1,122)</w:t>
            </w:r>
          </w:p>
        </w:tc>
        <w:tc>
          <w:tcPr>
            <w:tcW w:w="88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(7,443,760)</w:t>
            </w:r>
          </w:p>
        </w:tc>
      </w:tr>
      <w:tr>
        <w:trPr>
          <w:trHeight w:val="130"/>
        </w:trPr>
        <w:tc>
          <w:tcPr>
            <w:tcW w:w="3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Bonds and Notes issued</w:t>
            </w:r>
          </w:p>
        </w:tc>
        <w:tc>
          <w:tcPr>
            <w:tcW w:w="8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(3,599,610)</w:t>
            </w:r>
          </w:p>
        </w:tc>
        <w:tc>
          <w:tcPr>
            <w:tcW w:w="8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w w:val="97"/>
              </w:rPr>
              <w:t>(11,752,328)</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(105,602)</w:t>
            </w:r>
          </w:p>
        </w:tc>
        <w:tc>
          <w:tcPr>
            <w:tcW w:w="96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(15,457,540)</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(3,869,494)</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(12,271,451)</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(101,312)</w:t>
            </w:r>
          </w:p>
        </w:tc>
        <w:tc>
          <w:tcPr>
            <w:tcW w:w="88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(16,242,257)</w:t>
            </w:r>
          </w:p>
        </w:tc>
      </w:tr>
      <w:tr>
        <w:trPr>
          <w:trHeight w:val="142"/>
        </w:trPr>
        <w:tc>
          <w:tcPr>
            <w:tcW w:w="3560" w:type="dxa"/>
            <w:vAlign w:val="bottom"/>
          </w:tcPr>
          <w:p>
            <w:pPr>
              <w:spacing w:after="0" w:line="143" w:lineRule="exact"/>
              <w:rPr>
                <w:sz w:val="20"/>
                <w:szCs w:val="20"/>
                <w:color w:val="auto"/>
              </w:rPr>
            </w:pPr>
            <w:r>
              <w:rPr>
                <w:rFonts w:ascii="Arial" w:cs="Arial" w:eastAsia="Arial" w:hAnsi="Arial"/>
                <w:sz w:val="13"/>
                <w:szCs w:val="13"/>
                <w:color w:val="auto"/>
              </w:rPr>
              <w:t>Other liabilities</w:t>
            </w:r>
          </w:p>
        </w:tc>
        <w:tc>
          <w:tcPr>
            <w:tcW w:w="88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(3,452,975)</w:t>
            </w:r>
          </w:p>
        </w:tc>
        <w:tc>
          <w:tcPr>
            <w:tcW w:w="88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(2,208,427)</w:t>
            </w:r>
          </w:p>
        </w:tc>
        <w:tc>
          <w:tcPr>
            <w:tcW w:w="90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(648,396)</w:t>
            </w:r>
          </w:p>
        </w:tc>
        <w:tc>
          <w:tcPr>
            <w:tcW w:w="96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(6,309,798)</w:t>
            </w:r>
          </w:p>
        </w:tc>
        <w:tc>
          <w:tcPr>
            <w:tcW w:w="90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(2,737,797)</w:t>
            </w:r>
          </w:p>
        </w:tc>
        <w:tc>
          <w:tcPr>
            <w:tcW w:w="90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(2,030,093)</w:t>
            </w:r>
          </w:p>
        </w:tc>
        <w:tc>
          <w:tcPr>
            <w:tcW w:w="900" w:type="dxa"/>
            <w:vAlign w:val="bottom"/>
            <w:gridSpan w:val="2"/>
          </w:tcPr>
          <w:p>
            <w:pPr>
              <w:jc w:val="right"/>
              <w:ind w:right="98"/>
              <w:spacing w:after="0" w:line="143" w:lineRule="exact"/>
              <w:rPr>
                <w:sz w:val="20"/>
                <w:szCs w:val="20"/>
                <w:color w:val="auto"/>
              </w:rPr>
            </w:pPr>
            <w:r>
              <w:rPr>
                <w:rFonts w:ascii="Arial" w:cs="Arial" w:eastAsia="Arial" w:hAnsi="Arial"/>
                <w:sz w:val="13"/>
                <w:szCs w:val="13"/>
                <w:color w:val="auto"/>
              </w:rPr>
              <w:t>(1,013,441)</w:t>
            </w:r>
          </w:p>
        </w:tc>
        <w:tc>
          <w:tcPr>
            <w:tcW w:w="88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(5,781,331)</w:t>
            </w:r>
          </w:p>
        </w:tc>
      </w:tr>
      <w:tr>
        <w:trPr>
          <w:trHeight w:val="122"/>
        </w:trPr>
        <w:tc>
          <w:tcPr>
            <w:tcW w:w="35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 monetary liabilities</w:t>
            </w: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7"/>
              </w:rPr>
              <w:t>(72,323,400</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7"/>
              </w:rPr>
              <w:t>(68,884,662</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(11,789,064</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(152,997,126</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(66,962,850</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(70,059,254</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(11,196,476</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(148,218,580</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r>
      <w:tr>
        <w:trPr>
          <w:trHeight w:val="122"/>
        </w:trPr>
        <w:tc>
          <w:tcPr>
            <w:tcW w:w="35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16,076,858</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576,615</w:t>
            </w:r>
          </w:p>
        </w:tc>
        <w:tc>
          <w:tcPr>
            <w:tcW w:w="1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879,179</w:t>
            </w:r>
          </w:p>
        </w:tc>
        <w:tc>
          <w:tcPr>
            <w:tcW w:w="1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17,532,652</w:t>
            </w:r>
          </w:p>
        </w:tc>
        <w:tc>
          <w:tcPr>
            <w:tcW w:w="1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13,281,222</w:t>
            </w:r>
          </w:p>
        </w:tc>
        <w:tc>
          <w:tcPr>
            <w:tcW w:w="1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641,103</w:t>
            </w:r>
          </w:p>
        </w:tc>
        <w:tc>
          <w:tcPr>
            <w:tcW w:w="1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192,690</w:t>
            </w:r>
          </w:p>
        </w:tc>
        <w:tc>
          <w:tcPr>
            <w:tcW w:w="1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14,115,015</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r>
      <w:tr>
        <w:trPr>
          <w:trHeight w:val="122"/>
        </w:trPr>
        <w:tc>
          <w:tcPr>
            <w:tcW w:w="3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Forwards position, net</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1,820,527</w:t>
            </w:r>
          </w:p>
        </w:tc>
        <w:tc>
          <w:tcPr>
            <w:tcW w:w="180" w:type="dxa"/>
            <w:vAlign w:val="bottom"/>
          </w:tcPr>
          <w:p>
            <w:pPr>
              <w:spacing w:after="0"/>
              <w:rPr>
                <w:sz w:val="11"/>
                <w:szCs w:val="11"/>
                <w:color w:val="auto"/>
              </w:rPr>
            </w:pP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(1,719,788)</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(101,048)</w:t>
            </w:r>
          </w:p>
        </w:tc>
        <w:tc>
          <w:tcPr>
            <w:tcW w:w="96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(309)</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859,439</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(824,434)</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(19,186)</w:t>
            </w:r>
          </w:p>
        </w:tc>
        <w:tc>
          <w:tcPr>
            <w:tcW w:w="80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15,819</w:t>
            </w:r>
          </w:p>
        </w:tc>
        <w:tc>
          <w:tcPr>
            <w:tcW w:w="80" w:type="dxa"/>
            <w:vAlign w:val="bottom"/>
          </w:tcPr>
          <w:p>
            <w:pPr>
              <w:spacing w:after="0"/>
              <w:rPr>
                <w:sz w:val="11"/>
                <w:szCs w:val="11"/>
                <w:color w:val="auto"/>
              </w:rPr>
            </w:pPr>
          </w:p>
        </w:tc>
      </w:tr>
      <w:tr>
        <w:trPr>
          <w:trHeight w:val="130"/>
        </w:trPr>
        <w:tc>
          <w:tcPr>
            <w:tcW w:w="3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Currency swaps position, net</w:t>
            </w:r>
          </w:p>
        </w:tc>
        <w:tc>
          <w:tcPr>
            <w:tcW w:w="8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(199,746)</w:t>
            </w:r>
          </w:p>
        </w:tc>
        <w:tc>
          <w:tcPr>
            <w:tcW w:w="88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199,512</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234</w:t>
            </w:r>
          </w:p>
        </w:tc>
        <w:tc>
          <w:tcPr>
            <w:tcW w:w="96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370,697</w:t>
            </w:r>
          </w:p>
        </w:tc>
        <w:tc>
          <w:tcPr>
            <w:tcW w:w="90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rPr>
              <w:t>(371,301)</w:t>
            </w:r>
          </w:p>
        </w:tc>
        <w:tc>
          <w:tcPr>
            <w:tcW w:w="900" w:type="dxa"/>
            <w:vAlign w:val="bottom"/>
            <w:gridSpan w:val="2"/>
            <w:shd w:val="clear" w:color="auto" w:fill="CCEEFF"/>
          </w:tcPr>
          <w:p>
            <w:pPr>
              <w:jc w:val="right"/>
              <w:ind w:right="138"/>
              <w:spacing w:after="0" w:line="131" w:lineRule="exact"/>
              <w:rPr>
                <w:sz w:val="20"/>
                <w:szCs w:val="20"/>
                <w:color w:val="auto"/>
              </w:rPr>
            </w:pPr>
            <w:r>
              <w:rPr>
                <w:rFonts w:ascii="Arial" w:cs="Arial" w:eastAsia="Arial" w:hAnsi="Arial"/>
                <w:sz w:val="13"/>
                <w:szCs w:val="13"/>
                <w:color w:val="auto"/>
              </w:rPr>
              <w:t>3,776</w:t>
            </w:r>
          </w:p>
        </w:tc>
        <w:tc>
          <w:tcPr>
            <w:tcW w:w="8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3,172</w:t>
            </w:r>
          </w:p>
        </w:tc>
        <w:tc>
          <w:tcPr>
            <w:tcW w:w="80" w:type="dxa"/>
            <w:vAlign w:val="bottom"/>
            <w:shd w:val="clear" w:color="auto" w:fill="CCEEFF"/>
          </w:tcPr>
          <w:p>
            <w:pPr>
              <w:spacing w:after="0"/>
              <w:rPr>
                <w:sz w:val="11"/>
                <w:szCs w:val="11"/>
                <w:color w:val="auto"/>
              </w:rPr>
            </w:pPr>
          </w:p>
        </w:tc>
      </w:tr>
      <w:tr>
        <w:trPr>
          <w:trHeight w:val="130"/>
        </w:trPr>
        <w:tc>
          <w:tcPr>
            <w:tcW w:w="3560" w:type="dxa"/>
            <w:vAlign w:val="bottom"/>
          </w:tcPr>
          <w:p>
            <w:pPr>
              <w:spacing w:after="0" w:line="131" w:lineRule="exact"/>
              <w:rPr>
                <w:sz w:val="20"/>
                <w:szCs w:val="20"/>
                <w:color w:val="auto"/>
              </w:rPr>
            </w:pPr>
            <w:r>
              <w:rPr>
                <w:rFonts w:ascii="Arial" w:cs="Arial" w:eastAsia="Arial" w:hAnsi="Arial"/>
                <w:sz w:val="13"/>
                <w:szCs w:val="13"/>
                <w:color w:val="auto"/>
              </w:rPr>
              <w:t>Cross currency swaps position, net</w:t>
            </w:r>
          </w:p>
        </w:tc>
        <w:tc>
          <w:tcPr>
            <w:tcW w:w="8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(1,833,236)</w:t>
            </w:r>
          </w:p>
        </w:tc>
        <w:tc>
          <w:tcPr>
            <w:tcW w:w="88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1,918,994</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(85,758)</w:t>
            </w:r>
          </w:p>
        </w:tc>
        <w:tc>
          <w:tcPr>
            <w:tcW w:w="96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(1,725,567)</w:t>
            </w:r>
          </w:p>
        </w:tc>
        <w:tc>
          <w:tcPr>
            <w:tcW w:w="900" w:type="dxa"/>
            <w:vAlign w:val="bottom"/>
            <w:gridSpan w:val="2"/>
          </w:tcPr>
          <w:p>
            <w:pPr>
              <w:jc w:val="right"/>
              <w:ind w:right="138"/>
              <w:spacing w:after="0" w:line="131" w:lineRule="exact"/>
              <w:rPr>
                <w:sz w:val="20"/>
                <w:szCs w:val="20"/>
                <w:color w:val="auto"/>
              </w:rPr>
            </w:pPr>
            <w:r>
              <w:rPr>
                <w:rFonts w:ascii="Arial" w:cs="Arial" w:eastAsia="Arial" w:hAnsi="Arial"/>
                <w:sz w:val="13"/>
                <w:szCs w:val="13"/>
                <w:color w:val="auto"/>
              </w:rPr>
              <w:t>1,814,960</w:t>
            </w:r>
          </w:p>
        </w:tc>
        <w:tc>
          <w:tcPr>
            <w:tcW w:w="90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rPr>
              <w:t>(92,565)</w:t>
            </w:r>
          </w:p>
        </w:tc>
        <w:tc>
          <w:tcPr>
            <w:tcW w:w="88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(3,172)</w:t>
            </w:r>
          </w:p>
        </w:tc>
      </w:tr>
      <w:tr>
        <w:trPr>
          <w:trHeight w:val="142"/>
        </w:trPr>
        <w:tc>
          <w:tcPr>
            <w:tcW w:w="35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Options, net</w:t>
            </w:r>
          </w:p>
        </w:tc>
        <w:tc>
          <w:tcPr>
            <w:tcW w:w="880" w:type="dxa"/>
            <w:vAlign w:val="bottom"/>
            <w:gridSpan w:val="2"/>
            <w:shd w:val="clear" w:color="auto" w:fill="CCEEFF"/>
          </w:tcPr>
          <w:p>
            <w:pPr>
              <w:jc w:val="right"/>
              <w:ind w:right="98"/>
              <w:spacing w:after="0" w:line="143" w:lineRule="exact"/>
              <w:rPr>
                <w:sz w:val="20"/>
                <w:szCs w:val="20"/>
                <w:color w:val="auto"/>
              </w:rPr>
            </w:pPr>
            <w:r>
              <w:rPr>
                <w:rFonts w:ascii="Arial" w:cs="Arial" w:eastAsia="Arial" w:hAnsi="Arial"/>
                <w:sz w:val="13"/>
                <w:szCs w:val="13"/>
                <w:color w:val="auto"/>
              </w:rPr>
              <w:t>(23,414)</w:t>
            </w:r>
          </w:p>
        </w:tc>
        <w:tc>
          <w:tcPr>
            <w:tcW w:w="88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23,414</w:t>
            </w:r>
          </w:p>
        </w:tc>
        <w:tc>
          <w:tcPr>
            <w:tcW w:w="90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38"/>
              <w:spacing w:after="0" w:line="143" w:lineRule="exact"/>
              <w:rPr>
                <w:sz w:val="20"/>
                <w:szCs w:val="20"/>
                <w:color w:val="auto"/>
              </w:rPr>
            </w:pPr>
            <w:r>
              <w:rPr>
                <w:rFonts w:ascii="Arial" w:cs="Arial" w:eastAsia="Arial" w:hAnsi="Arial"/>
                <w:sz w:val="13"/>
                <w:szCs w:val="13"/>
                <w:color w:val="auto"/>
              </w:rPr>
              <w:t>60,704</w:t>
            </w:r>
          </w:p>
        </w:tc>
        <w:tc>
          <w:tcPr>
            <w:tcW w:w="900" w:type="dxa"/>
            <w:vAlign w:val="bottom"/>
            <w:gridSpan w:val="2"/>
            <w:shd w:val="clear" w:color="auto" w:fill="CCEEFF"/>
          </w:tcPr>
          <w:p>
            <w:pPr>
              <w:jc w:val="right"/>
              <w:ind w:right="98"/>
              <w:spacing w:after="0" w:line="143" w:lineRule="exact"/>
              <w:rPr>
                <w:sz w:val="20"/>
                <w:szCs w:val="20"/>
                <w:color w:val="auto"/>
              </w:rPr>
            </w:pPr>
            <w:r>
              <w:rPr>
                <w:rFonts w:ascii="Arial" w:cs="Arial" w:eastAsia="Arial" w:hAnsi="Arial"/>
                <w:sz w:val="13"/>
                <w:szCs w:val="13"/>
                <w:color w:val="auto"/>
              </w:rPr>
              <w:t>(60,704)</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r>
      <w:tr>
        <w:trPr>
          <w:trHeight w:val="134"/>
        </w:trPr>
        <w:tc>
          <w:tcPr>
            <w:tcW w:w="3560" w:type="dxa"/>
            <w:vAlign w:val="bottom"/>
          </w:tcPr>
          <w:p>
            <w:pPr>
              <w:spacing w:after="0" w:line="134" w:lineRule="exact"/>
              <w:rPr>
                <w:sz w:val="20"/>
                <w:szCs w:val="20"/>
                <w:color w:val="auto"/>
              </w:rPr>
            </w:pPr>
            <w:r>
              <w:rPr>
                <w:rFonts w:ascii="Arial" w:cs="Arial" w:eastAsia="Arial" w:hAnsi="Arial"/>
                <w:sz w:val="13"/>
                <w:szCs w:val="13"/>
                <w:color w:val="auto"/>
              </w:rPr>
              <w:t>Net monetary position</w:t>
            </w: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15,840,989</w:t>
            </w: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998,747</w:t>
            </w:r>
          </w:p>
        </w:tc>
        <w:tc>
          <w:tcPr>
            <w:tcW w:w="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692,607</w:t>
            </w:r>
          </w:p>
        </w:tc>
        <w:tc>
          <w:tcPr>
            <w:tcW w:w="1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17,532,343</w:t>
            </w:r>
          </w:p>
        </w:tc>
        <w:tc>
          <w:tcPr>
            <w:tcW w:w="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12,846,495</w:t>
            </w:r>
          </w:p>
        </w:tc>
        <w:tc>
          <w:tcPr>
            <w:tcW w:w="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1,199,624</w:t>
            </w:r>
          </w:p>
        </w:tc>
        <w:tc>
          <w:tcPr>
            <w:tcW w:w="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84,715</w:t>
            </w:r>
          </w:p>
        </w:tc>
        <w:tc>
          <w:tcPr>
            <w:tcW w:w="1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14,130,834</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Group manages foreign exchange risk by monitoring and controlling the currency position values exposed to changes in exchange rates. The Group measures its performance in soles. (since 2014 considering its change in functional currency, it was measured in U.S. Dollars before), so if the net foreign exchange position (U.S. Dollar) is an asset, any depreciation of soles with respect to this currency would positively affect the Group’s consolidated statement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 of income.</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Group’s net foreign exchange position is the sum of its positive open non-soles positions (net long position) less the sum of its negative open non-soles positions (net short position). Any depreciation/appreciation of the foreign exchange position would affect the consolidated statement of income. A currency mismatch would leave the Group’s consolidated statement of financial position vulnerable to a fluctuation of foreign currency (exchange rate shock).</w:t>
      </w:r>
    </w:p>
    <w:p>
      <w:pPr>
        <w:spacing w:after="0" w:line="35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- 150 -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00"/>
          </w:cols>
          <w:pgMar w:left="520" w:top="815" w:right="279" w:bottom="1440" w:gutter="0" w:footer="0" w:header="0"/>
        </w:sectPr>
      </w:pPr>
    </w:p>
    <w:bookmarkStart w:id="157" w:name="page158"/>
    <w:bookmarkEnd w:id="157"/>
    <w:p>
      <w:pPr>
        <w:ind w:left="280"/>
        <w:spacing w:after="0" w:line="254" w:lineRule="auto"/>
        <w:rPr>
          <w:sz w:val="20"/>
          <w:szCs w:val="20"/>
          <w:color w:val="auto"/>
        </w:rPr>
      </w:pPr>
      <w:r>
        <w:rPr>
          <w:rFonts w:ascii="Arial" w:cs="Arial" w:eastAsia="Arial" w:hAnsi="Arial"/>
          <w:sz w:val="16"/>
          <w:szCs w:val="16"/>
          <w:color w:val="auto"/>
        </w:rPr>
        <w:t>The table below shows the sensitivity analysis of the U.S. Dollar, the currency to which the Group had significant exposure as of December 31, 2018 and 2017 in its non-trading monetary assets and liabilities and its forecast cash flows. The analysis calculates the effect of a reasonably possible movement of the currency rate against Soles with all other variables held constant on the consolidated statement of income, before income tax. A negative amount in the table reflects a potential net reduction in the consolidated statement of income, while a positive amount reflects a net potential increase:</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21"/>
              <w:spacing w:after="0"/>
              <w:rPr>
                <w:sz w:val="20"/>
                <w:szCs w:val="20"/>
                <w:color w:val="auto"/>
              </w:rPr>
            </w:pPr>
            <w:r>
              <w:rPr>
                <w:rFonts w:ascii="Arial" w:cs="Arial" w:eastAsia="Arial" w:hAnsi="Arial"/>
                <w:sz w:val="16"/>
                <w:szCs w:val="16"/>
                <w:b w:val="1"/>
                <w:bCs w:val="1"/>
                <w:color w:val="auto"/>
                <w:w w:val="87"/>
              </w:rPr>
              <w:t>Change in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Currency rate sensitivity</w:t>
            </w:r>
          </w:p>
        </w:tc>
        <w:tc>
          <w:tcPr>
            <w:tcW w:w="1240" w:type="dxa"/>
            <w:vAlign w:val="bottom"/>
          </w:tcPr>
          <w:p>
            <w:pPr>
              <w:jc w:val="center"/>
              <w:ind w:left="121"/>
              <w:spacing w:after="0"/>
              <w:rPr>
                <w:sz w:val="20"/>
                <w:szCs w:val="20"/>
                <w:color w:val="auto"/>
              </w:rPr>
            </w:pPr>
            <w:r>
              <w:rPr>
                <w:rFonts w:ascii="Arial" w:cs="Arial" w:eastAsia="Arial" w:hAnsi="Arial"/>
                <w:sz w:val="16"/>
                <w:szCs w:val="16"/>
                <w:b w:val="1"/>
                <w:bCs w:val="1"/>
                <w:color w:val="auto"/>
                <w:w w:val="87"/>
              </w:rPr>
              <w:t>currency rates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420" w:type="dxa"/>
            <w:vAlign w:val="bottom"/>
          </w:tcPr>
          <w:p>
            <w:pPr>
              <w:jc w:val="right"/>
              <w:ind w:right="46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r>
      <w:tr>
        <w:trPr>
          <w:trHeight w:val="198"/>
        </w:trPr>
        <w:tc>
          <w:tcPr>
            <w:tcW w:w="6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jc w:val="center"/>
              <w:ind w:left="121"/>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S/000</w:t>
            </w:r>
          </w:p>
        </w:tc>
        <w:tc>
          <w:tcPr>
            <w:tcW w:w="20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S/000</w:t>
            </w:r>
          </w:p>
        </w:tc>
        <w:tc>
          <w:tcPr>
            <w:tcW w:w="120" w:type="dxa"/>
            <w:vAlign w:val="bottom"/>
          </w:tcPr>
          <w:p>
            <w:pPr>
              <w:spacing w:after="0"/>
              <w:rPr>
                <w:sz w:val="17"/>
                <w:szCs w:val="17"/>
                <w:color w:val="auto"/>
              </w:rPr>
            </w:pPr>
          </w:p>
        </w:tc>
      </w:tr>
      <w:tr>
        <w:trPr>
          <w:trHeight w:val="175"/>
        </w:trPr>
        <w:tc>
          <w:tcPr>
            <w:tcW w:w="6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616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24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47,559</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57,125</w:t>
            </w:r>
          </w:p>
        </w:tc>
      </w:tr>
      <w:tr>
        <w:trPr>
          <w:trHeight w:val="190"/>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Dollar</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90,795</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109,057</w:t>
            </w:r>
          </w:p>
        </w:tc>
      </w:tr>
      <w:tr>
        <w:trPr>
          <w:trHeight w:val="190"/>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Appreciation -</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616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24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(52,566)</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(63,138)</w:t>
            </w:r>
          </w:p>
        </w:tc>
      </w:tr>
      <w:tr>
        <w:trPr>
          <w:trHeight w:val="190"/>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Dollar</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(110,972)</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(133,292)</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33.3 Liquidity risk</w:t>
      </w:r>
    </w:p>
    <w:p>
      <w:pPr>
        <w:spacing w:after="0" w:line="199" w:lineRule="exact"/>
        <w:rPr>
          <w:sz w:val="20"/>
          <w:szCs w:val="20"/>
          <w:color w:val="auto"/>
        </w:rPr>
      </w:pPr>
    </w:p>
    <w:p>
      <w:pPr>
        <w:ind w:left="380" w:right="120"/>
        <w:spacing w:after="0" w:line="258" w:lineRule="auto"/>
        <w:rPr>
          <w:sz w:val="20"/>
          <w:szCs w:val="20"/>
          <w:color w:val="auto"/>
        </w:rPr>
      </w:pPr>
      <w:r>
        <w:rPr>
          <w:rFonts w:ascii="Arial" w:cs="Arial" w:eastAsia="Arial" w:hAnsi="Arial"/>
          <w:sz w:val="16"/>
          <w:szCs w:val="16"/>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165" w:lineRule="exact"/>
        <w:rPr>
          <w:sz w:val="20"/>
          <w:szCs w:val="20"/>
          <w:color w:val="auto"/>
        </w:rPr>
      </w:pPr>
    </w:p>
    <w:p>
      <w:pPr>
        <w:ind w:left="380"/>
        <w:spacing w:after="0" w:line="254" w:lineRule="auto"/>
        <w:rPr>
          <w:sz w:val="20"/>
          <w:szCs w:val="20"/>
          <w:color w:val="auto"/>
        </w:rPr>
      </w:pPr>
      <w:r>
        <w:rPr>
          <w:rFonts w:ascii="Arial" w:cs="Arial" w:eastAsia="Arial" w:hAnsi="Arial"/>
          <w:sz w:val="16"/>
          <w:szCs w:val="16"/>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Market Risk Management Department to maintain a wide diversification by currency, geography, provider, product and term.</w:t>
      </w:r>
    </w:p>
    <w:p>
      <w:pPr>
        <w:spacing w:after="0" w:line="169" w:lineRule="exact"/>
        <w:rPr>
          <w:sz w:val="20"/>
          <w:szCs w:val="20"/>
          <w:color w:val="auto"/>
        </w:rPr>
      </w:pPr>
    </w:p>
    <w:p>
      <w:pPr>
        <w:ind w:left="380"/>
        <w:spacing w:after="0" w:line="258" w:lineRule="auto"/>
        <w:rPr>
          <w:sz w:val="20"/>
          <w:szCs w:val="20"/>
          <w:color w:val="auto"/>
        </w:rPr>
      </w:pPr>
      <w:r>
        <w:rPr>
          <w:rFonts w:ascii="Arial" w:cs="Arial" w:eastAsia="Arial" w:hAnsi="Arial"/>
          <w:sz w:val="16"/>
          <w:szCs w:val="16"/>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assets and liabilities and the ability to replace them, at an acceptable cost are important factors in assessing the liquidity of the Group.</w:t>
      </w:r>
    </w:p>
    <w:p>
      <w:pPr>
        <w:spacing w:after="0" w:line="195" w:lineRule="exact"/>
        <w:rPr>
          <w:sz w:val="20"/>
          <w:szCs w:val="20"/>
          <w:color w:val="auto"/>
        </w:rPr>
      </w:pPr>
    </w:p>
    <w:p>
      <w:pPr>
        <w:ind w:left="340" w:right="140"/>
        <w:spacing w:after="0" w:line="254" w:lineRule="auto"/>
        <w:rPr>
          <w:sz w:val="20"/>
          <w:szCs w:val="20"/>
          <w:color w:val="auto"/>
        </w:rPr>
      </w:pPr>
      <w:r>
        <w:rPr>
          <w:rFonts w:ascii="Arial" w:cs="Arial" w:eastAsia="Arial" w:hAnsi="Arial"/>
          <w:sz w:val="16"/>
          <w:szCs w:val="16"/>
          <w:color w:val="auto"/>
        </w:rPr>
        <w:t>A mismatch, in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69" w:lineRule="exact"/>
        <w:rPr>
          <w:sz w:val="20"/>
          <w:szCs w:val="20"/>
          <w:color w:val="auto"/>
        </w:rPr>
      </w:pPr>
    </w:p>
    <w:p>
      <w:pPr>
        <w:jc w:val="both"/>
        <w:ind w:left="340" w:right="420"/>
        <w:spacing w:after="0" w:line="258" w:lineRule="auto"/>
        <w:rPr>
          <w:sz w:val="20"/>
          <w:szCs w:val="20"/>
          <w:color w:val="auto"/>
        </w:rPr>
      </w:pPr>
      <w:r>
        <w:rPr>
          <w:rFonts w:ascii="Arial" w:cs="Arial" w:eastAsia="Arial" w:hAnsi="Arial"/>
          <w:sz w:val="16"/>
          <w:szCs w:val="16"/>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158" w:name="page159"/>
    <w:bookmarkEnd w:id="158"/>
    <w:p>
      <w:pPr>
        <w:spacing w:after="0" w:line="299" w:lineRule="auto"/>
        <w:rPr>
          <w:sz w:val="20"/>
          <w:szCs w:val="20"/>
          <w:color w:val="auto"/>
        </w:rPr>
      </w:pPr>
      <w:r>
        <w:rPr>
          <w:rFonts w:ascii="Arial" w:cs="Arial" w:eastAsia="Arial" w:hAnsi="Arial"/>
          <w:sz w:val="14"/>
          <w:szCs w:val="14"/>
          <w:b w:val="1"/>
          <w:bCs w:val="1"/>
          <w:color w:val="auto"/>
        </w:rPr>
        <w:t xml:space="preserve">Commercial banking: </w:t>
      </w:r>
      <w:r>
        <w:rPr>
          <w:rFonts w:ascii="Arial" w:cs="Arial" w:eastAsia="Arial" w:hAnsi="Arial"/>
          <w:sz w:val="14"/>
          <w:szCs w:val="14"/>
          <w:color w:val="auto"/>
        </w:rPr>
        <w:t>Liquidity risk exposure in BCP Peru, BCP Bolivia, Mibanco and Atlantic Security Bank is based on indicators such as the Internal Liquidity Coverage</w:t>
      </w:r>
      <w:r>
        <w:rPr>
          <w:rFonts w:ascii="Arial" w:cs="Arial" w:eastAsia="Arial" w:hAnsi="Arial"/>
          <w:sz w:val="14"/>
          <w:szCs w:val="14"/>
          <w:b w:val="1"/>
          <w:bCs w:val="1"/>
          <w:color w:val="auto"/>
        </w:rPr>
        <w:t xml:space="preserve"> </w:t>
      </w:r>
      <w:r>
        <w:rPr>
          <w:rFonts w:ascii="Arial" w:cs="Arial" w:eastAsia="Arial" w:hAnsi="Arial"/>
          <w:sz w:val="14"/>
          <w:szCs w:val="14"/>
          <w:color w:val="auto"/>
        </w:rPr>
        <w:t>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 and any excess is presented in the Credicorp Treasury Risk Committee, Credicorp Risk Committee and ALM of the respective subsidiary.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AFPs:</w:t>
      </w:r>
    </w:p>
    <w:p>
      <w:pPr>
        <w:spacing w:after="0" w:line="195" w:lineRule="exact"/>
        <w:rPr>
          <w:sz w:val="20"/>
          <w:szCs w:val="20"/>
          <w:color w:val="auto"/>
        </w:rPr>
      </w:pPr>
    </w:p>
    <w:p>
      <w:pPr>
        <w:ind w:right="160"/>
        <w:spacing w:after="0" w:line="315" w:lineRule="auto"/>
        <w:rPr>
          <w:sz w:val="20"/>
          <w:szCs w:val="20"/>
          <w:color w:val="auto"/>
        </w:rPr>
      </w:pPr>
      <w:r>
        <w:rPr>
          <w:rFonts w:ascii="Arial" w:cs="Arial" w:eastAsia="Arial" w:hAnsi="Arial"/>
          <w:sz w:val="14"/>
          <w:szCs w:val="14"/>
          <w:u w:val="single" w:color="auto"/>
          <w:color w:val="auto"/>
        </w:rPr>
        <w:t>Insurance</w:t>
      </w:r>
      <w:r>
        <w:rPr>
          <w:rFonts w:ascii="Arial" w:cs="Arial" w:eastAsia="Arial" w:hAnsi="Arial"/>
          <w:sz w:val="14"/>
          <w:szCs w:val="14"/>
          <w:b w:val="1"/>
          <w:bCs w:val="1"/>
          <w:color w:val="auto"/>
        </w:rPr>
        <w:t>:</w:t>
      </w:r>
      <w:r>
        <w:rPr>
          <w:rFonts w:ascii="Arial" w:cs="Arial" w:eastAsia="Arial" w:hAnsi="Arial"/>
          <w:sz w:val="14"/>
          <w:szCs w:val="14"/>
          <w:color w:val="auto"/>
        </w:rPr>
        <w:t xml:space="preserve"> Liquidity risk management in Pacífico Grupo Asegurador follows a particular approach given the nature of the business. For annually renewable businesses, mainly general insurance, the emphasis of liquidity is focused on the quick availability of resources in the event of a systemic event (e.g. earthquake); for this purpose, there are minimum investment indicators in place relating to local cash/time deposits and foreign fixed-income instruments of high quality and liquidity.</w:t>
      </w:r>
    </w:p>
    <w:p>
      <w:pPr>
        <w:spacing w:after="0" w:line="129" w:lineRule="exact"/>
        <w:rPr>
          <w:sz w:val="20"/>
          <w:szCs w:val="20"/>
          <w:color w:val="auto"/>
        </w:rPr>
      </w:pPr>
    </w:p>
    <w:p>
      <w:pPr>
        <w:ind w:right="80"/>
        <w:spacing w:after="0" w:line="312" w:lineRule="auto"/>
        <w:rPr>
          <w:sz w:val="20"/>
          <w:szCs w:val="20"/>
          <w:color w:val="auto"/>
        </w:rPr>
      </w:pPr>
      <w:r>
        <w:rPr>
          <w:rFonts w:ascii="Arial" w:cs="Arial" w:eastAsia="Arial" w:hAnsi="Arial"/>
          <w:sz w:val="14"/>
          <w:szCs w:val="14"/>
          <w:color w:val="auto"/>
        </w:rPr>
        <w:t>For long-term businesses such as Pacífico Seguros, given the nature of the products offered and the contractual relationship with customers (the liquidity risk is not material); the emphasis is on maintaining sufficient flow of assets and matching their maturities with maturities of obligations (mathematical technical reserves); for this purpose there are indicators that measure the asset/liability sufficiency and adequacy as well as calculations or economic capital subject to interest rate risk, a methodology of Credicorp.</w:t>
      </w:r>
    </w:p>
    <w:p>
      <w:pPr>
        <w:spacing w:after="0" w:line="12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u w:val="single" w:color="auto"/>
          <w:color w:val="auto"/>
        </w:rPr>
        <w:t>AFPs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AFP Prima is carried out in a differentiated manner between the fund administrator and the funds being managed. Liquidity management regarding the fund administrator is focused on meeting periodic operating expense needs, which are supported with the collection of commissions. The fund administering entity does not record unexpected outflows of liquidity.</w:t>
      </w:r>
    </w:p>
    <w:p>
      <w:pPr>
        <w:spacing w:after="0" w:line="161"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 xml:space="preserve">Investment banking: </w:t>
      </w:r>
      <w:r>
        <w:rPr>
          <w:rFonts w:ascii="Arial" w:cs="Arial" w:eastAsia="Arial" w:hAnsi="Arial"/>
          <w:sz w:val="15"/>
          <w:szCs w:val="15"/>
          <w:color w:val="auto"/>
        </w:rPr>
        <w:t>Liquidity risk in the Grupo Credicorp Capital (Credicorp Capital Colombia, IM Trust y Credicorp Capital Perú) principally affects the security</w:t>
      </w:r>
      <w:r>
        <w:rPr>
          <w:rFonts w:ascii="Arial" w:cs="Arial" w:eastAsia="Arial" w:hAnsi="Arial"/>
          <w:sz w:val="15"/>
          <w:szCs w:val="15"/>
          <w:b w:val="1"/>
          <w:bCs w:val="1"/>
          <w:color w:val="auto"/>
        </w:rPr>
        <w:t xml:space="preserve"> </w:t>
      </w:r>
      <w:r>
        <w:rPr>
          <w:rFonts w:ascii="Arial" w:cs="Arial" w:eastAsia="Arial" w:hAnsi="Arial"/>
          <w:sz w:val="15"/>
          <w:szCs w:val="15"/>
          <w:color w:val="auto"/>
        </w:rPr>
        <w:t>brokerage. In managing this risk, limits of use of liquidity have been established as well as matching maturities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Companies perform a liquidity risk management using the liquidity Gap or contractual maturity Gap.</w:t>
      </w:r>
    </w:p>
    <w:p>
      <w:pPr>
        <w:spacing w:after="0" w:line="38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- 152 -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726313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040"/>
          </w:cols>
          <w:pgMar w:left="620" w:top="810" w:right="239" w:bottom="1440" w:gutter="0" w:footer="0" w:header="0"/>
        </w:sectPr>
      </w:pPr>
    </w:p>
    <w:bookmarkStart w:id="159" w:name="page160"/>
    <w:bookmarkEnd w:id="159"/>
    <w:p>
      <w:pPr>
        <w:ind w:left="380" w:right="620"/>
        <w:spacing w:after="0" w:line="269" w:lineRule="auto"/>
        <w:rPr>
          <w:sz w:val="20"/>
          <w:szCs w:val="20"/>
          <w:color w:val="auto"/>
        </w:rPr>
      </w:pPr>
      <w:r>
        <w:rPr>
          <w:rFonts w:ascii="Arial" w:cs="Arial" w:eastAsia="Arial" w:hAnsi="Arial"/>
          <w:sz w:val="16"/>
          <w:szCs w:val="16"/>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90"/>
              </w:rPr>
              <w:t>Up to a</w:t>
            </w:r>
          </w:p>
        </w:tc>
        <w:tc>
          <w:tcPr>
            <w:tcW w:w="78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87"/>
              </w:rPr>
              <w:t>From 1 to</w:t>
            </w:r>
          </w:p>
        </w:tc>
        <w:tc>
          <w:tcPr>
            <w:tcW w:w="78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87"/>
              </w:rPr>
              <w:t>From 3 to</w:t>
            </w:r>
          </w:p>
        </w:tc>
        <w:tc>
          <w:tcPr>
            <w:tcW w:w="800" w:type="dxa"/>
            <w:vAlign w:val="bottom"/>
            <w:gridSpan w:val="2"/>
          </w:tcPr>
          <w:p>
            <w:pPr>
              <w:jc w:val="right"/>
              <w:ind w:right="158"/>
              <w:spacing w:after="0" w:line="114" w:lineRule="exact"/>
              <w:rPr>
                <w:sz w:val="20"/>
                <w:szCs w:val="20"/>
                <w:color w:val="auto"/>
              </w:rPr>
            </w:pPr>
            <w:r>
              <w:rPr>
                <w:rFonts w:ascii="Arial" w:cs="Arial" w:eastAsia="Arial" w:hAnsi="Arial"/>
                <w:sz w:val="13"/>
                <w:szCs w:val="13"/>
                <w:b w:val="1"/>
                <w:bCs w:val="1"/>
                <w:color w:val="auto"/>
                <w:w w:val="97"/>
              </w:rPr>
              <w:t>From 1 to</w:t>
            </w:r>
          </w:p>
        </w:tc>
        <w:tc>
          <w:tcPr>
            <w:tcW w:w="800" w:type="dxa"/>
            <w:vAlign w:val="bottom"/>
            <w:gridSpan w:val="2"/>
          </w:tcPr>
          <w:p>
            <w:pPr>
              <w:jc w:val="center"/>
              <w:ind w:right="118"/>
              <w:spacing w:after="0" w:line="114" w:lineRule="exact"/>
              <w:rPr>
                <w:sz w:val="20"/>
                <w:szCs w:val="20"/>
                <w:color w:val="auto"/>
              </w:rPr>
            </w:pPr>
            <w:r>
              <w:rPr>
                <w:rFonts w:ascii="Arial" w:cs="Arial" w:eastAsia="Arial" w:hAnsi="Arial"/>
                <w:sz w:val="13"/>
                <w:szCs w:val="13"/>
                <w:b w:val="1"/>
                <w:bCs w:val="1"/>
                <w:color w:val="auto"/>
                <w:w w:val="88"/>
              </w:rPr>
              <w:t>Over 5</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77"/>
              <w:spacing w:after="0" w:line="114" w:lineRule="exact"/>
              <w:rPr>
                <w:sz w:val="20"/>
                <w:szCs w:val="20"/>
                <w:color w:val="auto"/>
              </w:rPr>
            </w:pPr>
            <w:r>
              <w:rPr>
                <w:rFonts w:ascii="Arial" w:cs="Arial" w:eastAsia="Arial" w:hAnsi="Arial"/>
                <w:sz w:val="13"/>
                <w:szCs w:val="13"/>
                <w:b w:val="1"/>
                <w:bCs w:val="1"/>
                <w:color w:val="auto"/>
                <w:w w:val="86"/>
              </w:rPr>
              <w:t>Up to a</w:t>
            </w:r>
          </w:p>
        </w:tc>
        <w:tc>
          <w:tcPr>
            <w:tcW w:w="800" w:type="dxa"/>
            <w:vAlign w:val="bottom"/>
            <w:gridSpan w:val="2"/>
          </w:tcPr>
          <w:p>
            <w:pPr>
              <w:jc w:val="center"/>
              <w:ind w:right="118"/>
              <w:spacing w:after="0" w:line="114" w:lineRule="exact"/>
              <w:rPr>
                <w:sz w:val="20"/>
                <w:szCs w:val="20"/>
                <w:color w:val="auto"/>
              </w:rPr>
            </w:pPr>
            <w:r>
              <w:rPr>
                <w:rFonts w:ascii="Arial" w:cs="Arial" w:eastAsia="Arial" w:hAnsi="Arial"/>
                <w:sz w:val="13"/>
                <w:szCs w:val="13"/>
                <w:b w:val="1"/>
                <w:bCs w:val="1"/>
                <w:color w:val="auto"/>
                <w:w w:val="87"/>
              </w:rPr>
              <w:t>From 1 to</w:t>
            </w:r>
          </w:p>
        </w:tc>
        <w:tc>
          <w:tcPr>
            <w:tcW w:w="800" w:type="dxa"/>
            <w:vAlign w:val="bottom"/>
            <w:gridSpan w:val="2"/>
          </w:tcPr>
          <w:p>
            <w:pPr>
              <w:jc w:val="center"/>
              <w:ind w:right="118"/>
              <w:spacing w:after="0" w:line="114" w:lineRule="exact"/>
              <w:rPr>
                <w:sz w:val="20"/>
                <w:szCs w:val="20"/>
                <w:color w:val="auto"/>
              </w:rPr>
            </w:pPr>
            <w:r>
              <w:rPr>
                <w:rFonts w:ascii="Arial" w:cs="Arial" w:eastAsia="Arial" w:hAnsi="Arial"/>
                <w:sz w:val="13"/>
                <w:szCs w:val="13"/>
                <w:b w:val="1"/>
                <w:bCs w:val="1"/>
                <w:color w:val="auto"/>
                <w:w w:val="87"/>
              </w:rPr>
              <w:t>From 3 to</w:t>
            </w:r>
          </w:p>
        </w:tc>
        <w:tc>
          <w:tcPr>
            <w:tcW w:w="780" w:type="dxa"/>
            <w:vAlign w:val="bottom"/>
            <w:gridSpan w:val="2"/>
          </w:tcPr>
          <w:p>
            <w:pPr>
              <w:jc w:val="center"/>
              <w:ind w:right="118"/>
              <w:spacing w:after="0" w:line="114" w:lineRule="exact"/>
              <w:rPr>
                <w:sz w:val="20"/>
                <w:szCs w:val="20"/>
                <w:color w:val="auto"/>
              </w:rPr>
            </w:pPr>
            <w:r>
              <w:rPr>
                <w:rFonts w:ascii="Arial" w:cs="Arial" w:eastAsia="Arial" w:hAnsi="Arial"/>
                <w:sz w:val="13"/>
                <w:szCs w:val="13"/>
                <w:b w:val="1"/>
                <w:bCs w:val="1"/>
                <w:color w:val="auto"/>
                <w:w w:val="91"/>
              </w:rPr>
              <w:t>From 1 to</w:t>
            </w:r>
          </w:p>
        </w:tc>
        <w:tc>
          <w:tcPr>
            <w:tcW w:w="800" w:type="dxa"/>
            <w:vAlign w:val="bottom"/>
            <w:gridSpan w:val="2"/>
          </w:tcPr>
          <w:p>
            <w:pPr>
              <w:jc w:val="center"/>
              <w:ind w:right="118"/>
              <w:spacing w:after="0" w:line="114" w:lineRule="exact"/>
              <w:rPr>
                <w:sz w:val="20"/>
                <w:szCs w:val="20"/>
                <w:color w:val="auto"/>
              </w:rPr>
            </w:pPr>
            <w:r>
              <w:rPr>
                <w:rFonts w:ascii="Arial" w:cs="Arial" w:eastAsia="Arial" w:hAnsi="Arial"/>
                <w:sz w:val="13"/>
                <w:szCs w:val="13"/>
                <w:b w:val="1"/>
                <w:bCs w:val="1"/>
                <w:color w:val="auto"/>
                <w:w w:val="88"/>
              </w:rPr>
              <w:t>Over 5</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month</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3 months</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12 months</w:t>
            </w:r>
          </w:p>
        </w:tc>
        <w:tc>
          <w:tcPr>
            <w:tcW w:w="800" w:type="dxa"/>
            <w:vAlign w:val="bottom"/>
            <w:gridSpan w:val="2"/>
          </w:tcPr>
          <w:p>
            <w:pPr>
              <w:jc w:val="right"/>
              <w:ind w:right="238"/>
              <w:spacing w:after="0"/>
              <w:rPr>
                <w:sz w:val="20"/>
                <w:szCs w:val="20"/>
                <w:color w:val="auto"/>
              </w:rPr>
            </w:pPr>
            <w:r>
              <w:rPr>
                <w:rFonts w:ascii="Arial" w:cs="Arial" w:eastAsia="Arial" w:hAnsi="Arial"/>
                <w:sz w:val="13"/>
                <w:szCs w:val="13"/>
                <w:b w:val="1"/>
                <w:bCs w:val="1"/>
                <w:color w:val="auto"/>
              </w:rPr>
              <w:t>5 years</w:t>
            </w: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80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85"/>
              </w:rPr>
              <w:t>month</w:t>
            </w: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2"/>
              </w:rPr>
              <w:t>3 months</w:t>
            </w: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6"/>
              </w:rPr>
              <w:t>12 months</w:t>
            </w:r>
          </w:p>
        </w:tc>
        <w:tc>
          <w:tcPr>
            <w:tcW w:w="78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4"/>
              </w:rPr>
              <w:t>5 years</w:t>
            </w:r>
          </w:p>
        </w:tc>
        <w:tc>
          <w:tcPr>
            <w:tcW w:w="800" w:type="dxa"/>
            <w:vAlign w:val="bottom"/>
            <w:gridSpan w:val="2"/>
          </w:tcPr>
          <w:p>
            <w:pPr>
              <w:jc w:val="center"/>
              <w:ind w:right="98"/>
              <w:spacing w:after="0"/>
              <w:rPr>
                <w:sz w:val="20"/>
                <w:szCs w:val="20"/>
                <w:color w:val="auto"/>
              </w:rPr>
            </w:pPr>
            <w:r>
              <w:rPr>
                <w:rFonts w:ascii="Arial" w:cs="Arial" w:eastAsia="Arial" w:hAnsi="Arial"/>
                <w:sz w:val="13"/>
                <w:szCs w:val="13"/>
                <w:b w:val="1"/>
                <w:bCs w:val="1"/>
                <w:color w:val="auto"/>
                <w:w w:val="92"/>
              </w:rPr>
              <w:t>Year</w:t>
            </w:r>
          </w:p>
        </w:tc>
        <w:tc>
          <w:tcPr>
            <w:tcW w:w="800" w:type="dxa"/>
            <w:vAlign w:val="bottom"/>
            <w:gridSpan w:val="2"/>
          </w:tcPr>
          <w:p>
            <w:pPr>
              <w:jc w:val="right"/>
              <w:ind w:right="25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Financial assets</w:t>
            </w: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w w:val="95"/>
              </w:rPr>
              <w:t>29,402,396</w:t>
            </w: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5"/>
              </w:rPr>
              <w:t>26,409,954</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w w:val="95"/>
              </w:rPr>
              <w:t>42,782,806</w:t>
            </w:r>
          </w:p>
        </w:tc>
        <w:tc>
          <w:tcPr>
            <w:tcW w:w="8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w w:val="95"/>
              </w:rPr>
              <w:t>65,440,380</w:t>
            </w: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5"/>
              </w:rPr>
              <w:t>37,419,428</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w w:val="94"/>
              </w:rPr>
              <w:t>201,454,964</w:t>
            </w: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5"/>
              </w:rPr>
              <w:t>32,066,988</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5"/>
              </w:rPr>
              <w:t>23,840,167</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w w:val="95"/>
              </w:rPr>
              <w:t>39,862,618</w:t>
            </w:r>
          </w:p>
        </w:tc>
        <w:tc>
          <w:tcPr>
            <w:tcW w:w="780" w:type="dxa"/>
            <w:vAlign w:val="bottom"/>
            <w:gridSpan w:val="2"/>
            <w:shd w:val="clear" w:color="auto" w:fill="CCEEFF"/>
          </w:tcPr>
          <w:p>
            <w:pPr>
              <w:jc w:val="right"/>
              <w:ind w:right="98"/>
              <w:spacing w:after="0" w:line="131" w:lineRule="exact"/>
              <w:rPr>
                <w:sz w:val="20"/>
                <w:szCs w:val="20"/>
                <w:color w:val="auto"/>
              </w:rPr>
            </w:pPr>
            <w:r>
              <w:rPr>
                <w:rFonts w:ascii="Arial" w:cs="Arial" w:eastAsia="Arial" w:hAnsi="Arial"/>
                <w:sz w:val="13"/>
                <w:szCs w:val="13"/>
                <w:color w:val="auto"/>
                <w:w w:val="95"/>
              </w:rPr>
              <w:t>60,040,832</w:t>
            </w:r>
          </w:p>
        </w:tc>
        <w:tc>
          <w:tcPr>
            <w:tcW w:w="800" w:type="dxa"/>
            <w:vAlign w:val="bottom"/>
            <w:gridSpan w:val="2"/>
            <w:shd w:val="clear" w:color="auto" w:fill="CCEEFF"/>
          </w:tcPr>
          <w:p>
            <w:pPr>
              <w:jc w:val="right"/>
              <w:ind w:right="118"/>
              <w:spacing w:after="0" w:line="131" w:lineRule="exact"/>
              <w:rPr>
                <w:sz w:val="20"/>
                <w:szCs w:val="20"/>
                <w:color w:val="auto"/>
              </w:rPr>
            </w:pPr>
            <w:r>
              <w:rPr>
                <w:rFonts w:ascii="Arial" w:cs="Arial" w:eastAsia="Arial" w:hAnsi="Arial"/>
                <w:sz w:val="13"/>
                <w:szCs w:val="13"/>
                <w:color w:val="auto"/>
                <w:w w:val="95"/>
              </w:rPr>
              <w:t>32,705,161</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188,515,766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Financial liabilities by type -</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1" w:lineRule="exact"/>
              <w:rPr>
                <w:sz w:val="20"/>
                <w:szCs w:val="20"/>
                <w:color w:val="auto"/>
              </w:rPr>
            </w:pPr>
            <w:r>
              <w:rPr>
                <w:rFonts w:ascii="Arial" w:cs="Arial" w:eastAsia="Arial" w:hAnsi="Arial"/>
                <w:sz w:val="13"/>
                <w:szCs w:val="13"/>
                <w:color w:val="auto"/>
              </w:rPr>
              <w:t>Deposits and obligations</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95"/>
              </w:rPr>
              <w:t>30,659,602</w:t>
            </w: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w w:val="95"/>
              </w:rPr>
              <w:t>10,717,381</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95"/>
              </w:rPr>
              <w:t>20,100,704</w:t>
            </w: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w w:val="95"/>
              </w:rPr>
              <w:t>38,903,924</w:t>
            </w: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rPr>
              <w:t>8,663,463</w:t>
            </w:r>
          </w:p>
        </w:tc>
        <w:tc>
          <w:tcPr>
            <w:tcW w:w="160" w:type="dxa"/>
            <w:vAlign w:val="bottom"/>
          </w:tcPr>
          <w:p>
            <w:pPr>
              <w:spacing w:after="0"/>
              <w:rPr>
                <w:sz w:val="11"/>
                <w:szCs w:val="11"/>
                <w:color w:val="auto"/>
              </w:rPr>
            </w:pP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94"/>
              </w:rPr>
              <w:t>109,045,074</w:t>
            </w: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w w:val="95"/>
              </w:rPr>
              <w:t>28,360,646</w:t>
            </w:r>
          </w:p>
        </w:tc>
        <w:tc>
          <w:tcPr>
            <w:tcW w:w="16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w w:val="95"/>
              </w:rPr>
              <w:t>10,523,572</w:t>
            </w:r>
          </w:p>
        </w:tc>
        <w:tc>
          <w:tcPr>
            <w:tcW w:w="160" w:type="dxa"/>
            <w:vAlign w:val="bottom"/>
          </w:tcPr>
          <w:p>
            <w:pPr>
              <w:spacing w:after="0"/>
              <w:rPr>
                <w:sz w:val="11"/>
                <w:szCs w:val="11"/>
                <w:color w:val="auto"/>
              </w:rPr>
            </w:pP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w w:val="95"/>
              </w:rPr>
              <w:t>18,803,383</w:t>
            </w:r>
          </w:p>
        </w:tc>
        <w:tc>
          <w:tcPr>
            <w:tcW w:w="7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w w:val="95"/>
              </w:rPr>
              <w:t>34,738,531</w:t>
            </w: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8,662,213</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w w:val="96"/>
              </w:rPr>
              <w:t>101,088,345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8"/>
              </w:rPr>
              <w:t>Payables from reverse purchase</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w w:val="90"/>
              </w:rPr>
              <w:t>agreements and security lendings</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and due to banks and</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6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correspondents</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2,920,477</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3,995,758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4,976,816</w:t>
            </w: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4,639,124</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6,878,937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23,411,112</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3,658,434</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1,801,493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6,363,038</w:t>
            </w:r>
          </w:p>
        </w:tc>
        <w:tc>
          <w:tcPr>
            <w:tcW w:w="780" w:type="dxa"/>
            <w:vAlign w:val="bottom"/>
            <w:gridSpan w:val="2"/>
            <w:shd w:val="clear" w:color="auto" w:fill="CCEEFF"/>
          </w:tcPr>
          <w:p>
            <w:pPr>
              <w:jc w:val="right"/>
              <w:ind w:right="98"/>
              <w:spacing w:after="0" w:line="146" w:lineRule="exact"/>
              <w:rPr>
                <w:sz w:val="20"/>
                <w:szCs w:val="20"/>
                <w:color w:val="auto"/>
              </w:rPr>
            </w:pPr>
            <w:r>
              <w:rPr>
                <w:rFonts w:ascii="Arial" w:cs="Arial" w:eastAsia="Arial" w:hAnsi="Arial"/>
                <w:sz w:val="13"/>
                <w:szCs w:val="13"/>
                <w:color w:val="auto"/>
              </w:rPr>
              <w:t>6,597,765</w:t>
            </w: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6,352,357</w:t>
            </w: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24,773,087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60" w:type="dxa"/>
            <w:vAlign w:val="bottom"/>
          </w:tcPr>
          <w:p>
            <w:pPr>
              <w:spacing w:after="0" w:line="114" w:lineRule="exact"/>
              <w:rPr>
                <w:sz w:val="20"/>
                <w:szCs w:val="20"/>
                <w:color w:val="auto"/>
              </w:rPr>
            </w:pPr>
            <w:r>
              <w:rPr>
                <w:rFonts w:ascii="Arial" w:cs="Arial" w:eastAsia="Arial" w:hAnsi="Arial"/>
                <w:sz w:val="13"/>
                <w:szCs w:val="13"/>
                <w:color w:val="auto"/>
                <w:w w:val="90"/>
              </w:rPr>
              <w:t>Accounts payable to reinsurers and</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60" w:type="dxa"/>
            <w:vAlign w:val="bottom"/>
          </w:tcPr>
          <w:p>
            <w:pPr>
              <w:ind w:left="80"/>
              <w:spacing w:after="0" w:line="146" w:lineRule="exact"/>
              <w:rPr>
                <w:sz w:val="20"/>
                <w:szCs w:val="20"/>
                <w:color w:val="auto"/>
              </w:rPr>
            </w:pPr>
            <w:r>
              <w:rPr>
                <w:rFonts w:ascii="Arial" w:cs="Arial" w:eastAsia="Arial" w:hAnsi="Arial"/>
                <w:sz w:val="13"/>
                <w:szCs w:val="13"/>
                <w:color w:val="auto"/>
              </w:rPr>
              <w:t>coinsurers</w:t>
            </w: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9,087</w:t>
            </w: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290,214</w:t>
            </w: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5,088</w:t>
            </w:r>
          </w:p>
        </w:tc>
        <w:tc>
          <w:tcPr>
            <w:tcW w:w="80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2,144</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306,533</w:t>
            </w:r>
          </w:p>
        </w:tc>
        <w:tc>
          <w:tcPr>
            <w:tcW w:w="800" w:type="dxa"/>
            <w:vAlign w:val="bottom"/>
            <w:gridSpan w:val="2"/>
          </w:tcPr>
          <w:p>
            <w:pPr>
              <w:jc w:val="right"/>
              <w:ind w:right="97"/>
              <w:spacing w:after="0" w:line="146" w:lineRule="exact"/>
              <w:rPr>
                <w:sz w:val="20"/>
                <w:szCs w:val="20"/>
                <w:color w:val="auto"/>
              </w:rPr>
            </w:pPr>
            <w:r>
              <w:rPr>
                <w:rFonts w:ascii="Arial" w:cs="Arial" w:eastAsia="Arial" w:hAnsi="Arial"/>
                <w:sz w:val="13"/>
                <w:szCs w:val="13"/>
                <w:color w:val="auto"/>
              </w:rPr>
              <w:t>51,426</w:t>
            </w:r>
          </w:p>
        </w:tc>
        <w:tc>
          <w:tcPr>
            <w:tcW w:w="80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140,648</w:t>
            </w:r>
          </w:p>
        </w:tc>
        <w:tc>
          <w:tcPr>
            <w:tcW w:w="80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31,489</w:t>
            </w:r>
          </w:p>
        </w:tc>
        <w:tc>
          <w:tcPr>
            <w:tcW w:w="780" w:type="dxa"/>
            <w:vAlign w:val="bottom"/>
            <w:gridSpan w:val="2"/>
          </w:tcPr>
          <w:p>
            <w:pPr>
              <w:jc w:val="right"/>
              <w:ind w:right="98"/>
              <w:spacing w:after="0" w:line="146" w:lineRule="exact"/>
              <w:rPr>
                <w:sz w:val="20"/>
                <w:szCs w:val="20"/>
                <w:color w:val="auto"/>
              </w:rPr>
            </w:pPr>
            <w:r>
              <w:rPr>
                <w:rFonts w:ascii="Arial" w:cs="Arial" w:eastAsia="Arial" w:hAnsi="Arial"/>
                <w:sz w:val="13"/>
                <w:szCs w:val="13"/>
                <w:color w:val="auto"/>
              </w:rPr>
              <w:t>9,862</w:t>
            </w:r>
          </w:p>
        </w:tc>
        <w:tc>
          <w:tcPr>
            <w:tcW w:w="800" w:type="dxa"/>
            <w:vAlign w:val="bottom"/>
            <w:gridSpan w:val="2"/>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8"/>
              <w:spacing w:after="0" w:line="146" w:lineRule="exact"/>
              <w:rPr>
                <w:sz w:val="20"/>
                <w:szCs w:val="20"/>
                <w:color w:val="auto"/>
              </w:rPr>
            </w:pPr>
            <w:r>
              <w:rPr>
                <w:rFonts w:ascii="Arial" w:cs="Arial" w:eastAsia="Arial" w:hAnsi="Arial"/>
                <w:sz w:val="13"/>
                <w:szCs w:val="13"/>
                <w:color w:val="auto"/>
              </w:rPr>
              <w:t>233,425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8"/>
              </w:rPr>
              <w:t>Financial liabilities designated at</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6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fair value through profit or loss</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362,310</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362,310</w:t>
            </w:r>
          </w:p>
        </w:tc>
        <w:tc>
          <w:tcPr>
            <w:tcW w:w="800" w:type="dxa"/>
            <w:vAlign w:val="bottom"/>
            <w:gridSpan w:val="2"/>
            <w:shd w:val="clear" w:color="auto" w:fill="CCEEFF"/>
          </w:tcPr>
          <w:p>
            <w:pPr>
              <w:jc w:val="right"/>
              <w:ind w:right="97"/>
              <w:spacing w:after="0" w:line="146" w:lineRule="exact"/>
              <w:rPr>
                <w:sz w:val="20"/>
                <w:szCs w:val="20"/>
                <w:color w:val="auto"/>
              </w:rPr>
            </w:pPr>
            <w:r>
              <w:rPr>
                <w:rFonts w:ascii="Arial" w:cs="Arial" w:eastAsia="Arial" w:hAnsi="Arial"/>
                <w:sz w:val="13"/>
                <w:szCs w:val="13"/>
                <w:color w:val="auto"/>
              </w:rPr>
              <w:t>168,089</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98"/>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8"/>
              <w:spacing w:after="0" w:line="146" w:lineRule="exact"/>
              <w:rPr>
                <w:sz w:val="20"/>
                <w:szCs w:val="20"/>
                <w:color w:val="auto"/>
              </w:rPr>
            </w:pPr>
            <w:r>
              <w:rPr>
                <w:rFonts w:ascii="Arial" w:cs="Arial" w:eastAsia="Arial" w:hAnsi="Arial"/>
                <w:sz w:val="13"/>
                <w:szCs w:val="13"/>
                <w:color w:val="auto"/>
              </w:rPr>
              <w:t>168,089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1" w:lineRule="exact"/>
              <w:rPr>
                <w:sz w:val="20"/>
                <w:szCs w:val="20"/>
                <w:color w:val="auto"/>
              </w:rPr>
            </w:pPr>
            <w:r>
              <w:rPr>
                <w:rFonts w:ascii="Arial" w:cs="Arial" w:eastAsia="Arial" w:hAnsi="Arial"/>
                <w:sz w:val="13"/>
                <w:szCs w:val="13"/>
                <w:color w:val="auto"/>
              </w:rPr>
              <w:t>Bonds and notes issued</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71,272</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133,642</w:t>
            </w:r>
          </w:p>
        </w:tc>
        <w:tc>
          <w:tcPr>
            <w:tcW w:w="7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3,062,572</w:t>
            </w: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w w:val="95"/>
              </w:rPr>
              <w:t>13,316,127</w:t>
            </w: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473,092</w:t>
            </w:r>
          </w:p>
        </w:tc>
        <w:tc>
          <w:tcPr>
            <w:tcW w:w="84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17,056,705</w:t>
            </w:r>
          </w:p>
        </w:tc>
        <w:tc>
          <w:tcPr>
            <w:tcW w:w="800" w:type="dxa"/>
            <w:vAlign w:val="bottom"/>
            <w:gridSpan w:val="2"/>
          </w:tcPr>
          <w:p>
            <w:pPr>
              <w:jc w:val="right"/>
              <w:ind w:right="97"/>
              <w:spacing w:after="0" w:line="131" w:lineRule="exact"/>
              <w:rPr>
                <w:sz w:val="20"/>
                <w:szCs w:val="20"/>
                <w:color w:val="auto"/>
              </w:rPr>
            </w:pPr>
            <w:r>
              <w:rPr>
                <w:rFonts w:ascii="Arial" w:cs="Arial" w:eastAsia="Arial" w:hAnsi="Arial"/>
                <w:sz w:val="13"/>
                <w:szCs w:val="13"/>
                <w:color w:val="auto"/>
              </w:rPr>
              <w:t>833,517</w:t>
            </w: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130,988</w:t>
            </w: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1,059,795</w:t>
            </w:r>
          </w:p>
        </w:tc>
        <w:tc>
          <w:tcPr>
            <w:tcW w:w="780" w:type="dxa"/>
            <w:vAlign w:val="bottom"/>
            <w:gridSpan w:val="2"/>
          </w:tcPr>
          <w:p>
            <w:pPr>
              <w:jc w:val="right"/>
              <w:ind w:right="98"/>
              <w:spacing w:after="0" w:line="131" w:lineRule="exact"/>
              <w:rPr>
                <w:sz w:val="20"/>
                <w:szCs w:val="20"/>
                <w:color w:val="auto"/>
              </w:rPr>
            </w:pPr>
            <w:r>
              <w:rPr>
                <w:rFonts w:ascii="Arial" w:cs="Arial" w:eastAsia="Arial" w:hAnsi="Arial"/>
                <w:sz w:val="13"/>
                <w:szCs w:val="13"/>
                <w:color w:val="auto"/>
                <w:w w:val="95"/>
              </w:rPr>
              <w:t>13,471,851</w:t>
            </w:r>
          </w:p>
        </w:tc>
        <w:tc>
          <w:tcPr>
            <w:tcW w:w="800" w:type="dxa"/>
            <w:vAlign w:val="bottom"/>
            <w:gridSpan w:val="2"/>
          </w:tcPr>
          <w:p>
            <w:pPr>
              <w:jc w:val="right"/>
              <w:ind w:right="118"/>
              <w:spacing w:after="0" w:line="131" w:lineRule="exact"/>
              <w:rPr>
                <w:sz w:val="20"/>
                <w:szCs w:val="20"/>
                <w:color w:val="auto"/>
              </w:rPr>
            </w:pPr>
            <w:r>
              <w:rPr>
                <w:rFonts w:ascii="Arial" w:cs="Arial" w:eastAsia="Arial" w:hAnsi="Arial"/>
                <w:sz w:val="13"/>
                <w:szCs w:val="13"/>
                <w:color w:val="auto"/>
              </w:rPr>
              <w:t>2,905,297</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18,401,448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 liabilities</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1,989,185</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332,555</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421,685</w:t>
            </w:r>
          </w:p>
        </w:tc>
        <w:tc>
          <w:tcPr>
            <w:tcW w:w="800" w:type="dxa"/>
            <w:vAlign w:val="bottom"/>
            <w:gridSpan w:val="2"/>
            <w:shd w:val="clear" w:color="auto" w:fill="CCEEFF"/>
          </w:tcPr>
          <w:p>
            <w:pPr>
              <w:jc w:val="right"/>
              <w:ind w:right="118"/>
              <w:spacing w:after="0" w:line="143" w:lineRule="exact"/>
              <w:rPr>
                <w:sz w:val="20"/>
                <w:szCs w:val="20"/>
                <w:color w:val="auto"/>
              </w:rPr>
            </w:pPr>
            <w:r>
              <w:rPr>
                <w:rFonts w:ascii="Arial" w:cs="Arial" w:eastAsia="Arial" w:hAnsi="Arial"/>
                <w:sz w:val="13"/>
                <w:szCs w:val="13"/>
                <w:color w:val="auto"/>
              </w:rPr>
              <w:t>6,013</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1,315,576</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4,065,014</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1,997,270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8"/>
              <w:spacing w:after="0" w:line="143" w:lineRule="exact"/>
              <w:rPr>
                <w:sz w:val="20"/>
                <w:szCs w:val="20"/>
                <w:color w:val="auto"/>
              </w:rPr>
            </w:pPr>
            <w:r>
              <w:rPr>
                <w:rFonts w:ascii="Arial" w:cs="Arial" w:eastAsia="Arial" w:hAnsi="Arial"/>
                <w:sz w:val="13"/>
                <w:szCs w:val="13"/>
                <w:color w:val="auto"/>
              </w:rPr>
              <w:t>293,864</w:t>
            </w:r>
          </w:p>
        </w:tc>
        <w:tc>
          <w:tcPr>
            <w:tcW w:w="800" w:type="dxa"/>
            <w:vAlign w:val="bottom"/>
            <w:gridSpan w:val="2"/>
            <w:shd w:val="clear" w:color="auto" w:fill="CCEEFF"/>
          </w:tcPr>
          <w:p>
            <w:pPr>
              <w:jc w:val="right"/>
              <w:ind w:right="118"/>
              <w:spacing w:after="0" w:line="143" w:lineRule="exact"/>
              <w:rPr>
                <w:sz w:val="20"/>
                <w:szCs w:val="20"/>
                <w:color w:val="auto"/>
              </w:rPr>
            </w:pPr>
            <w:r>
              <w:rPr>
                <w:rFonts w:ascii="Arial" w:cs="Arial" w:eastAsia="Arial" w:hAnsi="Arial"/>
                <w:sz w:val="13"/>
                <w:szCs w:val="13"/>
                <w:color w:val="auto"/>
              </w:rPr>
              <w:t>298,986</w:t>
            </w:r>
          </w:p>
        </w:tc>
        <w:tc>
          <w:tcPr>
            <w:tcW w:w="780" w:type="dxa"/>
            <w:vAlign w:val="bottom"/>
            <w:gridSpan w:val="2"/>
            <w:shd w:val="clear" w:color="auto" w:fill="CCEEFF"/>
          </w:tcPr>
          <w:p>
            <w:pPr>
              <w:jc w:val="right"/>
              <w:ind w:right="98"/>
              <w:spacing w:after="0" w:line="143" w:lineRule="exact"/>
              <w:rPr>
                <w:sz w:val="20"/>
                <w:szCs w:val="20"/>
                <w:color w:val="auto"/>
              </w:rPr>
            </w:pPr>
            <w:r>
              <w:rPr>
                <w:rFonts w:ascii="Arial" w:cs="Arial" w:eastAsia="Arial" w:hAnsi="Arial"/>
                <w:sz w:val="13"/>
                <w:szCs w:val="13"/>
                <w:color w:val="auto"/>
              </w:rPr>
              <w:t>5,310</w:t>
            </w:r>
          </w:p>
        </w:tc>
        <w:tc>
          <w:tcPr>
            <w:tcW w:w="800" w:type="dxa"/>
            <w:vAlign w:val="bottom"/>
            <w:gridSpan w:val="2"/>
            <w:shd w:val="clear" w:color="auto" w:fill="CCEEFF"/>
          </w:tcPr>
          <w:p>
            <w:pPr>
              <w:jc w:val="right"/>
              <w:ind w:right="118"/>
              <w:spacing w:after="0" w:line="143" w:lineRule="exact"/>
              <w:rPr>
                <w:sz w:val="20"/>
                <w:szCs w:val="20"/>
                <w:color w:val="auto"/>
              </w:rPr>
            </w:pPr>
            <w:r>
              <w:rPr>
                <w:rFonts w:ascii="Arial" w:cs="Arial" w:eastAsia="Arial" w:hAnsi="Arial"/>
                <w:sz w:val="13"/>
                <w:szCs w:val="13"/>
                <w:color w:val="auto"/>
              </w:rPr>
              <w:t>1,341,955</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3,937,385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Total liabilities</w:t>
            </w: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36,011,933</w:t>
            </w:r>
          </w:p>
        </w:tc>
        <w:tc>
          <w:tcPr>
            <w:tcW w:w="1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15,469,550</w:t>
            </w:r>
          </w:p>
        </w:tc>
        <w:tc>
          <w:tcPr>
            <w:tcW w:w="1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28,566,865</w:t>
            </w:r>
          </w:p>
        </w:tc>
        <w:tc>
          <w:tcPr>
            <w:tcW w:w="1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56,867,332</w:t>
            </w:r>
          </w:p>
        </w:tc>
        <w:tc>
          <w:tcPr>
            <w:tcW w:w="16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17,331,068</w:t>
            </w:r>
          </w:p>
        </w:tc>
        <w:tc>
          <w:tcPr>
            <w:tcW w:w="16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4"/>
              </w:rPr>
              <w:t>154,246,748</w:t>
            </w:r>
          </w:p>
        </w:tc>
        <w:tc>
          <w:tcPr>
            <w:tcW w:w="1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35,069,382</w:t>
            </w:r>
          </w:p>
        </w:tc>
        <w:tc>
          <w:tcPr>
            <w:tcW w:w="16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12,890,565</w:t>
            </w:r>
          </w:p>
        </w:tc>
        <w:tc>
          <w:tcPr>
            <w:tcW w:w="16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26,556,691</w:t>
            </w:r>
          </w:p>
        </w:tc>
        <w:tc>
          <w:tcPr>
            <w:tcW w:w="16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54,823,319</w:t>
            </w:r>
          </w:p>
        </w:tc>
        <w:tc>
          <w:tcPr>
            <w:tcW w:w="1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5"/>
              </w:rPr>
              <w:t>19,261,822</w:t>
            </w:r>
          </w:p>
        </w:tc>
        <w:tc>
          <w:tcPr>
            <w:tcW w:w="16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6"/>
              </w:rPr>
              <w:t>148,601,779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60" w:type="dxa"/>
            <w:vAlign w:val="bottom"/>
          </w:tcPr>
          <w:p>
            <w:pPr>
              <w:spacing w:after="0" w:line="131" w:lineRule="exact"/>
              <w:rPr>
                <w:sz w:val="20"/>
                <w:szCs w:val="20"/>
                <w:color w:val="auto"/>
              </w:rPr>
            </w:pPr>
            <w:r>
              <w:rPr>
                <w:rFonts w:ascii="Arial" w:cs="Arial" w:eastAsia="Arial" w:hAnsi="Arial"/>
                <w:sz w:val="13"/>
                <w:szCs w:val="13"/>
                <w:b w:val="1"/>
                <w:bCs w:val="1"/>
                <w:color w:val="auto"/>
                <w:w w:val="99"/>
              </w:rPr>
              <w:t>Derivative financial liabilities -</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Contractual amounts receivable</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6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(Inflows)</w:t>
            </w: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1,537,102</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1,267,858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1,155,340</w:t>
            </w: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1,663,518</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1,058,385</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6,682,203</w:t>
            </w:r>
          </w:p>
        </w:tc>
        <w:tc>
          <w:tcPr>
            <w:tcW w:w="800" w:type="dxa"/>
            <w:vAlign w:val="bottom"/>
            <w:gridSpan w:val="2"/>
            <w:shd w:val="clear" w:color="auto" w:fill="CCEEFF"/>
          </w:tcPr>
          <w:p>
            <w:pPr>
              <w:jc w:val="right"/>
              <w:ind w:right="97"/>
              <w:spacing w:after="0" w:line="146" w:lineRule="exact"/>
              <w:rPr>
                <w:sz w:val="20"/>
                <w:szCs w:val="20"/>
                <w:color w:val="auto"/>
              </w:rPr>
            </w:pPr>
            <w:r>
              <w:rPr>
                <w:rFonts w:ascii="Arial" w:cs="Arial" w:eastAsia="Arial" w:hAnsi="Arial"/>
                <w:sz w:val="13"/>
                <w:szCs w:val="13"/>
                <w:color w:val="auto"/>
              </w:rPr>
              <w:t>150,149</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123,114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464,466</w:t>
            </w:r>
          </w:p>
        </w:tc>
        <w:tc>
          <w:tcPr>
            <w:tcW w:w="780" w:type="dxa"/>
            <w:vAlign w:val="bottom"/>
            <w:gridSpan w:val="2"/>
            <w:shd w:val="clear" w:color="auto" w:fill="CCEEFF"/>
          </w:tcPr>
          <w:p>
            <w:pPr>
              <w:jc w:val="right"/>
              <w:ind w:right="98"/>
              <w:spacing w:after="0" w:line="146" w:lineRule="exact"/>
              <w:rPr>
                <w:sz w:val="20"/>
                <w:szCs w:val="20"/>
                <w:color w:val="auto"/>
              </w:rPr>
            </w:pPr>
            <w:r>
              <w:rPr>
                <w:rFonts w:ascii="Arial" w:cs="Arial" w:eastAsia="Arial" w:hAnsi="Arial"/>
                <w:sz w:val="13"/>
                <w:szCs w:val="13"/>
                <w:color w:val="auto"/>
              </w:rPr>
              <w:t>1,770,499</w:t>
            </w:r>
          </w:p>
        </w:tc>
        <w:tc>
          <w:tcPr>
            <w:tcW w:w="800" w:type="dxa"/>
            <w:vAlign w:val="bottom"/>
            <w:gridSpan w:val="2"/>
            <w:shd w:val="clear" w:color="auto" w:fill="CCEEFF"/>
          </w:tcPr>
          <w:p>
            <w:pPr>
              <w:jc w:val="right"/>
              <w:ind w:right="118"/>
              <w:spacing w:after="0" w:line="146" w:lineRule="exact"/>
              <w:rPr>
                <w:sz w:val="20"/>
                <w:szCs w:val="20"/>
                <w:color w:val="auto"/>
              </w:rPr>
            </w:pPr>
            <w:r>
              <w:rPr>
                <w:rFonts w:ascii="Arial" w:cs="Arial" w:eastAsia="Arial" w:hAnsi="Arial"/>
                <w:sz w:val="13"/>
                <w:szCs w:val="13"/>
                <w:color w:val="auto"/>
              </w:rPr>
              <w:t>790,843</w:t>
            </w: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3,299,071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60" w:type="dxa"/>
            <w:vAlign w:val="bottom"/>
          </w:tcPr>
          <w:p>
            <w:pPr>
              <w:spacing w:after="0" w:line="114" w:lineRule="exact"/>
              <w:rPr>
                <w:sz w:val="20"/>
                <w:szCs w:val="20"/>
                <w:color w:val="auto"/>
              </w:rPr>
            </w:pPr>
            <w:r>
              <w:rPr>
                <w:rFonts w:ascii="Arial" w:cs="Arial" w:eastAsia="Arial" w:hAnsi="Arial"/>
                <w:sz w:val="13"/>
                <w:szCs w:val="13"/>
                <w:color w:val="auto"/>
              </w:rPr>
              <w:t>Contractual amounts payable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(outflows)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556,987</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274,168</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1,116,070</w:t>
            </w:r>
          </w:p>
        </w:tc>
        <w:tc>
          <w:tcPr>
            <w:tcW w:w="800" w:type="dxa"/>
            <w:vAlign w:val="bottom"/>
            <w:gridSpan w:val="2"/>
          </w:tcPr>
          <w:p>
            <w:pPr>
              <w:jc w:val="right"/>
              <w:ind w:right="118"/>
              <w:spacing w:after="0"/>
              <w:rPr>
                <w:sz w:val="20"/>
                <w:szCs w:val="20"/>
                <w:color w:val="auto"/>
              </w:rPr>
            </w:pPr>
            <w:r>
              <w:rPr>
                <w:rFonts w:ascii="Arial" w:cs="Arial" w:eastAsia="Arial" w:hAnsi="Arial"/>
                <w:sz w:val="13"/>
                <w:szCs w:val="13"/>
                <w:color w:val="auto"/>
              </w:rPr>
              <w:t>1,882,494</w:t>
            </w:r>
          </w:p>
        </w:tc>
        <w:tc>
          <w:tcPr>
            <w:tcW w:w="640" w:type="dxa"/>
            <w:vAlign w:val="bottom"/>
          </w:tcPr>
          <w:p>
            <w:pPr>
              <w:jc w:val="right"/>
              <w:spacing w:after="0"/>
              <w:rPr>
                <w:sz w:val="20"/>
                <w:szCs w:val="20"/>
                <w:color w:val="auto"/>
              </w:rPr>
            </w:pPr>
            <w:r>
              <w:rPr>
                <w:rFonts w:ascii="Arial" w:cs="Arial" w:eastAsia="Arial" w:hAnsi="Arial"/>
                <w:sz w:val="13"/>
                <w:szCs w:val="13"/>
                <w:color w:val="auto"/>
              </w:rPr>
              <w:t>1,104,179</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4,933,898</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1,117,375</w:t>
            </w:r>
          </w:p>
        </w:tc>
        <w:tc>
          <w:tcPr>
            <w:tcW w:w="800" w:type="dxa"/>
            <w:vAlign w:val="bottom"/>
            <w:gridSpan w:val="2"/>
          </w:tcPr>
          <w:p>
            <w:pPr>
              <w:jc w:val="right"/>
              <w:ind w:right="118"/>
              <w:spacing w:after="0"/>
              <w:rPr>
                <w:sz w:val="20"/>
                <w:szCs w:val="20"/>
                <w:color w:val="auto"/>
              </w:rPr>
            </w:pPr>
            <w:r>
              <w:rPr>
                <w:rFonts w:ascii="Arial" w:cs="Arial" w:eastAsia="Arial" w:hAnsi="Arial"/>
                <w:sz w:val="13"/>
                <w:szCs w:val="13"/>
                <w:color w:val="auto"/>
              </w:rPr>
              <w:t>362,073</w:t>
            </w:r>
          </w:p>
        </w:tc>
        <w:tc>
          <w:tcPr>
            <w:tcW w:w="800" w:type="dxa"/>
            <w:vAlign w:val="bottom"/>
            <w:gridSpan w:val="2"/>
          </w:tcPr>
          <w:p>
            <w:pPr>
              <w:jc w:val="right"/>
              <w:ind w:right="118"/>
              <w:spacing w:after="0"/>
              <w:rPr>
                <w:sz w:val="20"/>
                <w:szCs w:val="20"/>
                <w:color w:val="auto"/>
              </w:rPr>
            </w:pPr>
            <w:r>
              <w:rPr>
                <w:rFonts w:ascii="Arial" w:cs="Arial" w:eastAsia="Arial" w:hAnsi="Arial"/>
                <w:sz w:val="13"/>
                <w:szCs w:val="13"/>
                <w:color w:val="auto"/>
              </w:rPr>
              <w:t>628,800</w:t>
            </w: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1,791,667</w:t>
            </w:r>
          </w:p>
        </w:tc>
        <w:tc>
          <w:tcPr>
            <w:tcW w:w="800" w:type="dxa"/>
            <w:vAlign w:val="bottom"/>
            <w:gridSpan w:val="2"/>
          </w:tcPr>
          <w:p>
            <w:pPr>
              <w:jc w:val="right"/>
              <w:ind w:right="118"/>
              <w:spacing w:after="0"/>
              <w:rPr>
                <w:sz w:val="20"/>
                <w:szCs w:val="20"/>
                <w:color w:val="auto"/>
              </w:rPr>
            </w:pPr>
            <w:r>
              <w:rPr>
                <w:rFonts w:ascii="Arial" w:cs="Arial" w:eastAsia="Arial" w:hAnsi="Arial"/>
                <w:sz w:val="13"/>
                <w:szCs w:val="13"/>
                <w:color w:val="auto"/>
              </w:rPr>
              <w:t>862,514</w:t>
            </w:r>
          </w:p>
        </w:tc>
        <w:tc>
          <w:tcPr>
            <w:tcW w:w="720" w:type="dxa"/>
            <w:vAlign w:val="bottom"/>
          </w:tcPr>
          <w:p>
            <w:pPr>
              <w:jc w:val="right"/>
              <w:spacing w:after="0"/>
              <w:rPr>
                <w:sz w:val="20"/>
                <w:szCs w:val="20"/>
                <w:color w:val="auto"/>
              </w:rPr>
            </w:pPr>
            <w:r>
              <w:rPr>
                <w:rFonts w:ascii="Arial" w:cs="Arial" w:eastAsia="Arial" w:hAnsi="Arial"/>
                <w:sz w:val="13"/>
                <w:szCs w:val="13"/>
                <w:color w:val="auto"/>
              </w:rPr>
              <w:t>4,762,429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 liabilities</w:t>
            </w: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980,115</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993,690</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39,270</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(218,976</w:t>
            </w:r>
          </w:p>
        </w:tc>
        <w:tc>
          <w:tcPr>
            <w:tcW w:w="16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(45,794</w:t>
            </w:r>
          </w:p>
        </w:tc>
        <w:tc>
          <w:tcPr>
            <w:tcW w:w="16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1,748,305</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(967,226</w:t>
            </w:r>
          </w:p>
        </w:tc>
        <w:tc>
          <w:tcPr>
            <w:tcW w:w="160" w:type="dxa"/>
            <w:vAlign w:val="bottom"/>
            <w:tcBorders>
              <w:top w:val="single" w:sz="8" w:color="CCEEFF"/>
            </w:tcBorders>
            <w:shd w:val="clear" w:color="auto" w:fill="CCEEFF"/>
          </w:tcPr>
          <w:p>
            <w:pPr>
              <w:jc w:val="right"/>
              <w:ind w:right="37"/>
              <w:spacing w:after="0" w:line="123" w:lineRule="exact"/>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(238,959</w:t>
            </w:r>
          </w:p>
        </w:tc>
        <w:tc>
          <w:tcPr>
            <w:tcW w:w="16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(164,334</w:t>
            </w:r>
          </w:p>
        </w:tc>
        <w:tc>
          <w:tcPr>
            <w:tcW w:w="16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(21,168</w:t>
            </w:r>
          </w:p>
        </w:tc>
        <w:tc>
          <w:tcPr>
            <w:tcW w:w="140" w:type="dxa"/>
            <w:vAlign w:val="bottom"/>
            <w:tcBorders>
              <w:top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(71,671</w:t>
            </w:r>
          </w:p>
        </w:tc>
        <w:tc>
          <w:tcPr>
            <w:tcW w:w="16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(1,463,358</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40"/>
          </w:cols>
          <w:pgMar w:left="240" w:top="815" w:right="21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b w:val="1"/>
          <w:bCs w:val="1"/>
          <w:color w:val="auto"/>
        </w:rPr>
        <w:t>33.4 Operational risk -</w:t>
      </w:r>
    </w:p>
    <w:p>
      <w:pPr>
        <w:spacing w:after="0" w:line="199" w:lineRule="exact"/>
        <w:rPr>
          <w:sz w:val="20"/>
          <w:szCs w:val="20"/>
          <w:color w:val="auto"/>
        </w:rPr>
      </w:pPr>
    </w:p>
    <w:p>
      <w:pPr>
        <w:ind w:left="380" w:right="100"/>
        <w:spacing w:after="0" w:line="342" w:lineRule="auto"/>
        <w:rPr>
          <w:sz w:val="20"/>
          <w:szCs w:val="20"/>
          <w:color w:val="auto"/>
        </w:rPr>
      </w:pPr>
      <w:r>
        <w:rPr>
          <w:rFonts w:ascii="Arial" w:cs="Arial" w:eastAsia="Arial" w:hAnsi="Arial"/>
          <w:sz w:val="14"/>
          <w:szCs w:val="14"/>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w:t>
      </w:r>
    </w:p>
    <w:p>
      <w:pPr>
        <w:spacing w:after="0" w:line="110" w:lineRule="exact"/>
        <w:rPr>
          <w:sz w:val="20"/>
          <w:szCs w:val="20"/>
          <w:color w:val="auto"/>
        </w:rPr>
      </w:pPr>
    </w:p>
    <w:p>
      <w:pPr>
        <w:ind w:left="380" w:right="520"/>
        <w:spacing w:after="0" w:line="303" w:lineRule="auto"/>
        <w:rPr>
          <w:sz w:val="20"/>
          <w:szCs w:val="20"/>
          <w:color w:val="auto"/>
        </w:rPr>
      </w:pPr>
      <w:r>
        <w:rPr>
          <w:rFonts w:ascii="Arial" w:cs="Arial" w:eastAsia="Arial" w:hAnsi="Arial"/>
          <w:sz w:val="15"/>
          <w:szCs w:val="15"/>
          <w:color w:val="auto"/>
        </w:rPr>
        <w:t>Operational risks are grouped into internal fraud, external fraud, labor relations and job security, relations with customers, business products and practices, damages to material assets, business and systems interruption, and failures in process execution, delivery and management of processes.</w:t>
      </w:r>
    </w:p>
    <w:p>
      <w:pPr>
        <w:spacing w:after="0" w:line="133" w:lineRule="exact"/>
        <w:rPr>
          <w:sz w:val="20"/>
          <w:szCs w:val="20"/>
          <w:color w:val="auto"/>
        </w:rPr>
      </w:pPr>
    </w:p>
    <w:p>
      <w:pPr>
        <w:ind w:left="380" w:right="220"/>
        <w:spacing w:after="0" w:line="269" w:lineRule="auto"/>
        <w:rPr>
          <w:sz w:val="20"/>
          <w:szCs w:val="20"/>
          <w:color w:val="auto"/>
        </w:rPr>
      </w:pPr>
      <w:r>
        <w:rPr>
          <w:rFonts w:ascii="Arial" w:cs="Arial" w:eastAsia="Arial" w:hAnsi="Arial"/>
          <w:sz w:val="16"/>
          <w:szCs w:val="16"/>
          <w:color w:val="auto"/>
        </w:rPr>
        <w:t>One of the Group’s pillars, is to develop an efficient risk culture, and to achieve this, it records operational risks and their respective process controls. The risk map permits their monitoring, prioritization and proposed treatment according to established governance.</w:t>
      </w:r>
    </w:p>
    <w:p>
      <w:pPr>
        <w:spacing w:after="0" w:line="157" w:lineRule="exact"/>
        <w:rPr>
          <w:sz w:val="20"/>
          <w:szCs w:val="20"/>
          <w:color w:val="auto"/>
        </w:rPr>
      </w:pPr>
    </w:p>
    <w:p>
      <w:pPr>
        <w:ind w:left="380" w:right="340"/>
        <w:spacing w:after="0" w:line="258" w:lineRule="auto"/>
        <w:rPr>
          <w:sz w:val="20"/>
          <w:szCs w:val="20"/>
          <w:color w:val="auto"/>
        </w:rPr>
      </w:pPr>
      <w:r>
        <w:rPr>
          <w:rFonts w:ascii="Arial" w:cs="Arial" w:eastAsia="Arial" w:hAnsi="Arial"/>
          <w:sz w:val="16"/>
          <w:szCs w:val="16"/>
          <w:color w:val="auto"/>
        </w:rPr>
        <w:t>The business continuity management system enables the establishing, implementing, operating, monitoring, reviewing, maintaining and improving of business continuity based on best practices and regulatory requirements. The Group implements recovery strategies for the resources that support important products and services of the organization, which will be periodically tested to measure the effectiveness of the strategy.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the management of operational risk and business continuity, corporate guidelines are used and methodologies and best practices are shared among the Group's companies.</w:t>
      </w:r>
    </w:p>
    <w:p>
      <w:pPr>
        <w:spacing w:after="0" w:line="218" w:lineRule="exact"/>
        <w:rPr>
          <w:sz w:val="20"/>
          <w:szCs w:val="20"/>
          <w:color w:val="auto"/>
        </w:rPr>
      </w:pPr>
    </w:p>
    <w:p>
      <w:pPr>
        <w:ind w:left="380"/>
        <w:spacing w:after="0" w:line="258" w:lineRule="auto"/>
        <w:rPr>
          <w:sz w:val="20"/>
          <w:szCs w:val="20"/>
          <w:color w:val="auto"/>
        </w:rPr>
      </w:pPr>
      <w:r>
        <w:rPr>
          <w:rFonts w:ascii="Arial" w:cs="Arial" w:eastAsia="Arial" w:hAnsi="Arial"/>
          <w:sz w:val="16"/>
          <w:szCs w:val="16"/>
          <w:color w:val="auto"/>
        </w:rPr>
        <w:t>The management of information security is carried out through a systemic process, documented and known by the entire organization under the best practices and regulatory requirements. The Group designs and develops the guidelines described in the policy and procedures to have strategies for availability, privacy and integrity of the information assets of the organization.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33.5 Risk of the insurance activity -</w:t>
      </w:r>
    </w:p>
    <w:p>
      <w:pPr>
        <w:spacing w:after="0" w:line="199" w:lineRule="exact"/>
        <w:rPr>
          <w:sz w:val="20"/>
          <w:szCs w:val="20"/>
          <w:color w:val="auto"/>
        </w:rPr>
      </w:pPr>
    </w:p>
    <w:p>
      <w:pPr>
        <w:jc w:val="both"/>
        <w:ind w:left="380" w:right="160"/>
        <w:spacing w:after="0" w:line="258" w:lineRule="auto"/>
        <w:rPr>
          <w:sz w:val="20"/>
          <w:szCs w:val="20"/>
          <w:color w:val="auto"/>
        </w:rPr>
      </w:pPr>
      <w:r>
        <w:rPr>
          <w:rFonts w:ascii="Arial" w:cs="Arial" w:eastAsia="Arial" w:hAnsi="Arial"/>
          <w:sz w:val="16"/>
          <w:szCs w:val="16"/>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65" w:lineRule="exact"/>
        <w:rPr>
          <w:sz w:val="20"/>
          <w:szCs w:val="20"/>
          <w:color w:val="auto"/>
        </w:rPr>
      </w:pPr>
    </w:p>
    <w:p>
      <w:pPr>
        <w:ind w:left="380" w:right="220"/>
        <w:spacing w:after="0" w:line="283" w:lineRule="auto"/>
        <w:rPr>
          <w:sz w:val="20"/>
          <w:szCs w:val="20"/>
          <w:color w:val="auto"/>
        </w:rPr>
      </w:pPr>
      <w:r>
        <w:rPr>
          <w:rFonts w:ascii="Arial" w:cs="Arial" w:eastAsia="Arial" w:hAnsi="Arial"/>
          <w:sz w:val="15"/>
          <w:szCs w:val="15"/>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Life insurance contracts -</w:t>
      </w:r>
    </w:p>
    <w:p>
      <w:pPr>
        <w:spacing w:after="0" w:line="195" w:lineRule="exact"/>
        <w:rPr>
          <w:sz w:val="20"/>
          <w:szCs w:val="20"/>
          <w:color w:val="auto"/>
        </w:rPr>
      </w:pPr>
    </w:p>
    <w:p>
      <w:pPr>
        <w:ind w:left="380" w:right="20"/>
        <w:spacing w:after="0" w:line="258" w:lineRule="auto"/>
        <w:rPr>
          <w:sz w:val="20"/>
          <w:szCs w:val="20"/>
          <w:color w:val="auto"/>
        </w:rPr>
      </w:pPr>
      <w:r>
        <w:rPr>
          <w:rFonts w:ascii="Arial" w:cs="Arial" w:eastAsia="Arial" w:hAnsi="Arial"/>
          <w:sz w:val="16"/>
          <w:szCs w:val="16"/>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65" w:lineRule="exact"/>
        <w:rPr>
          <w:sz w:val="20"/>
          <w:szCs w:val="20"/>
          <w:color w:val="auto"/>
        </w:rPr>
      </w:pPr>
    </w:p>
    <w:p>
      <w:pPr>
        <w:ind w:left="380" w:right="20"/>
        <w:spacing w:after="0" w:line="302" w:lineRule="auto"/>
        <w:rPr>
          <w:sz w:val="20"/>
          <w:szCs w:val="20"/>
          <w:color w:val="auto"/>
        </w:rPr>
      </w:pPr>
      <w:r>
        <w:rPr>
          <w:rFonts w:ascii="Arial" w:cs="Arial" w:eastAsia="Arial" w:hAnsi="Arial"/>
          <w:sz w:val="14"/>
          <w:szCs w:val="14"/>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161" w:name="page162"/>
    <w:bookmarkEnd w:id="161"/>
    <w:p>
      <w:pPr>
        <w:ind w:left="6" w:right="380"/>
        <w:spacing w:after="0" w:line="269" w:lineRule="auto"/>
        <w:rPr>
          <w:sz w:val="20"/>
          <w:szCs w:val="20"/>
          <w:color w:val="auto"/>
        </w:rPr>
      </w:pPr>
      <w:r>
        <w:rPr>
          <w:rFonts w:ascii="Arial" w:cs="Arial" w:eastAsia="Arial" w:hAnsi="Arial"/>
          <w:sz w:val="16"/>
          <w:szCs w:val="16"/>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57" w:lineRule="exact"/>
        <w:rPr>
          <w:sz w:val="20"/>
          <w:szCs w:val="20"/>
          <w:color w:val="auto"/>
        </w:rPr>
      </w:pPr>
    </w:p>
    <w:p>
      <w:pPr>
        <w:ind w:left="6" w:right="520"/>
        <w:spacing w:after="0" w:line="269" w:lineRule="auto"/>
        <w:rPr>
          <w:sz w:val="20"/>
          <w:szCs w:val="20"/>
          <w:color w:val="auto"/>
        </w:rPr>
      </w:pPr>
      <w:r>
        <w:rPr>
          <w:rFonts w:ascii="Arial" w:cs="Arial" w:eastAsia="Arial" w:hAnsi="Arial"/>
          <w:sz w:val="16"/>
          <w:szCs w:val="16"/>
          <w:color w:val="auto"/>
        </w:rPr>
        <w:t>For retirement, survival and disability annuities contracts, the most significant factor is continuing improvement in medical science and social conditions that increase longevity.</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color w:val="auto"/>
        </w:rPr>
        <w:t>Management has performed a sensitivity analysis of the technical reserve estimates, Note 15(c).</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Non-life insurance contracts (general insurance and healthcare) -</w:t>
      </w:r>
    </w:p>
    <w:p>
      <w:pPr>
        <w:spacing w:after="0" w:line="195" w:lineRule="exact"/>
        <w:rPr>
          <w:sz w:val="20"/>
          <w:szCs w:val="20"/>
          <w:color w:val="auto"/>
        </w:rPr>
      </w:pPr>
    </w:p>
    <w:p>
      <w:pPr>
        <w:ind w:left="6" w:right="320"/>
        <w:spacing w:after="0" w:line="269" w:lineRule="auto"/>
        <w:rPr>
          <w:sz w:val="20"/>
          <w:szCs w:val="20"/>
          <w:color w:val="auto"/>
        </w:rPr>
      </w:pPr>
      <w:r>
        <w:rPr>
          <w:rFonts w:ascii="Arial" w:cs="Arial" w:eastAsia="Arial" w:hAnsi="Arial"/>
          <w:sz w:val="16"/>
          <w:szCs w:val="16"/>
          <w:color w:val="auto"/>
        </w:rPr>
        <w:t>The Group mainly issues the following types of non-life general insurance contracts: automobile, home, business and healthcare insurances. Healthcare contracts provide medical expense cover to policyholders. Risks under non-life insurance policies usually cover 12 months.</w:t>
      </w:r>
    </w:p>
    <w:p>
      <w:pPr>
        <w:spacing w:after="0" w:line="157" w:lineRule="exact"/>
        <w:rPr>
          <w:sz w:val="20"/>
          <w:szCs w:val="20"/>
          <w:color w:val="auto"/>
        </w:rPr>
      </w:pPr>
    </w:p>
    <w:p>
      <w:pPr>
        <w:ind w:left="6"/>
        <w:spacing w:after="0" w:line="269" w:lineRule="auto"/>
        <w:rPr>
          <w:sz w:val="20"/>
          <w:szCs w:val="20"/>
          <w:color w:val="auto"/>
        </w:rPr>
      </w:pPr>
      <w:r>
        <w:rPr>
          <w:rFonts w:ascii="Arial" w:cs="Arial" w:eastAsia="Arial" w:hAnsi="Arial"/>
          <w:sz w:val="16"/>
          <w:szCs w:val="16"/>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color w:val="auto"/>
        </w:rPr>
        <w:t>Most of these risks do not vary significantly in relation to the location of the risk insured by the Group, type of risk insured or industry.</w:t>
      </w:r>
    </w:p>
    <w:p>
      <w:pPr>
        <w:spacing w:after="0" w:line="195" w:lineRule="exact"/>
        <w:rPr>
          <w:sz w:val="20"/>
          <w:szCs w:val="20"/>
          <w:color w:val="auto"/>
        </w:rPr>
      </w:pPr>
    </w:p>
    <w:p>
      <w:pPr>
        <w:ind w:left="6" w:right="20"/>
        <w:spacing w:after="0" w:line="271" w:lineRule="auto"/>
        <w:rPr>
          <w:sz w:val="20"/>
          <w:szCs w:val="20"/>
          <w:color w:val="auto"/>
        </w:rPr>
      </w:pPr>
      <w:r>
        <w:rPr>
          <w:rFonts w:ascii="Arial" w:cs="Arial" w:eastAsia="Arial" w:hAnsi="Arial"/>
          <w:sz w:val="15"/>
          <w:szCs w:val="15"/>
          <w:color w:val="auto"/>
        </w:rPr>
        <w:t>The above risk exposures are mitigated by diversification across a large portfolio of insurance contracts. The variability of risk is improved by careful selection and implementation of underwriting strategies, which are designed to ensure that risks are diversified in terms of type of risks and level of insured benefits. This is achieved, in various cases, through diversification across industry sectors and geography. Furthermore,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59" w:lineRule="exact"/>
        <w:rPr>
          <w:sz w:val="20"/>
          <w:szCs w:val="20"/>
          <w:color w:val="auto"/>
        </w:rPr>
      </w:pPr>
    </w:p>
    <w:p>
      <w:pPr>
        <w:ind w:left="6" w:right="580"/>
        <w:spacing w:after="0" w:line="269" w:lineRule="auto"/>
        <w:rPr>
          <w:sz w:val="20"/>
          <w:szCs w:val="20"/>
          <w:color w:val="auto"/>
        </w:rPr>
      </w:pPr>
      <w:r>
        <w:rPr>
          <w:rFonts w:ascii="Arial" w:cs="Arial" w:eastAsia="Arial" w:hAnsi="Arial"/>
          <w:sz w:val="16"/>
          <w:szCs w:val="16"/>
          <w:color w:val="auto"/>
        </w:rPr>
        <w:t>The Group has also limited its exposure by imposing maximum claim amounts on certain contracts as well as the use of reinsurance arrangements in order to limit its exposure to catastrophic events.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color w:val="auto"/>
        </w:rPr>
        <w:t>Credit risk of the insurance activity –</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Credit risk is the risk that one party to a financial instrument will cause a financial loss to the other party by failing to discharge an obligation at maturity.</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policies and procedures are in place to mitigate the Group’s exposure to credit risk:</w:t>
      </w:r>
    </w:p>
    <w:p>
      <w:pPr>
        <w:spacing w:after="0" w:line="195" w:lineRule="exact"/>
        <w:rPr>
          <w:sz w:val="20"/>
          <w:szCs w:val="20"/>
          <w:color w:val="auto"/>
        </w:rPr>
      </w:pPr>
    </w:p>
    <w:p>
      <w:pPr>
        <w:ind w:left="86" w:hanging="86"/>
        <w:spacing w:after="0"/>
        <w:tabs>
          <w:tab w:leader="none" w:pos="8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Group sets the maximum amounts and limits that may be granted to corporate counterparties according to their long- term credit ratings.</w:t>
      </w:r>
    </w:p>
    <w:p>
      <w:pPr>
        <w:spacing w:after="0" w:line="195" w:lineRule="exact"/>
        <w:rPr>
          <w:rFonts w:ascii="Arial" w:cs="Arial" w:eastAsia="Arial" w:hAnsi="Arial"/>
          <w:sz w:val="16"/>
          <w:szCs w:val="16"/>
          <w:color w:val="auto"/>
        </w:rPr>
      </w:pPr>
    </w:p>
    <w:p>
      <w:pPr>
        <w:ind w:left="6" w:right="600" w:hanging="6"/>
        <w:spacing w:after="0" w:line="303" w:lineRule="auto"/>
        <w:tabs>
          <w:tab w:leader="none" w:pos="98" w:val="left"/>
        </w:tabs>
        <w:numPr>
          <w:ilvl w:val="0"/>
          <w:numId w:val="181"/>
        </w:numPr>
        <w:rPr>
          <w:rFonts w:ascii="Arial" w:cs="Arial" w:eastAsia="Arial" w:hAnsi="Arial"/>
          <w:sz w:val="15"/>
          <w:szCs w:val="15"/>
          <w:color w:val="auto"/>
        </w:rPr>
      </w:pPr>
      <w:r>
        <w:rPr>
          <w:rFonts w:ascii="Arial" w:cs="Arial" w:eastAsia="Arial" w:hAnsi="Arial"/>
          <w:sz w:val="15"/>
          <w:szCs w:val="15"/>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323" w:lineRule="exact"/>
        <w:rPr>
          <w:rFonts w:ascii="Arial" w:cs="Arial" w:eastAsia="Arial" w:hAnsi="Arial"/>
          <w:sz w:val="15"/>
          <w:szCs w:val="15"/>
          <w:color w:val="auto"/>
        </w:rPr>
      </w:pPr>
    </w:p>
    <w:p>
      <w:pPr>
        <w:ind w:left="5226" w:hanging="91"/>
        <w:spacing w:after="0"/>
        <w:tabs>
          <w:tab w:leader="none" w:pos="522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11430</wp:posOffset>
            </wp:positionV>
            <wp:extent cx="726313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026"/>
          </w:cols>
          <w:pgMar w:left="614" w:top="815" w:right="259" w:bottom="1440" w:gutter="0" w:footer="0" w:header="0"/>
        </w:sectPr>
      </w:pPr>
    </w:p>
    <w:bookmarkStart w:id="162" w:name="page163"/>
    <w:bookmarkEnd w:id="162"/>
    <w:p>
      <w:pPr>
        <w:jc w:val="both"/>
        <w:ind w:left="380" w:right="380" w:hanging="6"/>
        <w:spacing w:after="0" w:line="312" w:lineRule="auto"/>
        <w:tabs>
          <w:tab w:leader="none" w:pos="472" w:val="left"/>
        </w:tabs>
        <w:numPr>
          <w:ilvl w:val="0"/>
          <w:numId w:val="182"/>
        </w:numPr>
        <w:rPr>
          <w:rFonts w:ascii="Arial" w:cs="Arial" w:eastAsia="Arial" w:hAnsi="Arial"/>
          <w:sz w:val="14"/>
          <w:szCs w:val="14"/>
          <w:color w:val="auto"/>
        </w:rPr>
      </w:pPr>
      <w:r>
        <w:rPr>
          <w:rFonts w:ascii="Arial" w:cs="Arial" w:eastAsia="Arial" w:hAnsi="Arial"/>
          <w:sz w:val="14"/>
          <w:szCs w:val="14"/>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determining whether the need exists to establish an allowance for impairment.</w:t>
      </w:r>
    </w:p>
    <w:p>
      <w:pPr>
        <w:spacing w:after="0" w:line="130" w:lineRule="exact"/>
        <w:rPr>
          <w:rFonts w:ascii="Arial" w:cs="Arial" w:eastAsia="Arial" w:hAnsi="Arial"/>
          <w:sz w:val="14"/>
          <w:szCs w:val="14"/>
          <w:color w:val="auto"/>
        </w:rPr>
      </w:pPr>
    </w:p>
    <w:p>
      <w:pPr>
        <w:ind w:left="380" w:right="560" w:hanging="6"/>
        <w:spacing w:after="0" w:line="303" w:lineRule="auto"/>
        <w:tabs>
          <w:tab w:leader="none" w:pos="47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33" w:lineRule="exact"/>
        <w:rPr>
          <w:rFonts w:ascii="Arial" w:cs="Arial" w:eastAsia="Arial" w:hAnsi="Arial"/>
          <w:sz w:val="15"/>
          <w:szCs w:val="15"/>
          <w:color w:val="auto"/>
        </w:rPr>
      </w:pPr>
    </w:p>
    <w:p>
      <w:pPr>
        <w:jc w:val="both"/>
        <w:ind w:left="380" w:right="340" w:hanging="6"/>
        <w:spacing w:after="0" w:line="258" w:lineRule="auto"/>
        <w:tabs>
          <w:tab w:leader="none" w:pos="47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Group issues Investment Link life insurance contracts whereby the policyholder bears the investment risk on the financial assets held in the Company’s investment portfolio as the policy benefits are directly linked to the value of the assets in the portfolio. Therefore, the Group has no material credit risk on Investment Link financial assets.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33.6 Capital management -</w:t>
      </w:r>
    </w:p>
    <w:p>
      <w:pPr>
        <w:spacing w:after="0" w:line="199" w:lineRule="exact"/>
        <w:rPr>
          <w:sz w:val="20"/>
          <w:szCs w:val="20"/>
          <w:color w:val="auto"/>
        </w:rPr>
      </w:pPr>
    </w:p>
    <w:p>
      <w:pPr>
        <w:ind w:left="380" w:right="60"/>
        <w:spacing w:after="0" w:line="277" w:lineRule="auto"/>
        <w:rPr>
          <w:sz w:val="20"/>
          <w:szCs w:val="20"/>
          <w:color w:val="auto"/>
        </w:rPr>
      </w:pPr>
      <w:r>
        <w:rPr>
          <w:rFonts w:ascii="Arial" w:cs="Arial" w:eastAsia="Arial" w:hAnsi="Arial"/>
          <w:sz w:val="15"/>
          <w:szCs w:val="15"/>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52" w:lineRule="exact"/>
        <w:rPr>
          <w:sz w:val="20"/>
          <w:szCs w:val="20"/>
          <w:color w:val="auto"/>
        </w:rPr>
      </w:pPr>
    </w:p>
    <w:p>
      <w:pPr>
        <w:ind w:left="380" w:right="100"/>
        <w:spacing w:after="0" w:line="312" w:lineRule="auto"/>
        <w:rPr>
          <w:sz w:val="20"/>
          <w:szCs w:val="20"/>
          <w:color w:val="auto"/>
        </w:rPr>
      </w:pPr>
      <w:r>
        <w:rPr>
          <w:rFonts w:ascii="Arial" w:cs="Arial" w:eastAsia="Arial" w:hAnsi="Arial"/>
          <w:sz w:val="14"/>
          <w:szCs w:val="14"/>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31" w:lineRule="exact"/>
        <w:rPr>
          <w:sz w:val="20"/>
          <w:szCs w:val="20"/>
          <w:color w:val="auto"/>
        </w:rPr>
      </w:pPr>
    </w:p>
    <w:p>
      <w:pPr>
        <w:ind w:left="380"/>
        <w:spacing w:after="0" w:line="254" w:lineRule="auto"/>
        <w:rPr>
          <w:sz w:val="20"/>
          <w:szCs w:val="20"/>
          <w:color w:val="auto"/>
        </w:rPr>
      </w:pPr>
      <w:r>
        <w:rPr>
          <w:rFonts w:ascii="Arial" w:cs="Arial" w:eastAsia="Arial" w:hAnsi="Arial"/>
          <w:sz w:val="16"/>
          <w:szCs w:val="16"/>
          <w:color w:val="auto"/>
        </w:rPr>
        <w:t>As of December 31, 2018 and 2017, the regulatory capital for the subsidiaries engaged in financial and insurance activities amounted to approximately S/25,063.9 million and S/21,723 million, respectively. The regulatory capital has been determined in accordance with SBS regulations in force as of said dates. Under the SBS regulations, the Group’s regulatory capital exceeds by approximately S/4,658.1 million the minimum regulatory capital required as of December 31, 2018 (approximately S/3,710.3 million as of December 31, 2017).</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00"/>
          </w:cols>
          <w:pgMar w:left="240" w:top="815" w:right="25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b w:val="1"/>
          <w:bCs w:val="1"/>
          <w:color w:val="auto"/>
        </w:rPr>
        <w:t>33.7 Fair values -</w:t>
      </w:r>
    </w:p>
    <w:p>
      <w:pPr>
        <w:spacing w:after="0" w:line="199" w:lineRule="exact"/>
        <w:rPr>
          <w:sz w:val="20"/>
          <w:szCs w:val="20"/>
          <w:color w:val="auto"/>
        </w:rPr>
      </w:pPr>
    </w:p>
    <w:p>
      <w:pPr>
        <w:ind w:left="560" w:hanging="281"/>
        <w:spacing w:after="0"/>
        <w:tabs>
          <w:tab w:leader="none" w:pos="5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Financial instruments recorded at fair value and fair value hierarchy -</w:t>
      </w:r>
    </w:p>
    <w:p>
      <w:pPr>
        <w:spacing w:after="0" w:line="195" w:lineRule="exact"/>
        <w:rPr>
          <w:rFonts w:ascii="Arial" w:cs="Arial" w:eastAsia="Arial" w:hAnsi="Arial"/>
          <w:sz w:val="16"/>
          <w:szCs w:val="16"/>
          <w:color w:val="auto"/>
        </w:rPr>
      </w:pPr>
    </w:p>
    <w:p>
      <w:pPr>
        <w:ind w:left="560"/>
        <w:spacing w:after="0" w:line="303" w:lineRule="auto"/>
        <w:rPr>
          <w:rFonts w:ascii="Arial" w:cs="Arial" w:eastAsia="Arial" w:hAnsi="Arial"/>
          <w:sz w:val="16"/>
          <w:szCs w:val="16"/>
          <w:color w:val="auto"/>
        </w:rPr>
      </w:pPr>
      <w:r>
        <w:rPr>
          <w:rFonts w:ascii="Arial" w:cs="Arial" w:eastAsia="Arial" w:hAnsi="Arial"/>
          <w:sz w:val="15"/>
          <w:szCs w:val="15"/>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26"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4560" w:type="dxa"/>
            <w:vAlign w:val="bottom"/>
          </w:tcPr>
          <w:p>
            <w:pPr>
              <w:spacing w:after="0"/>
              <w:rPr>
                <w:sz w:val="13"/>
                <w:szCs w:val="13"/>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Note</w:t>
            </w: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As of December 31, 2018</w:t>
            </w: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60" w:type="dxa"/>
            <w:vAlign w:val="bottom"/>
            <w:gridSpan w:val="2"/>
          </w:tcPr>
          <w:p>
            <w:pPr>
              <w:jc w:val="right"/>
              <w:ind w:right="440"/>
              <w:spacing w:after="0" w:line="123" w:lineRule="exact"/>
              <w:rPr>
                <w:sz w:val="20"/>
                <w:szCs w:val="20"/>
                <w:color w:val="auto"/>
              </w:rPr>
            </w:pPr>
            <w:r>
              <w:rPr>
                <w:rFonts w:ascii="Arial" w:cs="Arial" w:eastAsia="Arial" w:hAnsi="Arial"/>
                <w:sz w:val="13"/>
                <w:szCs w:val="13"/>
                <w:b w:val="1"/>
                <w:bCs w:val="1"/>
                <w:color w:val="auto"/>
              </w:rPr>
              <w:t>Level 1</w:t>
            </w:r>
          </w:p>
        </w:tc>
        <w:tc>
          <w:tcPr>
            <w:tcW w:w="1060" w:type="dxa"/>
            <w:vAlign w:val="bottom"/>
            <w:gridSpan w:val="2"/>
          </w:tcPr>
          <w:p>
            <w:pPr>
              <w:jc w:val="right"/>
              <w:ind w:right="440"/>
              <w:spacing w:after="0" w:line="123" w:lineRule="exact"/>
              <w:rPr>
                <w:sz w:val="20"/>
                <w:szCs w:val="20"/>
                <w:color w:val="auto"/>
              </w:rPr>
            </w:pPr>
            <w:r>
              <w:rPr>
                <w:rFonts w:ascii="Arial" w:cs="Arial" w:eastAsia="Arial" w:hAnsi="Arial"/>
                <w:sz w:val="13"/>
                <w:szCs w:val="13"/>
                <w:b w:val="1"/>
                <w:bCs w:val="1"/>
                <w:color w:val="auto"/>
              </w:rPr>
              <w:t>Level 2</w:t>
            </w:r>
          </w:p>
        </w:tc>
        <w:tc>
          <w:tcPr>
            <w:tcW w:w="1040" w:type="dxa"/>
            <w:vAlign w:val="bottom"/>
            <w:gridSpan w:val="2"/>
          </w:tcPr>
          <w:p>
            <w:pPr>
              <w:ind w:left="240"/>
              <w:spacing w:after="0" w:line="123" w:lineRule="exact"/>
              <w:rPr>
                <w:sz w:val="20"/>
                <w:szCs w:val="20"/>
                <w:color w:val="auto"/>
              </w:rPr>
            </w:pPr>
            <w:r>
              <w:rPr>
                <w:rFonts w:ascii="Arial" w:cs="Arial" w:eastAsia="Arial" w:hAnsi="Arial"/>
                <w:sz w:val="13"/>
                <w:szCs w:val="13"/>
                <w:b w:val="1"/>
                <w:bCs w:val="1"/>
                <w:color w:val="auto"/>
              </w:rPr>
              <w:t>Level 3</w:t>
            </w:r>
          </w:p>
        </w:tc>
        <w:tc>
          <w:tcPr>
            <w:tcW w:w="880" w:type="dxa"/>
            <w:vAlign w:val="bottom"/>
          </w:tcPr>
          <w:p>
            <w:pPr>
              <w:jc w:val="right"/>
              <w:ind w:right="237"/>
              <w:spacing w:after="0" w:line="123" w:lineRule="exact"/>
              <w:rPr>
                <w:sz w:val="20"/>
                <w:szCs w:val="20"/>
                <w:color w:val="auto"/>
              </w:rPr>
            </w:pPr>
            <w:r>
              <w:rPr>
                <w:rFonts w:ascii="Arial" w:cs="Arial" w:eastAsia="Arial" w:hAnsi="Arial"/>
                <w:sz w:val="13"/>
                <w:szCs w:val="13"/>
                <w:b w:val="1"/>
                <w:bCs w:val="1"/>
                <w:color w:val="auto"/>
              </w:rPr>
              <w:t>Total</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tcPr>
          <w:p>
            <w:pPr>
              <w:jc w:val="right"/>
              <w:ind w:right="177"/>
              <w:spacing w:after="0" w:line="123"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ind w:right="177"/>
              <w:spacing w:after="0" w:line="123"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860" w:type="dxa"/>
            <w:vAlign w:val="bottom"/>
            <w:tcBorders>
              <w:top w:val="single" w:sz="8" w:color="auto"/>
            </w:tcBorders>
          </w:tcPr>
          <w:p>
            <w:pPr>
              <w:ind w:left="240"/>
              <w:spacing w:after="0" w:line="123"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880" w:type="dxa"/>
            <w:vAlign w:val="bottom"/>
            <w:tcBorders>
              <w:top w:val="single" w:sz="8" w:color="auto"/>
            </w:tcBorders>
          </w:tcPr>
          <w:p>
            <w:pPr>
              <w:jc w:val="right"/>
              <w:ind w:right="197"/>
              <w:spacing w:after="0" w:line="123" w:lineRule="exact"/>
              <w:rPr>
                <w:sz w:val="20"/>
                <w:szCs w:val="20"/>
                <w:color w:val="auto"/>
              </w:rPr>
            </w:pPr>
            <w:r>
              <w:rPr>
                <w:rFonts w:ascii="Arial" w:cs="Arial" w:eastAsia="Arial" w:hAnsi="Arial"/>
                <w:sz w:val="13"/>
                <w:szCs w:val="13"/>
                <w:b w:val="1"/>
                <w:bCs w:val="1"/>
                <w:color w:val="auto"/>
              </w:rPr>
              <w:t>S/(000)</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Financial assets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1" w:lineRule="exact"/>
              <w:rPr>
                <w:sz w:val="20"/>
                <w:szCs w:val="20"/>
                <w:color w:val="auto"/>
              </w:rPr>
            </w:pPr>
            <w:r>
              <w:rPr>
                <w:rFonts w:ascii="Arial" w:cs="Arial" w:eastAsia="Arial" w:hAnsi="Arial"/>
                <w:sz w:val="13"/>
                <w:szCs w:val="13"/>
                <w:b w:val="1"/>
                <w:bCs w:val="1"/>
                <w:color w:val="auto"/>
              </w:rPr>
              <w:t>Derivative financial instruments: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Foreign currency forwards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124,688</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124,688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Interest rate swaps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165,172</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165,172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Cross currency swaps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120,744</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120,744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Currency swaps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354,432</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354,432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Foreign exchange options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1,281</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1,281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1060" w:type="dxa"/>
            <w:vAlign w:val="bottom"/>
            <w:gridSpan w:val="2"/>
          </w:tcPr>
          <w:p>
            <w:pPr>
              <w:jc w:val="center"/>
              <w:ind w:right="80"/>
              <w:spacing w:after="0" w:line="123" w:lineRule="exact"/>
              <w:rPr>
                <w:sz w:val="20"/>
                <w:szCs w:val="20"/>
                <w:color w:val="auto"/>
              </w:rPr>
            </w:pPr>
            <w:r>
              <w:rPr>
                <w:rFonts w:ascii="Arial" w:cs="Arial" w:eastAsia="Arial" w:hAnsi="Arial"/>
                <w:sz w:val="13"/>
                <w:szCs w:val="13"/>
                <w:color w:val="auto"/>
                <w:w w:val="85"/>
              </w:rPr>
              <w:t>12(b)</w:t>
            </w: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766,317</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766,317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1" w:lineRule="exact"/>
              <w:rPr>
                <w:sz w:val="20"/>
                <w:szCs w:val="20"/>
                <w:color w:val="auto"/>
              </w:rPr>
            </w:pPr>
            <w:r>
              <w:rPr>
                <w:rFonts w:ascii="Arial" w:cs="Arial" w:eastAsia="Arial" w:hAnsi="Arial"/>
                <w:sz w:val="13"/>
                <w:szCs w:val="13"/>
                <w:color w:val="auto"/>
              </w:rPr>
              <w:t>Investments at fair value through profit of loss</w:t>
            </w:r>
          </w:p>
        </w:tc>
        <w:tc>
          <w:tcPr>
            <w:tcW w:w="106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6"/>
              </w:rPr>
              <w:t>6(a)</w:t>
            </w: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1,690,430</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1,012,801</w:t>
            </w:r>
          </w:p>
        </w:tc>
        <w:tc>
          <w:tcPr>
            <w:tcW w:w="200" w:type="dxa"/>
            <w:vAlign w:val="bottom"/>
          </w:tcPr>
          <w:p>
            <w:pPr>
              <w:spacing w:after="0"/>
              <w:rPr>
                <w:sz w:val="11"/>
                <w:szCs w:val="11"/>
                <w:color w:val="auto"/>
              </w:rPr>
            </w:pP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809,214</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3,512,445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Financial assets at fair value through profit or loss</w:t>
            </w:r>
          </w:p>
        </w:tc>
        <w:tc>
          <w:tcPr>
            <w:tcW w:w="880" w:type="dxa"/>
            <w:vAlign w:val="bottom"/>
            <w:shd w:val="clear" w:color="auto" w:fill="CCEEFF"/>
          </w:tcPr>
          <w:p>
            <w:pPr>
              <w:jc w:val="center"/>
              <w:ind w:left="37"/>
              <w:spacing w:after="0" w:line="131" w:lineRule="exact"/>
              <w:rPr>
                <w:sz w:val="20"/>
                <w:szCs w:val="20"/>
                <w:color w:val="auto"/>
              </w:rPr>
            </w:pPr>
            <w:r>
              <w:rPr>
                <w:rFonts w:ascii="Arial" w:cs="Arial" w:eastAsia="Arial" w:hAnsi="Arial"/>
                <w:sz w:val="13"/>
                <w:szCs w:val="13"/>
                <w:color w:val="auto"/>
                <w:w w:val="82"/>
              </w:rPr>
              <w:t>8</w:t>
            </w: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470,112</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51,074</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521,186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Investments at fair value through other comprehensive income:</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1" w:lineRule="exact"/>
              <w:rPr>
                <w:sz w:val="20"/>
                <w:szCs w:val="20"/>
                <w:color w:val="auto"/>
              </w:rPr>
            </w:pPr>
            <w:r>
              <w:rPr>
                <w:rFonts w:ascii="Arial" w:cs="Arial" w:eastAsia="Arial" w:hAnsi="Arial"/>
                <w:sz w:val="13"/>
                <w:szCs w:val="13"/>
                <w:color w:val="auto"/>
              </w:rPr>
              <w:t>Debt instruments: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Corporate, leasing and subordinated bons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1,497,082</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7,132,691</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5,279</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8,635,052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Certificates of deposit BCRP</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9,829,584</w:t>
            </w:r>
          </w:p>
        </w:tc>
        <w:tc>
          <w:tcPr>
            <w:tcW w:w="200" w:type="dxa"/>
            <w:vAlign w:val="bottom"/>
          </w:tcPr>
          <w:p>
            <w:pPr>
              <w:spacing w:after="0"/>
              <w:rPr>
                <w:sz w:val="11"/>
                <w:szCs w:val="11"/>
                <w:color w:val="auto"/>
              </w:rPr>
            </w:pP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9,829,584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Government treasury bonds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4,587,264</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681,282</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5,268,546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Securitization instruments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521,452</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521,452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Negotiable certificates of deposit</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289,148</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289,148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Other instruments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3,384</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3,384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Equity instruments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235,566</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395,722</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17,381</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648,669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1060" w:type="dxa"/>
            <w:vAlign w:val="bottom"/>
            <w:gridSpan w:val="2"/>
          </w:tcPr>
          <w:p>
            <w:pPr>
              <w:jc w:val="center"/>
              <w:ind w:right="80"/>
              <w:spacing w:after="0" w:line="123" w:lineRule="exact"/>
              <w:rPr>
                <w:sz w:val="20"/>
                <w:szCs w:val="20"/>
                <w:color w:val="auto"/>
              </w:rPr>
            </w:pPr>
            <w:r>
              <w:rPr>
                <w:rFonts w:ascii="Arial" w:cs="Arial" w:eastAsia="Arial" w:hAnsi="Arial"/>
                <w:sz w:val="13"/>
                <w:szCs w:val="13"/>
                <w:color w:val="auto"/>
                <w:w w:val="94"/>
              </w:rPr>
              <w:t>6(b)</w:t>
            </w: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6,319,912</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18,853,263</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22,660</w:t>
            </w:r>
          </w:p>
        </w:tc>
        <w:tc>
          <w:tcPr>
            <w:tcW w:w="180" w:type="dxa"/>
            <w:vAlign w:val="bottom"/>
          </w:tcPr>
          <w:p>
            <w:pPr>
              <w:spacing w:after="0"/>
              <w:rPr>
                <w:sz w:val="10"/>
                <w:szCs w:val="10"/>
                <w:color w:val="auto"/>
              </w:rPr>
            </w:pPr>
          </w:p>
        </w:tc>
        <w:tc>
          <w:tcPr>
            <w:tcW w:w="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25,195,835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6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Total financial assets</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8,480,454</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20,683,455</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831,874</w:t>
            </w:r>
          </w:p>
        </w:tc>
        <w:tc>
          <w:tcPr>
            <w:tcW w:w="1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29,995,783</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5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1" w:lineRule="exact"/>
              <w:rPr>
                <w:sz w:val="20"/>
                <w:szCs w:val="20"/>
                <w:color w:val="auto"/>
              </w:rPr>
            </w:pPr>
            <w:r>
              <w:rPr>
                <w:rFonts w:ascii="Arial" w:cs="Arial" w:eastAsia="Arial" w:hAnsi="Arial"/>
                <w:sz w:val="13"/>
                <w:szCs w:val="13"/>
                <w:b w:val="1"/>
                <w:bCs w:val="1"/>
                <w:color w:val="auto"/>
              </w:rPr>
              <w:t>Financial liabilities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Derivatives financial instruments: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Interest rate swaps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153,560</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153,560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Foreign currency forwards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104,206</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104,206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Cross currency swaps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55,454</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55,454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Currency swaps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401,856</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401,856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tcPr>
          <w:p>
            <w:pPr>
              <w:ind w:left="140"/>
              <w:spacing w:after="0" w:line="131" w:lineRule="exact"/>
              <w:rPr>
                <w:sz w:val="20"/>
                <w:szCs w:val="20"/>
                <w:color w:val="auto"/>
              </w:rPr>
            </w:pPr>
            <w:r>
              <w:rPr>
                <w:rFonts w:ascii="Arial" w:cs="Arial" w:eastAsia="Arial" w:hAnsi="Arial"/>
                <w:sz w:val="13"/>
                <w:szCs w:val="13"/>
                <w:color w:val="auto"/>
              </w:rPr>
              <w:t>Foreign exchange options</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728</w:t>
            </w:r>
          </w:p>
        </w:tc>
        <w:tc>
          <w:tcPr>
            <w:tcW w:w="200" w:type="dxa"/>
            <w:vAlign w:val="bottom"/>
          </w:tcPr>
          <w:p>
            <w:pPr>
              <w:spacing w:after="0"/>
              <w:rPr>
                <w:sz w:val="11"/>
                <w:szCs w:val="11"/>
                <w:color w:val="auto"/>
              </w:rPr>
            </w:pP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728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5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gridSpan w:val="2"/>
            <w:shd w:val="clear" w:color="auto" w:fill="CCEEFF"/>
          </w:tcPr>
          <w:p>
            <w:pPr>
              <w:jc w:val="center"/>
              <w:ind w:right="80"/>
              <w:spacing w:after="0" w:line="123" w:lineRule="exact"/>
              <w:rPr>
                <w:sz w:val="20"/>
                <w:szCs w:val="20"/>
                <w:color w:val="auto"/>
              </w:rPr>
            </w:pPr>
            <w:r>
              <w:rPr>
                <w:rFonts w:ascii="Arial" w:cs="Arial" w:eastAsia="Arial" w:hAnsi="Arial"/>
                <w:sz w:val="13"/>
                <w:szCs w:val="13"/>
                <w:color w:val="auto"/>
                <w:w w:val="85"/>
              </w:rPr>
              <w:t>12(b)</w:t>
            </w: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715,804</w:t>
            </w:r>
          </w:p>
        </w:tc>
        <w:tc>
          <w:tcPr>
            <w:tcW w:w="2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715,804</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Financial liabilities at fair value through profit or loss</w:t>
            </w: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362,310</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362,310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line="123" w:lineRule="exact"/>
              <w:rPr>
                <w:sz w:val="20"/>
                <w:szCs w:val="20"/>
                <w:color w:val="auto"/>
              </w:rPr>
            </w:pPr>
            <w:r>
              <w:rPr>
                <w:rFonts w:ascii="Arial" w:cs="Arial" w:eastAsia="Arial" w:hAnsi="Arial"/>
                <w:sz w:val="13"/>
                <w:szCs w:val="13"/>
                <w:b w:val="1"/>
                <w:bCs w:val="1"/>
                <w:color w:val="auto"/>
              </w:rPr>
              <w:t>Total financial liabilities</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1,078,114</w:t>
            </w:r>
          </w:p>
        </w:tc>
        <w:tc>
          <w:tcPr>
            <w:tcW w:w="2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1,078,114</w:t>
            </w: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- 157 -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13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560"/>
          </w:cols>
          <w:pgMar w:left="240" w:top="811" w:right="10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Note</w:t>
            </w: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As of December 31, 2017</w:t>
            </w:r>
          </w:p>
        </w:tc>
        <w:tc>
          <w:tcPr>
            <w:tcW w:w="94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60" w:type="dxa"/>
            <w:vAlign w:val="bottom"/>
            <w:gridSpan w:val="2"/>
          </w:tcPr>
          <w:p>
            <w:pPr>
              <w:jc w:val="right"/>
              <w:ind w:right="380"/>
              <w:spacing w:after="0" w:line="183" w:lineRule="exact"/>
              <w:rPr>
                <w:sz w:val="20"/>
                <w:szCs w:val="20"/>
                <w:color w:val="auto"/>
              </w:rPr>
            </w:pPr>
            <w:r>
              <w:rPr>
                <w:rFonts w:ascii="Arial" w:cs="Arial" w:eastAsia="Arial" w:hAnsi="Arial"/>
                <w:sz w:val="16"/>
                <w:szCs w:val="16"/>
                <w:b w:val="1"/>
                <w:bCs w:val="1"/>
                <w:color w:val="auto"/>
              </w:rPr>
              <w:t>Level 1</w:t>
            </w:r>
          </w:p>
        </w:tc>
        <w:tc>
          <w:tcPr>
            <w:tcW w:w="1060" w:type="dxa"/>
            <w:vAlign w:val="bottom"/>
            <w:gridSpan w:val="2"/>
          </w:tcPr>
          <w:p>
            <w:pPr>
              <w:jc w:val="right"/>
              <w:ind w:right="380"/>
              <w:spacing w:after="0" w:line="183" w:lineRule="exact"/>
              <w:rPr>
                <w:sz w:val="20"/>
                <w:szCs w:val="20"/>
                <w:color w:val="auto"/>
              </w:rPr>
            </w:pPr>
            <w:r>
              <w:rPr>
                <w:rFonts w:ascii="Arial" w:cs="Arial" w:eastAsia="Arial" w:hAnsi="Arial"/>
                <w:sz w:val="16"/>
                <w:szCs w:val="16"/>
                <w:b w:val="1"/>
                <w:bCs w:val="1"/>
                <w:color w:val="auto"/>
              </w:rPr>
              <w:t>Level 2</w:t>
            </w:r>
          </w:p>
        </w:tc>
        <w:tc>
          <w:tcPr>
            <w:tcW w:w="1040" w:type="dxa"/>
            <w:vAlign w:val="bottom"/>
            <w:gridSpan w:val="2"/>
          </w:tcPr>
          <w:p>
            <w:pPr>
              <w:ind w:left="180"/>
              <w:spacing w:after="0" w:line="183" w:lineRule="exact"/>
              <w:rPr>
                <w:sz w:val="20"/>
                <w:szCs w:val="20"/>
                <w:color w:val="auto"/>
              </w:rPr>
            </w:pPr>
            <w:r>
              <w:rPr>
                <w:rFonts w:ascii="Arial" w:cs="Arial" w:eastAsia="Arial" w:hAnsi="Arial"/>
                <w:sz w:val="16"/>
                <w:szCs w:val="16"/>
                <w:b w:val="1"/>
                <w:bCs w:val="1"/>
                <w:color w:val="auto"/>
              </w:rPr>
              <w:t>Level 3</w:t>
            </w:r>
          </w:p>
        </w:tc>
        <w:tc>
          <w:tcPr>
            <w:tcW w:w="940" w:type="dxa"/>
            <w:vAlign w:val="bottom"/>
          </w:tcPr>
          <w:p>
            <w:pPr>
              <w:jc w:val="right"/>
              <w:ind w:right="241"/>
              <w:spacing w:after="0" w:line="183" w:lineRule="exact"/>
              <w:rPr>
                <w:sz w:val="20"/>
                <w:szCs w:val="20"/>
                <w:color w:val="auto"/>
              </w:rPr>
            </w:pPr>
            <w:r>
              <w:rPr>
                <w:rFonts w:ascii="Arial" w:cs="Arial" w:eastAsia="Arial" w:hAnsi="Arial"/>
                <w:sz w:val="16"/>
                <w:szCs w:val="16"/>
                <w:b w:val="1"/>
                <w:bCs w:val="1"/>
                <w:color w:val="auto"/>
              </w:rPr>
              <w:t>Total</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jc w:val="right"/>
              <w:ind w:right="101"/>
              <w:spacing w:after="0" w:line="181"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ind w:right="121"/>
              <w:spacing w:after="0" w:line="181"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860" w:type="dxa"/>
            <w:vAlign w:val="bottom"/>
            <w:tcBorders>
              <w:top w:val="single" w:sz="8" w:color="auto"/>
            </w:tcBorders>
          </w:tcPr>
          <w:p>
            <w:pPr>
              <w:ind w:left="180"/>
              <w:spacing w:after="0" w:line="181"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5"/>
                <w:szCs w:val="15"/>
                <w:color w:val="auto"/>
              </w:rPr>
            </w:pPr>
          </w:p>
        </w:tc>
        <w:tc>
          <w:tcPr>
            <w:tcW w:w="940" w:type="dxa"/>
            <w:vAlign w:val="bottom"/>
            <w:tcBorders>
              <w:top w:val="single" w:sz="8" w:color="auto"/>
            </w:tcBorders>
          </w:tcPr>
          <w:p>
            <w:pPr>
              <w:jc w:val="right"/>
              <w:ind w:right="181"/>
              <w:spacing w:after="0" w:line="181" w:lineRule="exact"/>
              <w:rPr>
                <w:sz w:val="20"/>
                <w:szCs w:val="20"/>
                <w:color w:val="auto"/>
              </w:rPr>
            </w:pPr>
            <w:r>
              <w:rPr>
                <w:rFonts w:ascii="Arial" w:cs="Arial" w:eastAsia="Arial" w:hAnsi="Arial"/>
                <w:sz w:val="16"/>
                <w:szCs w:val="16"/>
                <w:b w:val="1"/>
                <w:bCs w:val="1"/>
                <w:color w:val="auto"/>
              </w:rPr>
              <w:t>S/(000)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Derivative financial instruments: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Forward foreign exchange contracts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62,353</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62,353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Interest rate swaps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228,461</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228,461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Cross currency swaps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75,944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75,944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Currency swaps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332,376</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332,376</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options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60" w:type="dxa"/>
            <w:vAlign w:val="bottom"/>
            <w:gridSpan w:val="2"/>
          </w:tcPr>
          <w:p>
            <w:pPr>
              <w:jc w:val="center"/>
              <w:ind w:right="80"/>
              <w:spacing w:after="0" w:line="181" w:lineRule="exact"/>
              <w:rPr>
                <w:sz w:val="20"/>
                <w:szCs w:val="20"/>
                <w:color w:val="auto"/>
              </w:rPr>
            </w:pPr>
            <w:r>
              <w:rPr>
                <w:rFonts w:ascii="Arial" w:cs="Arial" w:eastAsia="Arial" w:hAnsi="Arial"/>
                <w:sz w:val="16"/>
                <w:szCs w:val="16"/>
                <w:color w:val="auto"/>
                <w:w w:val="90"/>
              </w:rPr>
              <w:t>12(b)</w:t>
            </w: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701,826</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701,826</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Investments at fair value through profit of loss</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6(a)</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1,611,952</w:t>
            </w:r>
          </w:p>
        </w:tc>
        <w:tc>
          <w:tcPr>
            <w:tcW w:w="860" w:type="dxa"/>
            <w:vAlign w:val="bottom"/>
          </w:tcPr>
          <w:p>
            <w:pPr>
              <w:jc w:val="right"/>
              <w:spacing w:after="0"/>
              <w:rPr>
                <w:sz w:val="20"/>
                <w:szCs w:val="20"/>
                <w:color w:val="auto"/>
              </w:rPr>
            </w:pPr>
            <w:r>
              <w:rPr>
                <w:rFonts w:ascii="Arial" w:cs="Arial" w:eastAsia="Arial" w:hAnsi="Arial"/>
                <w:sz w:val="16"/>
                <w:szCs w:val="16"/>
                <w:color w:val="auto"/>
              </w:rPr>
              <w:t>2,410,315</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2,470</w:t>
            </w:r>
          </w:p>
        </w:tc>
        <w:tc>
          <w:tcPr>
            <w:tcW w:w="940" w:type="dxa"/>
            <w:vAlign w:val="bottom"/>
          </w:tcPr>
          <w:p>
            <w:pPr>
              <w:jc w:val="right"/>
              <w:spacing w:after="0"/>
              <w:rPr>
                <w:sz w:val="20"/>
                <w:szCs w:val="20"/>
                <w:color w:val="auto"/>
              </w:rPr>
            </w:pPr>
            <w:r>
              <w:rPr>
                <w:rFonts w:ascii="Arial" w:cs="Arial" w:eastAsia="Arial" w:hAnsi="Arial"/>
                <w:sz w:val="16"/>
                <w:szCs w:val="16"/>
                <w:color w:val="auto"/>
              </w:rPr>
              <w:t>4,024,737</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Financial assets at fair value through profit or loss</w:t>
            </w:r>
          </w:p>
        </w:tc>
        <w:tc>
          <w:tcPr>
            <w:tcW w:w="88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89"/>
              </w:rPr>
              <w:t>8</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484,930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52,755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537,685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Investments available for sale:</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Debt instruments: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Certificates of deposit BCRP</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7,923,706</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7,923,706</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Corporate, leasing and subordinated bons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3,988,785</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4,489,275</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1,461</w:t>
            </w:r>
          </w:p>
        </w:tc>
        <w:tc>
          <w:tcPr>
            <w:tcW w:w="940" w:type="dxa"/>
            <w:vAlign w:val="bottom"/>
          </w:tcPr>
          <w:p>
            <w:pPr>
              <w:jc w:val="right"/>
              <w:spacing w:after="0"/>
              <w:rPr>
                <w:sz w:val="20"/>
                <w:szCs w:val="20"/>
                <w:color w:val="auto"/>
              </w:rPr>
            </w:pPr>
            <w:r>
              <w:rPr>
                <w:rFonts w:ascii="Arial" w:cs="Arial" w:eastAsia="Arial" w:hAnsi="Arial"/>
                <w:sz w:val="16"/>
                <w:szCs w:val="16"/>
                <w:color w:val="auto"/>
              </w:rPr>
              <w:t>8,479,521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Government treasury bonds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4,074,302</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658,461</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4,732,763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Participation in mutual funds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745,546</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79,533</w:t>
            </w:r>
          </w:p>
        </w:tc>
        <w:tc>
          <w:tcPr>
            <w:tcW w:w="940" w:type="dxa"/>
            <w:vAlign w:val="bottom"/>
          </w:tcPr>
          <w:p>
            <w:pPr>
              <w:jc w:val="right"/>
              <w:spacing w:after="0"/>
              <w:rPr>
                <w:sz w:val="20"/>
                <w:szCs w:val="20"/>
                <w:color w:val="auto"/>
              </w:rPr>
            </w:pPr>
            <w:r>
              <w:rPr>
                <w:rFonts w:ascii="Arial" w:cs="Arial" w:eastAsia="Arial" w:hAnsi="Arial"/>
                <w:sz w:val="16"/>
                <w:szCs w:val="16"/>
                <w:color w:val="auto"/>
              </w:rPr>
              <w:t>825,079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instruments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105,787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1,002,557</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537,065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1,645,409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Equity instruments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317,020</w:t>
            </w:r>
          </w:p>
        </w:tc>
        <w:tc>
          <w:tcPr>
            <w:tcW w:w="860" w:type="dxa"/>
            <w:vAlign w:val="bottom"/>
          </w:tcPr>
          <w:p>
            <w:pPr>
              <w:jc w:val="right"/>
              <w:spacing w:after="0"/>
              <w:rPr>
                <w:sz w:val="20"/>
                <w:szCs w:val="20"/>
                <w:color w:val="auto"/>
              </w:rPr>
            </w:pPr>
            <w:r>
              <w:rPr>
                <w:rFonts w:ascii="Arial" w:cs="Arial" w:eastAsia="Arial" w:hAnsi="Arial"/>
                <w:sz w:val="16"/>
                <w:szCs w:val="16"/>
                <w:color w:val="auto"/>
              </w:rPr>
              <w:t>417,703</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82,690</w:t>
            </w:r>
          </w:p>
        </w:tc>
        <w:tc>
          <w:tcPr>
            <w:tcW w:w="940" w:type="dxa"/>
            <w:vAlign w:val="bottom"/>
          </w:tcPr>
          <w:p>
            <w:pPr>
              <w:jc w:val="right"/>
              <w:spacing w:after="0"/>
              <w:rPr>
                <w:sz w:val="20"/>
                <w:szCs w:val="20"/>
                <w:color w:val="auto"/>
              </w:rPr>
            </w:pPr>
            <w:r>
              <w:rPr>
                <w:rFonts w:ascii="Arial" w:cs="Arial" w:eastAsia="Arial" w:hAnsi="Arial"/>
                <w:sz w:val="16"/>
                <w:szCs w:val="16"/>
                <w:color w:val="auto"/>
              </w:rPr>
              <w:t>817,413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5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gridSpan w:val="2"/>
            <w:shd w:val="clear" w:color="auto" w:fill="CCEEFF"/>
          </w:tcPr>
          <w:p>
            <w:pPr>
              <w:jc w:val="center"/>
              <w:ind w:right="80"/>
              <w:spacing w:after="0" w:line="181" w:lineRule="exact"/>
              <w:rPr>
                <w:sz w:val="20"/>
                <w:szCs w:val="20"/>
                <w:color w:val="auto"/>
              </w:rPr>
            </w:pPr>
            <w:r>
              <w:rPr>
                <w:rFonts w:ascii="Arial" w:cs="Arial" w:eastAsia="Arial" w:hAnsi="Arial"/>
                <w:sz w:val="16"/>
                <w:szCs w:val="16"/>
                <w:color w:val="auto"/>
                <w:w w:val="94"/>
              </w:rPr>
              <w:t>6(c)</w:t>
            </w:r>
          </w:p>
        </w:tc>
        <w:tc>
          <w:tcPr>
            <w:tcW w:w="8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9,231,440</w:t>
            </w: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14,491,702</w:t>
            </w: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700,749</w:t>
            </w: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24,423,891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financial assets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11,328,322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17,656,598</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703,219</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29,688,139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Derivatives financial instruments: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94,785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94,785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Forward foreign exchange contracts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56,869</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56,869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Cross currency swaps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134,349</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134,349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Currency swaps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349,779</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349,779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options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60" w:type="dxa"/>
            <w:vAlign w:val="bottom"/>
            <w:gridSpan w:val="2"/>
          </w:tcPr>
          <w:p>
            <w:pPr>
              <w:jc w:val="center"/>
              <w:ind w:right="80"/>
              <w:spacing w:after="0" w:line="181" w:lineRule="exact"/>
              <w:rPr>
                <w:sz w:val="20"/>
                <w:szCs w:val="20"/>
                <w:color w:val="auto"/>
              </w:rPr>
            </w:pPr>
            <w:r>
              <w:rPr>
                <w:rFonts w:ascii="Arial" w:cs="Arial" w:eastAsia="Arial" w:hAnsi="Arial"/>
                <w:sz w:val="16"/>
                <w:szCs w:val="16"/>
                <w:color w:val="auto"/>
                <w:w w:val="90"/>
              </w:rPr>
              <w:t>12(b)</w:t>
            </w: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636,762</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636,762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Bonds and Notes issued at fair value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7,986,539</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7,986,539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Financial liabilities at fair value through profit or loss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168,089</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168,089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560" w:type="dxa"/>
            <w:vAlign w:val="bottom"/>
          </w:tcPr>
          <w:p>
            <w:pPr>
              <w:spacing w:after="0" w:line="181" w:lineRule="exact"/>
              <w:rPr>
                <w:sz w:val="20"/>
                <w:szCs w:val="20"/>
                <w:color w:val="auto"/>
              </w:rPr>
            </w:pPr>
            <w:r>
              <w:rPr>
                <w:rFonts w:ascii="Arial" w:cs="Arial" w:eastAsia="Arial" w:hAnsi="Arial"/>
                <w:sz w:val="16"/>
                <w:szCs w:val="16"/>
                <w:b w:val="1"/>
                <w:bCs w:val="1"/>
                <w:color w:val="auto"/>
              </w:rPr>
              <w:t>Total financial liabilities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8,791,390</w:t>
            </w:r>
          </w:p>
        </w:tc>
        <w:tc>
          <w:tcPr>
            <w:tcW w:w="2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8,791,390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- 158 -</w:t>
            </w: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1" w:right="219" w:bottom="1440" w:gutter="0" w:footer="0" w:header="0"/>
        </w:sectPr>
      </w:pPr>
    </w:p>
    <w:bookmarkStart w:id="165" w:name="page166"/>
    <w:bookmarkEnd w:id="165"/>
    <w:p>
      <w:pPr>
        <w:ind w:right="80"/>
        <w:spacing w:after="0" w:line="258" w:lineRule="auto"/>
        <w:rPr>
          <w:sz w:val="20"/>
          <w:szCs w:val="20"/>
          <w:color w:val="auto"/>
        </w:rPr>
      </w:pPr>
      <w:r>
        <w:rPr>
          <w:rFonts w:ascii="Arial" w:cs="Arial" w:eastAsia="Arial" w:hAnsi="Arial"/>
          <w:sz w:val="16"/>
          <w:szCs w:val="16"/>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Financial instruments included in the Level 2 category are those that are measured on the basis of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6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33"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Valuation of derivative financial instruments -</w:t>
      </w:r>
    </w:p>
    <w:p>
      <w:pPr>
        <w:spacing w:after="0" w:line="195" w:lineRule="exact"/>
        <w:rPr>
          <w:sz w:val="20"/>
          <w:szCs w:val="20"/>
          <w:color w:val="auto"/>
        </w:rPr>
      </w:pPr>
    </w:p>
    <w:p>
      <w:pPr>
        <w:ind w:left="180" w:right="160"/>
        <w:spacing w:after="0" w:line="312" w:lineRule="auto"/>
        <w:rPr>
          <w:sz w:val="20"/>
          <w:szCs w:val="20"/>
          <w:color w:val="auto"/>
        </w:rPr>
      </w:pPr>
      <w:r>
        <w:rPr>
          <w:rFonts w:ascii="Arial" w:cs="Arial" w:eastAsia="Arial" w:hAnsi="Arial"/>
          <w:sz w:val="14"/>
          <w:szCs w:val="14"/>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foreign exchange, forward rates and interest rate curves. Options are valued using well-known, widely accepted valuation models.</w:t>
      </w:r>
    </w:p>
    <w:p>
      <w:pPr>
        <w:spacing w:after="0" w:line="131" w:lineRule="exact"/>
        <w:rPr>
          <w:sz w:val="20"/>
          <w:szCs w:val="20"/>
          <w:color w:val="auto"/>
        </w:rPr>
      </w:pPr>
    </w:p>
    <w:p>
      <w:pPr>
        <w:ind w:left="180" w:right="60"/>
        <w:spacing w:after="0" w:line="283" w:lineRule="auto"/>
        <w:rPr>
          <w:sz w:val="20"/>
          <w:szCs w:val="20"/>
          <w:color w:val="auto"/>
        </w:rPr>
      </w:pPr>
      <w:r>
        <w:rPr>
          <w:rFonts w:ascii="Arial" w:cs="Arial" w:eastAsia="Arial" w:hAnsi="Arial"/>
          <w:sz w:val="15"/>
          <w:szCs w:val="15"/>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48" w:lineRule="exact"/>
        <w:rPr>
          <w:sz w:val="20"/>
          <w:szCs w:val="20"/>
          <w:color w:val="auto"/>
        </w:rPr>
      </w:pPr>
    </w:p>
    <w:p>
      <w:pPr>
        <w:ind w:left="180" w:right="280"/>
        <w:spacing w:after="0" w:line="269" w:lineRule="auto"/>
        <w:rPr>
          <w:sz w:val="20"/>
          <w:szCs w:val="20"/>
          <w:color w:val="auto"/>
        </w:rPr>
      </w:pPr>
      <w:r>
        <w:rPr>
          <w:rFonts w:ascii="Arial" w:cs="Arial" w:eastAsia="Arial" w:hAnsi="Arial"/>
          <w:sz w:val="16"/>
          <w:szCs w:val="16"/>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34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- 159 -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726313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000"/>
          </w:cols>
          <w:pgMar w:left="620" w:top="815" w:right="279" w:bottom="1440" w:gutter="0" w:footer="0" w:header="0"/>
        </w:sectPr>
      </w:pPr>
    </w:p>
    <w:bookmarkStart w:id="166" w:name="page167"/>
    <w:bookmarkEnd w:id="166"/>
    <w:p>
      <w:pPr>
        <w:ind w:left="281" w:right="80"/>
        <w:spacing w:after="0" w:line="273" w:lineRule="auto"/>
        <w:rPr>
          <w:sz w:val="20"/>
          <w:szCs w:val="20"/>
          <w:color w:val="auto"/>
        </w:rPr>
      </w:pPr>
      <w:r>
        <w:rPr>
          <w:rFonts w:ascii="Arial" w:cs="Arial" w:eastAsia="Arial" w:hAnsi="Arial"/>
          <w:sz w:val="15"/>
          <w:szCs w:val="15"/>
          <w:color w:val="auto"/>
        </w:rPr>
        <w:t>As of December 31, 2018, the balance of receivables and payables corresponding to derivatives amounted to S/766.3 million and S/715.8 million respectively, See Note 12(b), generating DVA and CVA adjustments for approximately S/15.4 million and S/17.1 million respectively. The net impact of both items in the consolidated statement of income amounted to S/0.2 million. As of December 31, 2017, the balance of receivables and payables corresponding to derivatives amounted to S/701.8 million and S/636.8 million, respectively, See Note 12(b), generating DVA and CVA adjustments for approximately S/12.6 million and S/16.3 million, respectively. Also, the net impact of both items in the consolidated statement of income amounted to S/1.4 million.</w:t>
      </w:r>
    </w:p>
    <w:p>
      <w:pPr>
        <w:spacing w:after="0" w:line="157" w:lineRule="exact"/>
        <w:rPr>
          <w:sz w:val="20"/>
          <w:szCs w:val="20"/>
          <w:color w:val="auto"/>
        </w:rPr>
      </w:pPr>
    </w:p>
    <w:p>
      <w:pPr>
        <w:ind w:left="281" w:hanging="281"/>
        <w:spacing w:after="0"/>
        <w:tabs>
          <w:tab w:leader="none" w:pos="28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Valuation of debt securities classified in the category “at fair value through other comprehensive income” and included in level 2 –</w:t>
      </w:r>
    </w:p>
    <w:p>
      <w:pPr>
        <w:spacing w:after="0" w:line="195" w:lineRule="exact"/>
        <w:rPr>
          <w:rFonts w:ascii="Arial" w:cs="Arial" w:eastAsia="Arial" w:hAnsi="Arial"/>
          <w:sz w:val="16"/>
          <w:szCs w:val="16"/>
          <w:color w:val="auto"/>
        </w:rPr>
      </w:pPr>
    </w:p>
    <w:p>
      <w:pPr>
        <w:jc w:val="both"/>
        <w:ind w:left="281"/>
        <w:spacing w:after="0" w:line="258" w:lineRule="auto"/>
        <w:rPr>
          <w:rFonts w:ascii="Arial" w:cs="Arial" w:eastAsia="Arial" w:hAnsi="Arial"/>
          <w:sz w:val="16"/>
          <w:szCs w:val="16"/>
          <w:color w:val="auto"/>
        </w:rPr>
      </w:pPr>
      <w:r>
        <w:rPr>
          <w:rFonts w:ascii="Arial" w:cs="Arial" w:eastAsia="Arial" w:hAnsi="Arial"/>
          <w:sz w:val="16"/>
          <w:szCs w:val="16"/>
          <w:color w:val="auto"/>
        </w:rPr>
        <w:t>Valuation of BCRP certificates of deposit, corporate, leasing, subordinated bonds and Government treasury bonds are measured calculating their Net Present Values (NPV) through discounted cash flows, using appropriate and relevant zero coupon rate curves to discount cash flows in the respective currency and considering observable current market transactions.</w:t>
      </w:r>
    </w:p>
    <w:p>
      <w:pPr>
        <w:spacing w:after="0" w:line="165" w:lineRule="exact"/>
        <w:rPr>
          <w:rFonts w:ascii="Arial" w:cs="Arial" w:eastAsia="Arial" w:hAnsi="Arial"/>
          <w:sz w:val="16"/>
          <w:szCs w:val="16"/>
          <w:color w:val="auto"/>
        </w:rPr>
      </w:pPr>
    </w:p>
    <w:p>
      <w:pPr>
        <w:ind w:left="281" w:right="20"/>
        <w:spacing w:after="0" w:line="258" w:lineRule="auto"/>
        <w:rPr>
          <w:rFonts w:ascii="Arial" w:cs="Arial" w:eastAsia="Arial" w:hAnsi="Arial"/>
          <w:sz w:val="16"/>
          <w:szCs w:val="16"/>
          <w:color w:val="auto"/>
        </w:rPr>
      </w:pPr>
      <w:r>
        <w:rPr>
          <w:rFonts w:ascii="Arial" w:cs="Arial" w:eastAsia="Arial" w:hAnsi="Arial"/>
          <w:sz w:val="16"/>
          <w:szCs w:val="16"/>
          <w:color w:val="auto"/>
        </w:rPr>
        <w:t>BCRP certificates of deposit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 Transactions of Securities with the BCRP.</w:t>
      </w:r>
    </w:p>
    <w:p>
      <w:pPr>
        <w:spacing w:after="0" w:line="165" w:lineRule="exact"/>
        <w:rPr>
          <w:rFonts w:ascii="Arial" w:cs="Arial" w:eastAsia="Arial" w:hAnsi="Arial"/>
          <w:sz w:val="16"/>
          <w:szCs w:val="16"/>
          <w:color w:val="auto"/>
        </w:rPr>
      </w:pPr>
    </w:p>
    <w:p>
      <w:pPr>
        <w:ind w:left="281" w:right="200"/>
        <w:spacing w:after="0" w:line="258" w:lineRule="auto"/>
        <w:rPr>
          <w:rFonts w:ascii="Arial" w:cs="Arial" w:eastAsia="Arial" w:hAnsi="Arial"/>
          <w:sz w:val="16"/>
          <w:szCs w:val="16"/>
          <w:color w:val="auto"/>
        </w:rPr>
      </w:pPr>
      <w:r>
        <w:rPr>
          <w:rFonts w:ascii="Arial" w:cs="Arial" w:eastAsia="Arial" w:hAnsi="Arial"/>
          <w:sz w:val="16"/>
          <w:szCs w:val="16"/>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65" w:lineRule="exact"/>
        <w:rPr>
          <w:sz w:val="20"/>
          <w:szCs w:val="20"/>
          <w:color w:val="auto"/>
        </w:rPr>
      </w:pPr>
    </w:p>
    <w:p>
      <w:pPr>
        <w:ind w:left="281"/>
        <w:spacing w:after="0"/>
        <w:rPr>
          <w:sz w:val="20"/>
          <w:szCs w:val="20"/>
          <w:color w:val="auto"/>
        </w:rPr>
      </w:pPr>
      <w:r>
        <w:rPr>
          <w:rFonts w:ascii="Arial" w:cs="Arial" w:eastAsia="Arial" w:hAnsi="Arial"/>
          <w:sz w:val="16"/>
          <w:szCs w:val="16"/>
          <w:color w:val="auto"/>
        </w:rPr>
        <w:t>- Valuation of financial instruments included in level 3 -</w:t>
      </w:r>
    </w:p>
    <w:p>
      <w:pPr>
        <w:spacing w:after="0" w:line="195" w:lineRule="exact"/>
        <w:rPr>
          <w:sz w:val="20"/>
          <w:szCs w:val="20"/>
          <w:color w:val="auto"/>
        </w:rPr>
      </w:pPr>
    </w:p>
    <w:p>
      <w:pPr>
        <w:ind w:left="281" w:right="100"/>
        <w:spacing w:after="0" w:line="269" w:lineRule="auto"/>
        <w:rPr>
          <w:sz w:val="20"/>
          <w:szCs w:val="20"/>
          <w:color w:val="auto"/>
        </w:rPr>
      </w:pPr>
      <w:r>
        <w:rPr>
          <w:rFonts w:ascii="Arial" w:cs="Arial" w:eastAsia="Arial" w:hAnsi="Arial"/>
          <w:sz w:val="16"/>
          <w:szCs w:val="16"/>
          <w:color w:val="auto"/>
        </w:rPr>
        <w:t>These are measured using valuation techniques (internal models), based on assumptions that are not supported by transaction prices observable in the market for the same instrument, nor based on available market data.</w:t>
      </w:r>
    </w:p>
    <w:p>
      <w:pPr>
        <w:spacing w:after="0" w:line="157" w:lineRule="exact"/>
        <w:rPr>
          <w:sz w:val="20"/>
          <w:szCs w:val="20"/>
          <w:color w:val="auto"/>
        </w:rPr>
      </w:pPr>
    </w:p>
    <w:p>
      <w:pPr>
        <w:ind w:left="281"/>
        <w:spacing w:after="0"/>
        <w:rPr>
          <w:sz w:val="20"/>
          <w:szCs w:val="20"/>
          <w:color w:val="auto"/>
        </w:rPr>
      </w:pPr>
      <w:r>
        <w:rPr>
          <w:rFonts w:ascii="Arial" w:cs="Arial" w:eastAsia="Arial" w:hAnsi="Arial"/>
          <w:sz w:val="16"/>
          <w:szCs w:val="16"/>
          <w:color w:val="auto"/>
        </w:rPr>
        <w:t>In this regard, no significant differences were noted between the estimated fair values and the respective carrying amounts.</w:t>
      </w:r>
    </w:p>
    <w:p>
      <w:pPr>
        <w:spacing w:after="0" w:line="195" w:lineRule="exact"/>
        <w:rPr>
          <w:sz w:val="20"/>
          <w:szCs w:val="20"/>
          <w:color w:val="auto"/>
        </w:rPr>
      </w:pPr>
    </w:p>
    <w:p>
      <w:pPr>
        <w:ind w:left="281"/>
        <w:spacing w:after="0" w:line="312" w:lineRule="auto"/>
        <w:rPr>
          <w:sz w:val="20"/>
          <w:szCs w:val="20"/>
          <w:color w:val="auto"/>
        </w:rPr>
      </w:pPr>
      <w:r>
        <w:rPr>
          <w:rFonts w:ascii="Arial" w:cs="Arial" w:eastAsia="Arial" w:hAnsi="Arial"/>
          <w:sz w:val="14"/>
          <w:szCs w:val="14"/>
          <w:color w:val="auto"/>
        </w:rPr>
        <w:t>As of December 31, 2018 and 2017, the net unrealized loss (gain) of Level 3 financial instruments amounted to S/2.3 million and S/39.1 million, respectively. During 2018 and 2017, changes in the carrying amount of Level 3 financial instruments have not been significant since there were no purchases, issuances, settlements or any other significant movements or transfers from level 3 to Level 1 or Level 2 or vice versa. Also, there have been no transfers between Level 1 and Level 2.</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- 160 -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5" w:right="259" w:bottom="1440" w:gutter="0" w:footer="0" w:header="0"/>
        </w:sectPr>
      </w:pPr>
    </w:p>
    <w:bookmarkStart w:id="167" w:name="page168"/>
    <w:bookmarkEnd w:id="167"/>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Financial instruments not measured at fair value -</w:t>
      </w:r>
    </w:p>
    <w:p>
      <w:pPr>
        <w:spacing w:after="0" w:line="195" w:lineRule="exact"/>
        <w:rPr>
          <w:sz w:val="20"/>
          <w:szCs w:val="20"/>
          <w:color w:val="auto"/>
        </w:rPr>
      </w:pPr>
    </w:p>
    <w:p>
      <w:pPr>
        <w:ind w:left="280"/>
        <w:spacing w:after="0" w:line="269" w:lineRule="auto"/>
        <w:rPr>
          <w:sz w:val="20"/>
          <w:szCs w:val="20"/>
          <w:color w:val="auto"/>
        </w:rPr>
      </w:pPr>
      <w:r>
        <w:rPr>
          <w:rFonts w:ascii="Arial" w:cs="Arial" w:eastAsia="Arial" w:hAnsi="Arial"/>
          <w:sz w:val="16"/>
          <w:szCs w:val="16"/>
          <w:color w:val="auto"/>
        </w:rPr>
        <w:t>We present below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18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3"/>
                <w:szCs w:val="13"/>
                <w:b w:val="1"/>
                <w:bCs w:val="1"/>
                <w:color w:val="auto"/>
              </w:rPr>
              <w:t>As of December 31, 2018</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ind w:left="560"/>
              <w:spacing w:after="0"/>
              <w:rPr>
                <w:sz w:val="20"/>
                <w:szCs w:val="20"/>
                <w:color w:val="auto"/>
              </w:rPr>
            </w:pPr>
            <w:r>
              <w:rPr>
                <w:rFonts w:ascii="Arial" w:cs="Arial" w:eastAsia="Arial" w:hAnsi="Arial"/>
                <w:sz w:val="13"/>
                <w:szCs w:val="13"/>
                <w:b w:val="1"/>
                <w:bCs w:val="1"/>
                <w:color w:val="auto"/>
              </w:rPr>
              <w:t>As of December 31, 2017</w:t>
            </w: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1860" w:type="dxa"/>
            <w:vAlign w:val="bottom"/>
          </w:tcPr>
          <w:p>
            <w:pPr>
              <w:spacing w:after="0"/>
              <w:rPr>
                <w:sz w:val="11"/>
                <w:szCs w:val="11"/>
                <w:color w:val="auto"/>
              </w:rPr>
            </w:pPr>
          </w:p>
        </w:tc>
        <w:tc>
          <w:tcPr>
            <w:tcW w:w="82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Level 1</w:t>
            </w:r>
          </w:p>
        </w:tc>
        <w:tc>
          <w:tcPr>
            <w:tcW w:w="860" w:type="dxa"/>
            <w:vAlign w:val="bottom"/>
            <w:gridSpan w:val="2"/>
          </w:tcPr>
          <w:p>
            <w:pPr>
              <w:ind w:left="180"/>
              <w:spacing w:after="0" w:line="134" w:lineRule="exact"/>
              <w:rPr>
                <w:sz w:val="20"/>
                <w:szCs w:val="20"/>
                <w:color w:val="auto"/>
              </w:rPr>
            </w:pPr>
            <w:r>
              <w:rPr>
                <w:rFonts w:ascii="Arial" w:cs="Arial" w:eastAsia="Arial" w:hAnsi="Arial"/>
                <w:sz w:val="13"/>
                <w:szCs w:val="13"/>
                <w:b w:val="1"/>
                <w:bCs w:val="1"/>
                <w:color w:val="auto"/>
              </w:rPr>
              <w:t>Level 2</w:t>
            </w:r>
          </w:p>
        </w:tc>
        <w:tc>
          <w:tcPr>
            <w:tcW w:w="820" w:type="dxa"/>
            <w:vAlign w:val="bottom"/>
            <w:gridSpan w:val="2"/>
          </w:tcPr>
          <w:p>
            <w:pPr>
              <w:jc w:val="right"/>
              <w:ind w:right="280"/>
              <w:spacing w:after="0" w:line="134" w:lineRule="exact"/>
              <w:rPr>
                <w:sz w:val="20"/>
                <w:szCs w:val="20"/>
                <w:color w:val="auto"/>
              </w:rPr>
            </w:pPr>
            <w:r>
              <w:rPr>
                <w:rFonts w:ascii="Arial" w:cs="Arial" w:eastAsia="Arial" w:hAnsi="Arial"/>
                <w:sz w:val="13"/>
                <w:szCs w:val="13"/>
                <w:b w:val="1"/>
                <w:bCs w:val="1"/>
                <w:color w:val="auto"/>
              </w:rPr>
              <w:t>Level 3</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3"/>
                <w:szCs w:val="13"/>
                <w:b w:val="1"/>
                <w:bCs w:val="1"/>
                <w:color w:val="auto"/>
              </w:rPr>
              <w:t>Fair value</w:t>
            </w:r>
          </w:p>
        </w:tc>
        <w:tc>
          <w:tcPr>
            <w:tcW w:w="740" w:type="dxa"/>
            <w:vAlign w:val="bottom"/>
          </w:tcPr>
          <w:p>
            <w:pPr>
              <w:jc w:val="right"/>
              <w:ind w:right="17"/>
              <w:spacing w:after="0" w:line="134" w:lineRule="exact"/>
              <w:rPr>
                <w:sz w:val="20"/>
                <w:szCs w:val="20"/>
                <w:color w:val="auto"/>
              </w:rPr>
            </w:pPr>
            <w:r>
              <w:rPr>
                <w:rFonts w:ascii="Arial" w:cs="Arial" w:eastAsia="Arial" w:hAnsi="Arial"/>
                <w:sz w:val="13"/>
                <w:szCs w:val="13"/>
                <w:b w:val="1"/>
                <w:bCs w:val="1"/>
                <w:color w:val="auto"/>
                <w:w w:val="92"/>
              </w:rPr>
              <w:t>Book value</w:t>
            </w:r>
          </w:p>
        </w:tc>
        <w:tc>
          <w:tcPr>
            <w:tcW w:w="12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3"/>
                <w:szCs w:val="13"/>
                <w:b w:val="1"/>
                <w:bCs w:val="1"/>
                <w:color w:val="auto"/>
              </w:rPr>
              <w:t>Level 1</w:t>
            </w:r>
          </w:p>
        </w:tc>
        <w:tc>
          <w:tcPr>
            <w:tcW w:w="860" w:type="dxa"/>
            <w:vAlign w:val="bottom"/>
            <w:gridSpan w:val="2"/>
          </w:tcPr>
          <w:p>
            <w:pPr>
              <w:jc w:val="right"/>
              <w:ind w:right="300"/>
              <w:spacing w:after="0" w:line="134" w:lineRule="exact"/>
              <w:rPr>
                <w:sz w:val="20"/>
                <w:szCs w:val="20"/>
                <w:color w:val="auto"/>
              </w:rPr>
            </w:pPr>
            <w:r>
              <w:rPr>
                <w:rFonts w:ascii="Arial" w:cs="Arial" w:eastAsia="Arial" w:hAnsi="Arial"/>
                <w:sz w:val="13"/>
                <w:szCs w:val="13"/>
                <w:b w:val="1"/>
                <w:bCs w:val="1"/>
                <w:color w:val="auto"/>
              </w:rPr>
              <w:t>Level 2</w:t>
            </w:r>
          </w:p>
        </w:tc>
        <w:tc>
          <w:tcPr>
            <w:tcW w:w="82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Level 3</w:t>
            </w:r>
          </w:p>
        </w:tc>
        <w:tc>
          <w:tcPr>
            <w:tcW w:w="86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Fair value</w:t>
            </w: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95"/>
              </w:rPr>
              <w:t>Book value</w:t>
            </w:r>
          </w:p>
        </w:tc>
        <w:tc>
          <w:tcPr>
            <w:tcW w:w="100" w:type="dxa"/>
            <w:vAlign w:val="bottom"/>
            <w:gridSpan w:val="2"/>
          </w:tcPr>
          <w:p>
            <w:pPr>
              <w:spacing w:after="0"/>
              <w:rPr>
                <w:sz w:val="11"/>
                <w:szCs w:val="11"/>
                <w:color w:val="auto"/>
              </w:rPr>
            </w:pPr>
          </w:p>
        </w:tc>
      </w:tr>
      <w:tr>
        <w:trPr>
          <w:trHeight w:val="122"/>
        </w:trPr>
        <w:tc>
          <w:tcPr>
            <w:tcW w:w="1860" w:type="dxa"/>
            <w:vAlign w:val="bottom"/>
          </w:tcPr>
          <w:p>
            <w:pPr>
              <w:spacing w:after="0"/>
              <w:rPr>
                <w:sz w:val="10"/>
                <w:szCs w:val="10"/>
                <w:color w:val="auto"/>
              </w:rPr>
            </w:pPr>
          </w:p>
        </w:tc>
        <w:tc>
          <w:tcPr>
            <w:tcW w:w="700" w:type="dxa"/>
            <w:vAlign w:val="bottom"/>
            <w:tcBorders>
              <w:top w:val="single" w:sz="8" w:color="auto"/>
            </w:tcBorders>
          </w:tcPr>
          <w:p>
            <w:pPr>
              <w:ind w:left="160"/>
              <w:spacing w:after="0" w:line="12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0"/>
                <w:szCs w:val="10"/>
                <w:color w:val="auto"/>
              </w:rPr>
            </w:pPr>
          </w:p>
        </w:tc>
        <w:tc>
          <w:tcPr>
            <w:tcW w:w="74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0"/>
                <w:szCs w:val="10"/>
                <w:color w:val="auto"/>
              </w:rPr>
            </w:pPr>
          </w:p>
        </w:tc>
        <w:tc>
          <w:tcPr>
            <w:tcW w:w="68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ind w:right="97"/>
              <w:spacing w:after="0" w:line="123"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right"/>
              <w:ind w:right="117"/>
              <w:spacing w:after="0" w:line="12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0"/>
                <w:szCs w:val="10"/>
                <w:color w:val="auto"/>
              </w:rPr>
            </w:pPr>
          </w:p>
        </w:tc>
        <w:tc>
          <w:tcPr>
            <w:tcW w:w="700" w:type="dxa"/>
            <w:vAlign w:val="bottom"/>
            <w:tcBorders>
              <w:top w:val="single" w:sz="8" w:color="auto"/>
            </w:tcBorders>
          </w:tcPr>
          <w:p>
            <w:pPr>
              <w:ind w:left="160"/>
              <w:spacing w:after="0" w:line="123"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ind w:right="97"/>
              <w:spacing w:after="0" w:line="123"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0"/>
                <w:szCs w:val="10"/>
                <w:color w:val="auto"/>
              </w:rPr>
            </w:pPr>
          </w:p>
        </w:tc>
        <w:tc>
          <w:tcPr>
            <w:tcW w:w="680" w:type="dxa"/>
            <w:vAlign w:val="bottom"/>
            <w:tcBorders>
              <w:top w:val="single" w:sz="8" w:color="auto"/>
            </w:tcBorders>
          </w:tcPr>
          <w:p>
            <w:pPr>
              <w:ind w:left="160"/>
              <w:spacing w:after="0" w:line="123"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right"/>
              <w:ind w:right="117"/>
              <w:spacing w:after="0" w:line="12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0"/>
        </w:trPr>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Assets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0"/>
        </w:trPr>
        <w:tc>
          <w:tcPr>
            <w:tcW w:w="1860" w:type="dxa"/>
            <w:vAlign w:val="bottom"/>
          </w:tcPr>
          <w:p>
            <w:pPr>
              <w:spacing w:after="0" w:line="131" w:lineRule="exact"/>
              <w:rPr>
                <w:sz w:val="20"/>
                <w:szCs w:val="20"/>
                <w:color w:val="auto"/>
              </w:rPr>
            </w:pPr>
            <w:r>
              <w:rPr>
                <w:rFonts w:ascii="Arial" w:cs="Arial" w:eastAsia="Arial" w:hAnsi="Arial"/>
                <w:sz w:val="13"/>
                <w:szCs w:val="13"/>
                <w:color w:val="auto"/>
              </w:rPr>
              <w:t>Cash and due from banks</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22,168,516</w:t>
            </w: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22,168,516</w:t>
            </w: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22,168,516</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23,221,987</w:t>
            </w:r>
          </w:p>
        </w:tc>
        <w:tc>
          <w:tcPr>
            <w:tcW w:w="820" w:type="dxa"/>
            <w:vAlign w:val="bottom"/>
            <w:gridSpan w:val="2"/>
          </w:tcPr>
          <w:p>
            <w:pPr>
              <w:ind w:left="640"/>
              <w:spacing w:after="0" w:line="13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23,221,987</w:t>
            </w: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23,221,987</w:t>
            </w:r>
          </w:p>
        </w:tc>
        <w:tc>
          <w:tcPr>
            <w:tcW w:w="80" w:type="dxa"/>
            <w:vAlign w:val="bottom"/>
          </w:tcPr>
          <w:p>
            <w:pPr>
              <w:spacing w:after="0"/>
              <w:rPr>
                <w:sz w:val="11"/>
                <w:szCs w:val="11"/>
                <w:color w:val="auto"/>
              </w:rPr>
            </w:pPr>
          </w:p>
        </w:tc>
      </w:tr>
      <w:tr>
        <w:trPr>
          <w:trHeight w:val="130"/>
        </w:trPr>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89"/>
              </w:rPr>
              <w:t>Cash collateral, reverse repurchase</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4,082,942</w:t>
            </w: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4,082,942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4,082,942</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7,480,420</w:t>
            </w:r>
          </w:p>
        </w:tc>
        <w:tc>
          <w:tcPr>
            <w:tcW w:w="820" w:type="dxa"/>
            <w:vAlign w:val="bottom"/>
            <w:gridSpan w:val="2"/>
            <w:shd w:val="clear" w:color="auto" w:fill="CCEEFF"/>
          </w:tcPr>
          <w:p>
            <w:pPr>
              <w:ind w:left="640"/>
              <w:spacing w:after="0" w:line="13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7,480,420</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7,480,420</w:t>
            </w:r>
          </w:p>
        </w:tc>
        <w:tc>
          <w:tcPr>
            <w:tcW w:w="80" w:type="dxa"/>
            <w:vAlign w:val="bottom"/>
            <w:shd w:val="clear" w:color="auto" w:fill="CCEEFF"/>
          </w:tcPr>
          <w:p>
            <w:pPr>
              <w:spacing w:after="0"/>
              <w:rPr>
                <w:sz w:val="11"/>
                <w:szCs w:val="11"/>
                <w:color w:val="auto"/>
              </w:rPr>
            </w:pPr>
          </w:p>
        </w:tc>
      </w:tr>
      <w:tr>
        <w:trPr>
          <w:trHeight w:val="130"/>
        </w:trPr>
        <w:tc>
          <w:tcPr>
            <w:tcW w:w="1860" w:type="dxa"/>
            <w:vAlign w:val="bottom"/>
          </w:tcPr>
          <w:p>
            <w:pPr>
              <w:spacing w:after="0" w:line="131" w:lineRule="exact"/>
              <w:rPr>
                <w:sz w:val="20"/>
                <w:szCs w:val="20"/>
                <w:color w:val="auto"/>
              </w:rPr>
            </w:pPr>
            <w:r>
              <w:rPr>
                <w:rFonts w:ascii="Arial" w:cs="Arial" w:eastAsia="Arial" w:hAnsi="Arial"/>
                <w:sz w:val="13"/>
                <w:szCs w:val="13"/>
                <w:color w:val="auto"/>
              </w:rPr>
              <w:t>Investments at amortized cost</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3,815,301</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337,821</w:t>
            </w: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4,153,122</w:t>
            </w: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4,154,838</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640"/>
              <w:spacing w:after="0" w:line="13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r>
      <w:tr>
        <w:trPr>
          <w:trHeight w:val="130"/>
        </w:trPr>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Held-to-maturity investments</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4,088,520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561,562</w:t>
            </w:r>
          </w:p>
        </w:tc>
        <w:tc>
          <w:tcPr>
            <w:tcW w:w="820" w:type="dxa"/>
            <w:vAlign w:val="bottom"/>
            <w:gridSpan w:val="2"/>
            <w:shd w:val="clear" w:color="auto" w:fill="CCEEFF"/>
          </w:tcPr>
          <w:p>
            <w:pPr>
              <w:ind w:left="640"/>
              <w:spacing w:after="0" w:line="13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4,650,082</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4,413,373</w:t>
            </w:r>
          </w:p>
        </w:tc>
        <w:tc>
          <w:tcPr>
            <w:tcW w:w="80" w:type="dxa"/>
            <w:vAlign w:val="bottom"/>
            <w:shd w:val="clear" w:color="auto" w:fill="CCEEFF"/>
          </w:tcPr>
          <w:p>
            <w:pPr>
              <w:spacing w:after="0"/>
              <w:rPr>
                <w:sz w:val="11"/>
                <w:szCs w:val="11"/>
                <w:color w:val="auto"/>
              </w:rPr>
            </w:pPr>
          </w:p>
        </w:tc>
      </w:tr>
      <w:tr>
        <w:trPr>
          <w:trHeight w:val="130"/>
        </w:trPr>
        <w:tc>
          <w:tcPr>
            <w:tcW w:w="1860" w:type="dxa"/>
            <w:vAlign w:val="bottom"/>
          </w:tcPr>
          <w:p>
            <w:pPr>
              <w:spacing w:after="0" w:line="131" w:lineRule="exact"/>
              <w:rPr>
                <w:sz w:val="20"/>
                <w:szCs w:val="20"/>
                <w:color w:val="auto"/>
              </w:rPr>
            </w:pPr>
            <w:r>
              <w:rPr>
                <w:rFonts w:ascii="Arial" w:cs="Arial" w:eastAsia="Arial" w:hAnsi="Arial"/>
                <w:sz w:val="13"/>
                <w:szCs w:val="13"/>
                <w:color w:val="auto"/>
              </w:rPr>
              <w:t>Loans, net</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w w:val="99"/>
              </w:rPr>
              <w:t>126,581,269</w:t>
            </w: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w w:val="96"/>
              </w:rPr>
              <w:t>126,581,269</w:t>
            </w: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w w:val="99"/>
              </w:rPr>
              <w:t>126,581,269</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96"/>
              </w:rPr>
              <w:t>115,346,836</w:t>
            </w:r>
          </w:p>
        </w:tc>
        <w:tc>
          <w:tcPr>
            <w:tcW w:w="820" w:type="dxa"/>
            <w:vAlign w:val="bottom"/>
            <w:gridSpan w:val="2"/>
          </w:tcPr>
          <w:p>
            <w:pPr>
              <w:ind w:left="6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w w:val="99"/>
              </w:rPr>
              <w:t>115,346,836</w:t>
            </w: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w w:val="99"/>
              </w:rPr>
              <w:t>115,346,836</w:t>
            </w:r>
          </w:p>
        </w:tc>
        <w:tc>
          <w:tcPr>
            <w:tcW w:w="80" w:type="dxa"/>
            <w:vAlign w:val="bottom"/>
          </w:tcPr>
          <w:p>
            <w:pPr>
              <w:spacing w:after="0"/>
              <w:rPr>
                <w:sz w:val="11"/>
                <w:szCs w:val="11"/>
                <w:color w:val="auto"/>
              </w:rPr>
            </w:pPr>
          </w:p>
        </w:tc>
      </w:tr>
      <w:tr>
        <w:trPr>
          <w:trHeight w:val="114"/>
        </w:trPr>
        <w:tc>
          <w:tcPr>
            <w:tcW w:w="1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Premiums and other policies</w:t>
            </w: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6"/>
        </w:trPr>
        <w:tc>
          <w:tcPr>
            <w:tcW w:w="1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receivable</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887,273</w:t>
            </w:r>
          </w:p>
        </w:tc>
        <w:tc>
          <w:tcPr>
            <w:tcW w:w="8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887,273</w:t>
            </w: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887,273</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656,829</w:t>
            </w:r>
          </w:p>
        </w:tc>
        <w:tc>
          <w:tcPr>
            <w:tcW w:w="820" w:type="dxa"/>
            <w:vAlign w:val="bottom"/>
            <w:gridSpan w:val="2"/>
            <w:shd w:val="clear" w:color="auto" w:fill="CCEEFF"/>
          </w:tcPr>
          <w:p>
            <w:pPr>
              <w:ind w:left="6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656,829</w:t>
            </w:r>
          </w:p>
        </w:tc>
        <w:tc>
          <w:tcPr>
            <w:tcW w:w="7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656,829</w:t>
            </w:r>
          </w:p>
        </w:tc>
        <w:tc>
          <w:tcPr>
            <w:tcW w:w="80" w:type="dxa"/>
            <w:vAlign w:val="bottom"/>
            <w:shd w:val="clear" w:color="auto" w:fill="CCEEFF"/>
          </w:tcPr>
          <w:p>
            <w:pPr>
              <w:spacing w:after="0"/>
              <w:rPr>
                <w:sz w:val="12"/>
                <w:szCs w:val="12"/>
                <w:color w:val="auto"/>
              </w:rPr>
            </w:pPr>
          </w:p>
        </w:tc>
      </w:tr>
      <w:tr>
        <w:trPr>
          <w:trHeight w:val="114"/>
        </w:trPr>
        <w:tc>
          <w:tcPr>
            <w:tcW w:w="1860" w:type="dxa"/>
            <w:vAlign w:val="bottom"/>
          </w:tcPr>
          <w:p>
            <w:pPr>
              <w:spacing w:after="0" w:line="114" w:lineRule="exact"/>
              <w:rPr>
                <w:sz w:val="20"/>
                <w:szCs w:val="20"/>
                <w:color w:val="auto"/>
              </w:rPr>
            </w:pPr>
            <w:r>
              <w:rPr>
                <w:rFonts w:ascii="Arial" w:cs="Arial" w:eastAsia="Arial" w:hAnsi="Arial"/>
                <w:sz w:val="13"/>
                <w:szCs w:val="13"/>
                <w:color w:val="auto"/>
              </w:rPr>
              <w:t>Accounts receivable from</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6"/>
        </w:trPr>
        <w:tc>
          <w:tcPr>
            <w:tcW w:w="1860" w:type="dxa"/>
            <w:vAlign w:val="bottom"/>
          </w:tcPr>
          <w:p>
            <w:pPr>
              <w:spacing w:after="0" w:line="146" w:lineRule="exact"/>
              <w:rPr>
                <w:sz w:val="20"/>
                <w:szCs w:val="20"/>
                <w:color w:val="auto"/>
              </w:rPr>
            </w:pPr>
            <w:r>
              <w:rPr>
                <w:rFonts w:ascii="Arial" w:cs="Arial" w:eastAsia="Arial" w:hAnsi="Arial"/>
                <w:sz w:val="13"/>
                <w:szCs w:val="13"/>
                <w:color w:val="auto"/>
              </w:rPr>
              <w:t>reinsurers and coinsurers</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842,043</w:t>
            </w:r>
          </w:p>
        </w:tc>
        <w:tc>
          <w:tcPr>
            <w:tcW w:w="8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842,043</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842,043</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715,695</w:t>
            </w:r>
          </w:p>
        </w:tc>
        <w:tc>
          <w:tcPr>
            <w:tcW w:w="820" w:type="dxa"/>
            <w:vAlign w:val="bottom"/>
            <w:gridSpan w:val="2"/>
          </w:tcPr>
          <w:p>
            <w:pPr>
              <w:ind w:left="6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715,695</w:t>
            </w:r>
          </w:p>
        </w:tc>
        <w:tc>
          <w:tcPr>
            <w:tcW w:w="7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715,695</w:t>
            </w:r>
          </w:p>
        </w:tc>
        <w:tc>
          <w:tcPr>
            <w:tcW w:w="80" w:type="dxa"/>
            <w:vAlign w:val="bottom"/>
          </w:tcPr>
          <w:p>
            <w:pPr>
              <w:spacing w:after="0"/>
              <w:rPr>
                <w:sz w:val="12"/>
                <w:szCs w:val="12"/>
                <w:color w:val="auto"/>
              </w:rPr>
            </w:pPr>
          </w:p>
        </w:tc>
      </w:tr>
      <w:tr>
        <w:trPr>
          <w:trHeight w:val="114"/>
        </w:trPr>
        <w:tc>
          <w:tcPr>
            <w:tcW w:w="1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Due from customers on</w:t>
            </w: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6"/>
        </w:trPr>
        <w:tc>
          <w:tcPr>
            <w:tcW w:w="1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acceptances</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967,968</w:t>
            </w:r>
          </w:p>
        </w:tc>
        <w:tc>
          <w:tcPr>
            <w:tcW w:w="8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967,968</w:t>
            </w: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967,968</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532,034</w:t>
            </w:r>
          </w:p>
        </w:tc>
        <w:tc>
          <w:tcPr>
            <w:tcW w:w="820" w:type="dxa"/>
            <w:vAlign w:val="bottom"/>
            <w:gridSpan w:val="2"/>
            <w:shd w:val="clear" w:color="auto" w:fill="CCEEFF"/>
          </w:tcPr>
          <w:p>
            <w:pPr>
              <w:ind w:left="6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532,034</w:t>
            </w:r>
          </w:p>
        </w:tc>
        <w:tc>
          <w:tcPr>
            <w:tcW w:w="7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532,034</w:t>
            </w:r>
          </w:p>
        </w:tc>
        <w:tc>
          <w:tcPr>
            <w:tcW w:w="80" w:type="dxa"/>
            <w:vAlign w:val="bottom"/>
            <w:shd w:val="clear" w:color="auto" w:fill="CCEEFF"/>
          </w:tcPr>
          <w:p>
            <w:pPr>
              <w:spacing w:after="0"/>
              <w:rPr>
                <w:sz w:val="12"/>
                <w:szCs w:val="12"/>
                <w:color w:val="auto"/>
              </w:rPr>
            </w:pPr>
          </w:p>
        </w:tc>
      </w:tr>
      <w:tr>
        <w:trPr>
          <w:trHeight w:val="130"/>
        </w:trPr>
        <w:tc>
          <w:tcPr>
            <w:tcW w:w="1860" w:type="dxa"/>
            <w:vAlign w:val="bottom"/>
          </w:tcPr>
          <w:p>
            <w:pPr>
              <w:spacing w:after="0" w:line="131" w:lineRule="exact"/>
              <w:rPr>
                <w:sz w:val="20"/>
                <w:szCs w:val="20"/>
                <w:color w:val="auto"/>
              </w:rPr>
            </w:pPr>
            <w:r>
              <w:rPr>
                <w:rFonts w:ascii="Arial" w:cs="Arial" w:eastAsia="Arial" w:hAnsi="Arial"/>
                <w:sz w:val="13"/>
                <w:szCs w:val="13"/>
                <w:color w:val="auto"/>
              </w:rPr>
              <w:t>Other assets</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2,306,460</w:t>
            </w: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2,306,460</w:t>
            </w: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2,306,460</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1,759,125</w:t>
            </w:r>
          </w:p>
        </w:tc>
        <w:tc>
          <w:tcPr>
            <w:tcW w:w="820" w:type="dxa"/>
            <w:vAlign w:val="bottom"/>
            <w:gridSpan w:val="2"/>
          </w:tcPr>
          <w:p>
            <w:pPr>
              <w:ind w:left="640"/>
              <w:spacing w:after="0" w:line="13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1,759,125</w:t>
            </w: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1,759,125</w:t>
            </w:r>
          </w:p>
        </w:tc>
        <w:tc>
          <w:tcPr>
            <w:tcW w:w="80" w:type="dxa"/>
            <w:vAlign w:val="bottom"/>
          </w:tcPr>
          <w:p>
            <w:pPr>
              <w:spacing w:after="0"/>
              <w:rPr>
                <w:sz w:val="11"/>
                <w:szCs w:val="11"/>
                <w:color w:val="auto"/>
              </w:rPr>
            </w:pPr>
          </w:p>
        </w:tc>
      </w:tr>
      <w:tr>
        <w:trPr>
          <w:trHeight w:val="122"/>
        </w:trPr>
        <w:tc>
          <w:tcPr>
            <w:tcW w:w="18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3,815,301</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158,174,292</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6"/>
              </w:rPr>
              <w:t>161,989,593</w:t>
            </w: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161,991,309</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4,088,520</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6"/>
              </w:rPr>
              <w:t>150,274,488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154,363,008</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9"/>
              </w:rPr>
              <w:t>154,126,299</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22"/>
        </w:trPr>
        <w:tc>
          <w:tcPr>
            <w:tcW w:w="1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0"/>
        </w:trPr>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Liabilities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0"/>
        </w:trPr>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Deposits and obligations</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w w:val="99"/>
              </w:rPr>
              <w:t>104,551,310</w:t>
            </w: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104,551,310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w w:val="99"/>
              </w:rPr>
              <w:t>104,551,310</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97,170,411</w:t>
            </w:r>
          </w:p>
        </w:tc>
        <w:tc>
          <w:tcPr>
            <w:tcW w:w="820" w:type="dxa"/>
            <w:vAlign w:val="bottom"/>
            <w:gridSpan w:val="2"/>
            <w:shd w:val="clear" w:color="auto" w:fill="CCEEFF"/>
          </w:tcPr>
          <w:p>
            <w:pPr>
              <w:ind w:left="6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97,170,411</w:t>
            </w:r>
          </w:p>
        </w:tc>
        <w:tc>
          <w:tcPr>
            <w:tcW w:w="76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97,170,411</w:t>
            </w:r>
          </w:p>
        </w:tc>
        <w:tc>
          <w:tcPr>
            <w:tcW w:w="80" w:type="dxa"/>
            <w:vAlign w:val="bottom"/>
            <w:shd w:val="clear" w:color="auto" w:fill="CCEEFF"/>
          </w:tcPr>
          <w:p>
            <w:pPr>
              <w:spacing w:after="0"/>
              <w:rPr>
                <w:sz w:val="11"/>
                <w:szCs w:val="11"/>
                <w:color w:val="auto"/>
              </w:rPr>
            </w:pPr>
          </w:p>
        </w:tc>
      </w:tr>
      <w:tr>
        <w:trPr>
          <w:trHeight w:val="114"/>
        </w:trPr>
        <w:tc>
          <w:tcPr>
            <w:tcW w:w="1860" w:type="dxa"/>
            <w:vAlign w:val="bottom"/>
          </w:tcPr>
          <w:p>
            <w:pPr>
              <w:spacing w:after="0" w:line="114" w:lineRule="exact"/>
              <w:rPr>
                <w:sz w:val="20"/>
                <w:szCs w:val="20"/>
                <w:color w:val="auto"/>
              </w:rPr>
            </w:pPr>
            <w:r>
              <w:rPr>
                <w:rFonts w:ascii="Arial" w:cs="Arial" w:eastAsia="Arial" w:hAnsi="Arial"/>
                <w:sz w:val="13"/>
                <w:szCs w:val="13"/>
                <w:color w:val="auto"/>
                <w:w w:val="86"/>
              </w:rPr>
              <w:t>Payables on repurchase agreements</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6"/>
        </w:trPr>
        <w:tc>
          <w:tcPr>
            <w:tcW w:w="1860" w:type="dxa"/>
            <w:vAlign w:val="bottom"/>
          </w:tcPr>
          <w:p>
            <w:pPr>
              <w:spacing w:after="0" w:line="146" w:lineRule="exact"/>
              <w:rPr>
                <w:sz w:val="20"/>
                <w:szCs w:val="20"/>
                <w:color w:val="auto"/>
              </w:rPr>
            </w:pPr>
            <w:r>
              <w:rPr>
                <w:rFonts w:ascii="Arial" w:cs="Arial" w:eastAsia="Arial" w:hAnsi="Arial"/>
                <w:sz w:val="13"/>
                <w:szCs w:val="13"/>
                <w:color w:val="auto"/>
              </w:rPr>
              <w:t>and securities lending</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9,415,357</w:t>
            </w:r>
          </w:p>
        </w:tc>
        <w:tc>
          <w:tcPr>
            <w:tcW w:w="8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9,415,357</w:t>
            </w: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9,415,357</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13,415,843</w:t>
            </w:r>
          </w:p>
        </w:tc>
        <w:tc>
          <w:tcPr>
            <w:tcW w:w="820" w:type="dxa"/>
            <w:vAlign w:val="bottom"/>
            <w:gridSpan w:val="2"/>
          </w:tcPr>
          <w:p>
            <w:pPr>
              <w:ind w:left="64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13,415,843</w:t>
            </w: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13,415,843</w:t>
            </w:r>
          </w:p>
        </w:tc>
        <w:tc>
          <w:tcPr>
            <w:tcW w:w="80" w:type="dxa"/>
            <w:vAlign w:val="bottom"/>
          </w:tcPr>
          <w:p>
            <w:pPr>
              <w:spacing w:after="0"/>
              <w:rPr>
                <w:sz w:val="12"/>
                <w:szCs w:val="12"/>
                <w:color w:val="auto"/>
              </w:rPr>
            </w:pPr>
          </w:p>
        </w:tc>
      </w:tr>
      <w:tr>
        <w:trPr>
          <w:trHeight w:val="114"/>
        </w:trPr>
        <w:tc>
          <w:tcPr>
            <w:tcW w:w="1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3"/>
              </w:rPr>
              <w:t>Due to Banks and correspondents</w:t>
            </w: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6"/>
        </w:trPr>
        <w:tc>
          <w:tcPr>
            <w:tcW w:w="1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and other entities</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8,520,401</w:t>
            </w:r>
          </w:p>
        </w:tc>
        <w:tc>
          <w:tcPr>
            <w:tcW w:w="8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8,520,401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8,448,140</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8,034,990</w:t>
            </w:r>
          </w:p>
        </w:tc>
        <w:tc>
          <w:tcPr>
            <w:tcW w:w="820" w:type="dxa"/>
            <w:vAlign w:val="bottom"/>
            <w:gridSpan w:val="2"/>
            <w:shd w:val="clear" w:color="auto" w:fill="CCEEFF"/>
          </w:tcPr>
          <w:p>
            <w:pPr>
              <w:ind w:left="64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8,034,990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7,996,889</w:t>
            </w:r>
          </w:p>
        </w:tc>
        <w:tc>
          <w:tcPr>
            <w:tcW w:w="80" w:type="dxa"/>
            <w:vAlign w:val="bottom"/>
            <w:shd w:val="clear" w:color="auto" w:fill="CCEEFF"/>
          </w:tcPr>
          <w:p>
            <w:pPr>
              <w:spacing w:after="0"/>
              <w:rPr>
                <w:sz w:val="12"/>
                <w:szCs w:val="12"/>
                <w:color w:val="auto"/>
              </w:rPr>
            </w:pPr>
          </w:p>
        </w:tc>
      </w:tr>
      <w:tr>
        <w:trPr>
          <w:trHeight w:val="130"/>
        </w:trPr>
        <w:tc>
          <w:tcPr>
            <w:tcW w:w="1860" w:type="dxa"/>
            <w:vAlign w:val="bottom"/>
          </w:tcPr>
          <w:p>
            <w:pPr>
              <w:spacing w:after="0" w:line="131" w:lineRule="exact"/>
              <w:rPr>
                <w:sz w:val="20"/>
                <w:szCs w:val="20"/>
                <w:color w:val="auto"/>
              </w:rPr>
            </w:pPr>
            <w:r>
              <w:rPr>
                <w:rFonts w:ascii="Arial" w:cs="Arial" w:eastAsia="Arial" w:hAnsi="Arial"/>
                <w:sz w:val="13"/>
                <w:szCs w:val="13"/>
                <w:color w:val="auto"/>
                <w:w w:val="92"/>
              </w:rPr>
              <w:t>Banker’s acceptances outstanding</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967,968</w:t>
            </w: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967,968</w:t>
            </w: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967,968</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532,034</w:t>
            </w:r>
          </w:p>
        </w:tc>
        <w:tc>
          <w:tcPr>
            <w:tcW w:w="820" w:type="dxa"/>
            <w:vAlign w:val="bottom"/>
            <w:gridSpan w:val="2"/>
          </w:tcPr>
          <w:p>
            <w:pPr>
              <w:ind w:left="640"/>
              <w:spacing w:after="0" w:line="13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532,034</w:t>
            </w: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532,034</w:t>
            </w:r>
          </w:p>
        </w:tc>
        <w:tc>
          <w:tcPr>
            <w:tcW w:w="80" w:type="dxa"/>
            <w:vAlign w:val="bottom"/>
          </w:tcPr>
          <w:p>
            <w:pPr>
              <w:spacing w:after="0"/>
              <w:rPr>
                <w:sz w:val="11"/>
                <w:szCs w:val="11"/>
                <w:color w:val="auto"/>
              </w:rPr>
            </w:pPr>
          </w:p>
        </w:tc>
      </w:tr>
      <w:tr>
        <w:trPr>
          <w:trHeight w:val="114"/>
        </w:trPr>
        <w:tc>
          <w:tcPr>
            <w:tcW w:w="1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Payable to reinsurers and</w:t>
            </w: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6"/>
        </w:trPr>
        <w:tc>
          <w:tcPr>
            <w:tcW w:w="1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coinsurers</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308,602</w:t>
            </w:r>
          </w:p>
        </w:tc>
        <w:tc>
          <w:tcPr>
            <w:tcW w:w="8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308,602</w:t>
            </w: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308,602</w:t>
            </w: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235,185</w:t>
            </w:r>
          </w:p>
        </w:tc>
        <w:tc>
          <w:tcPr>
            <w:tcW w:w="820" w:type="dxa"/>
            <w:vAlign w:val="bottom"/>
            <w:gridSpan w:val="2"/>
            <w:shd w:val="clear" w:color="auto" w:fill="CCEEFF"/>
          </w:tcPr>
          <w:p>
            <w:pPr>
              <w:ind w:left="6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235,185</w:t>
            </w:r>
          </w:p>
        </w:tc>
        <w:tc>
          <w:tcPr>
            <w:tcW w:w="7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235,185</w:t>
            </w:r>
          </w:p>
        </w:tc>
        <w:tc>
          <w:tcPr>
            <w:tcW w:w="80" w:type="dxa"/>
            <w:vAlign w:val="bottom"/>
            <w:shd w:val="clear" w:color="auto" w:fill="CCEEFF"/>
          </w:tcPr>
          <w:p>
            <w:pPr>
              <w:spacing w:after="0"/>
              <w:rPr>
                <w:sz w:val="12"/>
                <w:szCs w:val="12"/>
                <w:color w:val="auto"/>
              </w:rPr>
            </w:pPr>
          </w:p>
        </w:tc>
      </w:tr>
      <w:tr>
        <w:trPr>
          <w:trHeight w:val="130"/>
        </w:trPr>
        <w:tc>
          <w:tcPr>
            <w:tcW w:w="1860" w:type="dxa"/>
            <w:vAlign w:val="bottom"/>
          </w:tcPr>
          <w:p>
            <w:pPr>
              <w:spacing w:after="0" w:line="131" w:lineRule="exact"/>
              <w:rPr>
                <w:sz w:val="20"/>
                <w:szCs w:val="20"/>
                <w:color w:val="auto"/>
              </w:rPr>
            </w:pPr>
            <w:r>
              <w:rPr>
                <w:rFonts w:ascii="Arial" w:cs="Arial" w:eastAsia="Arial" w:hAnsi="Arial"/>
                <w:sz w:val="13"/>
                <w:szCs w:val="13"/>
                <w:color w:val="auto"/>
              </w:rPr>
              <w:t>Bond and notes issued</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15,928,607</w:t>
            </w: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15,928,607</w:t>
            </w: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15,457,540</w:t>
            </w: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8,830,070</w:t>
            </w:r>
          </w:p>
        </w:tc>
        <w:tc>
          <w:tcPr>
            <w:tcW w:w="820" w:type="dxa"/>
            <w:vAlign w:val="bottom"/>
            <w:gridSpan w:val="2"/>
          </w:tcPr>
          <w:p>
            <w:pPr>
              <w:ind w:left="640"/>
              <w:spacing w:after="0" w:line="13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8,830,070</w:t>
            </w: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8,255,718</w:t>
            </w:r>
          </w:p>
        </w:tc>
        <w:tc>
          <w:tcPr>
            <w:tcW w:w="80" w:type="dxa"/>
            <w:vAlign w:val="bottom"/>
          </w:tcPr>
          <w:p>
            <w:pPr>
              <w:spacing w:after="0"/>
              <w:rPr>
                <w:sz w:val="11"/>
                <w:szCs w:val="11"/>
                <w:color w:val="auto"/>
              </w:rPr>
            </w:pPr>
          </w:p>
        </w:tc>
      </w:tr>
      <w:tr>
        <w:trPr>
          <w:trHeight w:val="130"/>
        </w:trPr>
        <w:tc>
          <w:tcPr>
            <w:tcW w:w="18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Other liabilities</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2,996,068</w:t>
            </w: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2,996,068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2,996,068</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3,270,714</w:t>
            </w:r>
          </w:p>
        </w:tc>
        <w:tc>
          <w:tcPr>
            <w:tcW w:w="820" w:type="dxa"/>
            <w:vAlign w:val="bottom"/>
            <w:gridSpan w:val="2"/>
            <w:shd w:val="clear" w:color="auto" w:fill="CCEEFF"/>
          </w:tcPr>
          <w:p>
            <w:pPr>
              <w:ind w:left="640"/>
              <w:spacing w:after="0" w:line="13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3,270,714</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3,270,714</w:t>
            </w:r>
          </w:p>
        </w:tc>
        <w:tc>
          <w:tcPr>
            <w:tcW w:w="80" w:type="dxa"/>
            <w:vAlign w:val="bottom"/>
            <w:shd w:val="clear" w:color="auto" w:fill="CCEEFF"/>
          </w:tcPr>
          <w:p>
            <w:pPr>
              <w:spacing w:after="0"/>
              <w:rPr>
                <w:sz w:val="11"/>
                <w:szCs w:val="11"/>
                <w:color w:val="auto"/>
              </w:rPr>
            </w:pPr>
          </w:p>
        </w:tc>
      </w:tr>
      <w:tr>
        <w:trPr>
          <w:trHeight w:val="122"/>
        </w:trPr>
        <w:tc>
          <w:tcPr>
            <w:tcW w:w="1860" w:type="dxa"/>
            <w:vAlign w:val="bottom"/>
          </w:tcPr>
          <w:p>
            <w:pPr>
              <w:spacing w:after="0" w:line="123" w:lineRule="exact"/>
              <w:rPr>
                <w:sz w:val="20"/>
                <w:szCs w:val="20"/>
                <w:color w:val="auto"/>
              </w:rPr>
            </w:pPr>
            <w:r>
              <w:rPr>
                <w:rFonts w:ascii="Arial" w:cs="Arial" w:eastAsia="Arial" w:hAnsi="Arial"/>
                <w:sz w:val="13"/>
                <w:szCs w:val="13"/>
                <w:b w:val="1"/>
                <w:bCs w:val="1"/>
                <w:color w:val="auto"/>
              </w:rPr>
              <w:t>Total</w:t>
            </w:r>
          </w:p>
        </w:tc>
        <w:tc>
          <w:tcPr>
            <w:tcW w:w="7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9"/>
              </w:rPr>
              <w:t>142,688,313</w:t>
            </w:r>
          </w:p>
        </w:tc>
        <w:tc>
          <w:tcPr>
            <w:tcW w:w="1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6"/>
              </w:rPr>
              <w:t>142,688,313</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9"/>
              </w:rPr>
              <w:t>142,144,985</w:t>
            </w:r>
          </w:p>
        </w:tc>
        <w:tc>
          <w:tcPr>
            <w:tcW w:w="1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6"/>
              </w:rPr>
              <w:t>131,489,247</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9"/>
              </w:rPr>
              <w:t>131,489,247</w:t>
            </w:r>
          </w:p>
        </w:tc>
        <w:tc>
          <w:tcPr>
            <w:tcW w:w="1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w w:val="99"/>
              </w:rPr>
              <w:t>130,876,794</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1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- 161 -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600"/>
          </w:cols>
          <w:pgMar w:left="520" w:top="838" w:right="779" w:bottom="1440" w:gutter="0" w:footer="0" w:header="0"/>
        </w:sectPr>
      </w:pPr>
    </w:p>
    <w:bookmarkStart w:id="168" w:name="page169"/>
    <w:bookmarkEnd w:id="168"/>
    <w:p>
      <w:pPr>
        <w:ind w:left="560" w:right="480"/>
        <w:spacing w:after="0" w:line="269" w:lineRule="auto"/>
        <w:rPr>
          <w:sz w:val="20"/>
          <w:szCs w:val="20"/>
          <w:color w:val="auto"/>
        </w:rPr>
      </w:pPr>
      <w:r>
        <w:rPr>
          <w:rFonts w:ascii="Arial" w:cs="Arial" w:eastAsia="Arial" w:hAnsi="Arial"/>
          <w:sz w:val="16"/>
          <w:szCs w:val="16"/>
          <w:color w:val="auto"/>
        </w:rPr>
        <w:t>The methodologies and assumptions used by the Group to determine fair values depend on the terms and risk characteristics of the various financial instruments and include the following:</w:t>
      </w:r>
    </w:p>
    <w:p>
      <w:pPr>
        <w:spacing w:after="0" w:line="157" w:lineRule="exact"/>
        <w:rPr>
          <w:sz w:val="20"/>
          <w:szCs w:val="20"/>
          <w:color w:val="auto"/>
        </w:rPr>
      </w:pPr>
    </w:p>
    <w:p>
      <w:pPr>
        <w:ind w:left="840" w:right="60" w:hanging="276"/>
        <w:spacing w:after="0" w:line="312" w:lineRule="auto"/>
        <w:tabs>
          <w:tab w:leader="none" w:pos="84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2018 and 2017, the carrying amounts of loans, net of allowances, were not materially different from their calculated fair values.</w:t>
      </w:r>
    </w:p>
    <w:p>
      <w:pPr>
        <w:spacing w:after="0" w:line="130" w:lineRule="exact"/>
        <w:rPr>
          <w:rFonts w:ascii="Arial" w:cs="Arial" w:eastAsia="Arial" w:hAnsi="Arial"/>
          <w:sz w:val="14"/>
          <w:szCs w:val="14"/>
          <w:color w:val="auto"/>
        </w:rPr>
      </w:pPr>
    </w:p>
    <w:p>
      <w:pPr>
        <w:ind w:left="840" w:right="100" w:hanging="276"/>
        <w:spacing w:after="0" w:line="258" w:lineRule="auto"/>
        <w:tabs>
          <w:tab w:leader="none" w:pos="8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65" w:lineRule="exact"/>
        <w:rPr>
          <w:rFonts w:ascii="Arial" w:cs="Arial" w:eastAsia="Arial" w:hAnsi="Arial"/>
          <w:sz w:val="16"/>
          <w:szCs w:val="16"/>
          <w:color w:val="auto"/>
        </w:rPr>
      </w:pPr>
    </w:p>
    <w:p>
      <w:pPr>
        <w:ind w:left="840" w:right="40" w:hanging="276"/>
        <w:spacing w:after="0" w:line="252" w:lineRule="auto"/>
        <w:tabs>
          <w:tab w:leader="none" w:pos="8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33.8 Fiduciary activities, management of funds and pension funds -</w:t>
      </w:r>
    </w:p>
    <w:p>
      <w:pPr>
        <w:spacing w:after="0" w:line="199" w:lineRule="exact"/>
        <w:rPr>
          <w:sz w:val="20"/>
          <w:szCs w:val="20"/>
          <w:color w:val="auto"/>
        </w:rPr>
      </w:pPr>
    </w:p>
    <w:p>
      <w:pPr>
        <w:ind w:left="380" w:right="40"/>
        <w:spacing w:after="0" w:line="258"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2018 and 2017, the value of the net assets under administration off the balance sheet (in millions of soles)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20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060" w:type="dxa"/>
            <w:vAlign w:val="bottom"/>
          </w:tcPr>
          <w:p>
            <w:pPr>
              <w:jc w:val="right"/>
              <w:ind w:right="30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Pension funds</w:t>
            </w:r>
          </w:p>
        </w:tc>
        <w:tc>
          <w:tcPr>
            <w:tcW w:w="54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47,452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48,868</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Investment funds</w:t>
            </w:r>
          </w:p>
        </w:tc>
        <w:tc>
          <w:tcPr>
            <w:tcW w:w="5400" w:type="dxa"/>
            <w:vAlign w:val="bottom"/>
            <w:gridSpan w:val="3"/>
          </w:tcPr>
          <w:p>
            <w:pPr>
              <w:jc w:val="right"/>
              <w:ind w:right="200"/>
              <w:spacing w:after="0"/>
              <w:rPr>
                <w:sz w:val="20"/>
                <w:szCs w:val="20"/>
                <w:color w:val="auto"/>
              </w:rPr>
            </w:pPr>
            <w:r>
              <w:rPr>
                <w:rFonts w:ascii="Arial" w:cs="Arial" w:eastAsia="Arial" w:hAnsi="Arial"/>
                <w:sz w:val="16"/>
                <w:szCs w:val="16"/>
                <w:color w:val="auto"/>
              </w:rPr>
              <w:t>40,186</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37,567</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Equity managed</w:t>
            </w:r>
          </w:p>
        </w:tc>
        <w:tc>
          <w:tcPr>
            <w:tcW w:w="54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15,397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12,874</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Bank trusts</w:t>
            </w:r>
          </w:p>
        </w:tc>
        <w:tc>
          <w:tcPr>
            <w:tcW w:w="5400" w:type="dxa"/>
            <w:vAlign w:val="bottom"/>
            <w:gridSpan w:val="3"/>
          </w:tcPr>
          <w:p>
            <w:pPr>
              <w:jc w:val="right"/>
              <w:ind w:right="200"/>
              <w:spacing w:after="0"/>
              <w:rPr>
                <w:sz w:val="20"/>
                <w:szCs w:val="20"/>
                <w:color w:val="auto"/>
              </w:rPr>
            </w:pPr>
            <w:r>
              <w:rPr>
                <w:rFonts w:ascii="Arial" w:cs="Arial" w:eastAsia="Arial" w:hAnsi="Arial"/>
                <w:sz w:val="16"/>
                <w:szCs w:val="16"/>
                <w:color w:val="auto"/>
              </w:rPr>
              <w:t>4,608</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3,435</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16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Total</w:t>
            </w:r>
          </w:p>
        </w:tc>
        <w:tc>
          <w:tcPr>
            <w:tcW w:w="41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107,643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102,744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140" w:type="dxa"/>
            <w:vAlign w:val="bottom"/>
            <w:vMerge w:val="restart"/>
          </w:tcPr>
          <w:p>
            <w:pPr>
              <w:jc w:val="right"/>
              <w:ind w:right="1561"/>
              <w:spacing w:after="0"/>
              <w:rPr>
                <w:sz w:val="20"/>
                <w:szCs w:val="20"/>
                <w:color w:val="auto"/>
              </w:rPr>
            </w:pPr>
            <w:r>
              <w:rPr>
                <w:rFonts w:ascii="Arial" w:cs="Arial" w:eastAsia="Arial" w:hAnsi="Arial"/>
                <w:sz w:val="16"/>
                <w:szCs w:val="16"/>
                <w:color w:val="auto"/>
              </w:rPr>
              <w:t>- 162 -</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5" w:right="219" w:bottom="1440" w:gutter="0" w:footer="0" w:header="0"/>
        </w:sectPr>
      </w:pPr>
    </w:p>
    <w:bookmarkStart w:id="169" w:name="page170"/>
    <w:bookmarkEnd w:id="169"/>
    <w:p>
      <w:pPr>
        <w:ind w:left="285" w:right="8120" w:hanging="285"/>
        <w:spacing w:after="0" w:line="497" w:lineRule="auto"/>
        <w:tabs>
          <w:tab w:leader="none" w:pos="285"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Legal claim contingencies –</w:t>
      </w:r>
    </w:p>
    <w:p>
      <w:pPr>
        <w:ind w:left="565" w:hanging="281"/>
        <w:spacing w:after="0"/>
        <w:tabs>
          <w:tab w:leader="none" w:pos="565" w:val="left"/>
        </w:tabs>
        <w:numPr>
          <w:ilvl w:val="1"/>
          <w:numId w:val="186"/>
        </w:numPr>
        <w:rPr>
          <w:rFonts w:ascii="Arial" w:cs="Arial" w:eastAsia="Arial" w:hAnsi="Arial"/>
          <w:sz w:val="16"/>
          <w:szCs w:val="16"/>
          <w:color w:val="auto"/>
        </w:rPr>
      </w:pPr>
      <w:r>
        <w:rPr>
          <w:rFonts w:ascii="Arial" w:cs="Arial" w:eastAsia="Arial" w:hAnsi="Arial"/>
          <w:sz w:val="16"/>
          <w:szCs w:val="16"/>
          <w:color w:val="auto"/>
        </w:rPr>
        <w:t>Madoff Trustee Litigation -</w:t>
      </w:r>
    </w:p>
    <w:p>
      <w:pPr>
        <w:spacing w:after="0" w:line="195" w:lineRule="exact"/>
        <w:rPr>
          <w:rFonts w:ascii="Arial" w:cs="Arial" w:eastAsia="Arial" w:hAnsi="Arial"/>
          <w:sz w:val="16"/>
          <w:szCs w:val="16"/>
          <w:color w:val="auto"/>
        </w:rPr>
      </w:pPr>
    </w:p>
    <w:p>
      <w:pPr>
        <w:ind w:left="565" w:right="240"/>
        <w:spacing w:after="0" w:line="302" w:lineRule="auto"/>
        <w:rPr>
          <w:rFonts w:ascii="Arial" w:cs="Arial" w:eastAsia="Arial" w:hAnsi="Arial"/>
          <w:sz w:val="16"/>
          <w:szCs w:val="16"/>
          <w:color w:val="auto"/>
        </w:rPr>
      </w:pPr>
      <w:r>
        <w:rPr>
          <w:rFonts w:ascii="Arial" w:cs="Arial" w:eastAsia="Arial" w:hAnsi="Arial"/>
          <w:sz w:val="14"/>
          <w:szCs w:val="14"/>
          <w:color w:val="auto"/>
        </w:rPr>
        <w:t>On September 22, 2011, the Trustee for the liquidations of Bernard L. Madoff Investment Securities LLC (BLMIS), (“the Madoff Trustee”) filed a complaint against Credicorp’s subsidiary Atlantic Security Bank (ASB) in U.S. Bankruptcy Court Southern District of New York, for an amount of approximately US$120.0 million (“the Complaint”), equivalent to approximately S/404.8 million, which corresponds to the funds that ASB managed in Atlantic US Blue Chip Fund and that were redeemed between the end of 2004 and the beginning of 2005 from Fairfield Sentry Limited Fund in Liquidation (hereafter “Fairfield”), a fund that invested in BLMIS.</w:t>
      </w:r>
    </w:p>
    <w:p>
      <w:pPr>
        <w:spacing w:after="0" w:line="137" w:lineRule="exact"/>
        <w:rPr>
          <w:rFonts w:ascii="Arial" w:cs="Arial" w:eastAsia="Arial" w:hAnsi="Arial"/>
          <w:sz w:val="16"/>
          <w:szCs w:val="16"/>
          <w:color w:val="auto"/>
        </w:rPr>
      </w:pPr>
    </w:p>
    <w:p>
      <w:pPr>
        <w:ind w:left="565"/>
        <w:spacing w:after="0" w:line="252" w:lineRule="auto"/>
        <w:rPr>
          <w:rFonts w:ascii="Arial" w:cs="Arial" w:eastAsia="Arial" w:hAnsi="Arial"/>
          <w:sz w:val="16"/>
          <w:szCs w:val="16"/>
          <w:color w:val="auto"/>
        </w:rPr>
      </w:pPr>
      <w:r>
        <w:rPr>
          <w:rFonts w:ascii="Arial" w:cs="Arial" w:eastAsia="Arial" w:hAnsi="Arial"/>
          <w:sz w:val="16"/>
          <w:szCs w:val="16"/>
          <w:color w:val="auto"/>
        </w:rPr>
        <w:t>The Complaint further alleges that the Madoff Trustee filed an adversary proceeding against Fairfield, seeking to avoid and recover the initial transfers of money from BLMIS to Fairfield; that on June 7 and 10, 2011, the Bankruptcy Court approved a settlement between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in and redeemed funds from BLMIS.</w:t>
      </w:r>
    </w:p>
    <w:p>
      <w:pPr>
        <w:spacing w:after="0" w:line="171" w:lineRule="exact"/>
        <w:rPr>
          <w:rFonts w:ascii="Arial" w:cs="Arial" w:eastAsia="Arial" w:hAnsi="Arial"/>
          <w:sz w:val="16"/>
          <w:szCs w:val="16"/>
          <w:color w:val="auto"/>
        </w:rPr>
      </w:pPr>
    </w:p>
    <w:p>
      <w:pPr>
        <w:ind w:left="565" w:right="40"/>
        <w:spacing w:after="0" w:line="277" w:lineRule="auto"/>
        <w:rPr>
          <w:rFonts w:ascii="Arial" w:cs="Arial" w:eastAsia="Arial" w:hAnsi="Arial"/>
          <w:sz w:val="16"/>
          <w:szCs w:val="16"/>
          <w:color w:val="auto"/>
        </w:rPr>
      </w:pPr>
      <w:r>
        <w:rPr>
          <w:rFonts w:ascii="Arial" w:cs="Arial" w:eastAsia="Arial" w:hAnsi="Arial"/>
          <w:sz w:val="15"/>
          <w:szCs w:val="15"/>
          <w:color w:val="auto"/>
        </w:rPr>
        <w:t>On July 7, 2014, the District Court of New York issued an opinion indicating that the Bankruptcy Laws of the United States are not applicable extraterritorially to permit the recovery of subsequent transfers made outside of the United States, between foreign entities. Furthermore, the District Court returned the case to the Bankruptcy Court, which, on November 22, 2016, issued a verdict establishing that certain subsequent transfers made overseas could not be recovered under the Bankruptcy Laws of the United States and rejected the demands presented by the Trustee of Madoff against the foreign entities; among them, the ASB.</w:t>
      </w:r>
    </w:p>
    <w:p>
      <w:pPr>
        <w:spacing w:after="0" w:line="151" w:lineRule="exact"/>
        <w:rPr>
          <w:rFonts w:ascii="Arial" w:cs="Arial" w:eastAsia="Arial" w:hAnsi="Arial"/>
          <w:sz w:val="16"/>
          <w:szCs w:val="16"/>
          <w:color w:val="auto"/>
        </w:rPr>
      </w:pPr>
    </w:p>
    <w:p>
      <w:pPr>
        <w:jc w:val="both"/>
        <w:ind w:left="565" w:right="400"/>
        <w:spacing w:after="0" w:line="254" w:lineRule="auto"/>
        <w:rPr>
          <w:rFonts w:ascii="Arial" w:cs="Arial" w:eastAsia="Arial" w:hAnsi="Arial"/>
          <w:sz w:val="16"/>
          <w:szCs w:val="16"/>
          <w:color w:val="auto"/>
        </w:rPr>
      </w:pPr>
      <w:r>
        <w:rPr>
          <w:rFonts w:ascii="Arial" w:cs="Arial" w:eastAsia="Arial" w:hAnsi="Arial"/>
          <w:sz w:val="16"/>
          <w:szCs w:val="16"/>
          <w:color w:val="auto"/>
        </w:rPr>
        <w:t>On March 16, 2017, the Trustee appealed this decision, additionally seeking that the appeal be heard be heard before the Second Circuit of the Court of Appeal of the United States. On September 27, 2017, the Court of Appeals admitted the hearing of the Trustee’s appeal directly before said Court. On January 10, 2018, the Trustee presented to the Court the written arguments that support his appeal. Dated April 18 and May 9 of 2018, respectively, ASB and the Trustee have submitted additional written arguments supporting their respective positions on the subject.</w:t>
      </w:r>
    </w:p>
    <w:p>
      <w:pPr>
        <w:spacing w:after="0" w:line="169" w:lineRule="exact"/>
        <w:rPr>
          <w:rFonts w:ascii="Arial" w:cs="Arial" w:eastAsia="Arial" w:hAnsi="Arial"/>
          <w:sz w:val="16"/>
          <w:szCs w:val="16"/>
          <w:color w:val="auto"/>
        </w:rPr>
      </w:pPr>
    </w:p>
    <w:p>
      <w:pPr>
        <w:ind w:left="565" w:right="160"/>
        <w:spacing w:after="0" w:line="254" w:lineRule="auto"/>
        <w:rPr>
          <w:rFonts w:ascii="Arial" w:cs="Arial" w:eastAsia="Arial" w:hAnsi="Arial"/>
          <w:sz w:val="16"/>
          <w:szCs w:val="16"/>
          <w:color w:val="auto"/>
        </w:rPr>
      </w:pPr>
      <w:r>
        <w:rPr>
          <w:rFonts w:ascii="Arial" w:cs="Arial" w:eastAsia="Arial" w:hAnsi="Arial"/>
          <w:sz w:val="16"/>
          <w:szCs w:val="16"/>
          <w:color w:val="auto"/>
        </w:rPr>
        <w:t>The Court of Appeals held an oral hearing on the case on November 16, 2018; the Court listened to the arguments of both parties. On February 25, 2019, the Court of Appeals issued its resolution whereby it has revoked the resolution of the Bankruptcy Court. Although the decision of the Court of Appeals is an adverse outcome in the process does not mean a final result in the trial, but leaves aside a procedural defense that we had. Our attorneys in the United States will be meeting in the next few days with the attorneys of the other defendants to evaluate the next steps.</w:t>
      </w:r>
    </w:p>
    <w:p>
      <w:pPr>
        <w:spacing w:after="0" w:line="169" w:lineRule="exact"/>
        <w:rPr>
          <w:rFonts w:ascii="Arial" w:cs="Arial" w:eastAsia="Arial" w:hAnsi="Arial"/>
          <w:sz w:val="16"/>
          <w:szCs w:val="16"/>
          <w:color w:val="auto"/>
        </w:rPr>
      </w:pPr>
    </w:p>
    <w:p>
      <w:pPr>
        <w:ind w:left="565" w:right="20"/>
        <w:spacing w:after="0" w:line="252" w:lineRule="auto"/>
        <w:rPr>
          <w:rFonts w:ascii="Arial" w:cs="Arial" w:eastAsia="Arial" w:hAnsi="Arial"/>
          <w:sz w:val="16"/>
          <w:szCs w:val="16"/>
          <w:color w:val="auto"/>
        </w:rPr>
      </w:pPr>
      <w:r>
        <w:rPr>
          <w:rFonts w:ascii="Arial" w:cs="Arial" w:eastAsia="Arial" w:hAnsi="Arial"/>
          <w:sz w:val="16"/>
          <w:szCs w:val="16"/>
          <w:color w:val="auto"/>
        </w:rPr>
        <w:t>Management believes that, nevertheless the resolution of the Court of Appeals, ASB has other valid defense arguments against the Madoff Trustee's claims presented in the Complaint and intends to answer the Claim.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resulting in a net loss in the funds that ASB managed on behalf of its costumers for approximately US$78.0 million (equivalent to approximately S/263.1 million) as of December, 2008.</w:t>
      </w:r>
    </w:p>
    <w:p>
      <w:pPr>
        <w:spacing w:after="0" w:line="361" w:lineRule="exact"/>
        <w:rPr>
          <w:rFonts w:ascii="Arial" w:cs="Arial" w:eastAsia="Arial" w:hAnsi="Arial"/>
          <w:sz w:val="16"/>
          <w:szCs w:val="16"/>
          <w:color w:val="auto"/>
        </w:rPr>
      </w:pPr>
    </w:p>
    <w:p>
      <w:pPr>
        <w:ind w:left="5605" w:hanging="91"/>
        <w:spacing w:after="0"/>
        <w:tabs>
          <w:tab w:leader="none" w:pos="5605" w:val="left"/>
        </w:tabs>
        <w:numPr>
          <w:ilvl w:val="2"/>
          <w:numId w:val="186"/>
        </w:numPr>
        <w:rPr>
          <w:rFonts w:ascii="Arial" w:cs="Arial" w:eastAsia="Arial" w:hAnsi="Arial"/>
          <w:sz w:val="16"/>
          <w:szCs w:val="16"/>
          <w:color w:val="auto"/>
        </w:rPr>
      </w:pPr>
      <w:r>
        <w:rPr>
          <w:rFonts w:ascii="Arial" w:cs="Arial" w:eastAsia="Arial" w:hAnsi="Arial"/>
          <w:sz w:val="16"/>
          <w:szCs w:val="16"/>
          <w:color w:val="auto"/>
        </w:rPr>
        <w:t>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425"/>
          </w:cols>
          <w:pgMar w:left="235" w:top="1048" w:right="239" w:bottom="1440" w:gutter="0" w:footer="0" w:header="0"/>
        </w:sectPr>
      </w:pPr>
    </w:p>
    <w:bookmarkStart w:id="170" w:name="page171"/>
    <w:bookmarkEnd w:id="170"/>
    <w:p>
      <w:pPr>
        <w:ind w:left="281" w:hanging="281"/>
        <w:spacing w:after="0"/>
        <w:tabs>
          <w:tab w:leader="none" w:pos="28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Fairfield Liquidator Litigation -</w:t>
      </w:r>
    </w:p>
    <w:p>
      <w:pPr>
        <w:spacing w:after="0" w:line="195" w:lineRule="exact"/>
        <w:rPr>
          <w:rFonts w:ascii="Arial" w:cs="Arial" w:eastAsia="Arial" w:hAnsi="Arial"/>
          <w:sz w:val="16"/>
          <w:szCs w:val="16"/>
          <w:color w:val="auto"/>
        </w:rPr>
      </w:pPr>
    </w:p>
    <w:p>
      <w:pPr>
        <w:ind w:left="281" w:right="140"/>
        <w:spacing w:after="0" w:line="297" w:lineRule="auto"/>
        <w:rPr>
          <w:rFonts w:ascii="Arial" w:cs="Arial" w:eastAsia="Arial" w:hAnsi="Arial"/>
          <w:sz w:val="16"/>
          <w:szCs w:val="16"/>
          <w:color w:val="auto"/>
        </w:rPr>
      </w:pPr>
      <w:r>
        <w:rPr>
          <w:rFonts w:ascii="Arial" w:cs="Arial" w:eastAsia="Arial" w:hAnsi="Arial"/>
          <w:sz w:val="14"/>
          <w:szCs w:val="14"/>
          <w:color w:val="auto"/>
        </w:rPr>
        <w:t>On April 13, 2012, Fairfield and its representative, Kenneth Krys (the “Fairfield Liquidator”), filed an adversary proceeding against ASB pursuant to Chapter 15 of the U.S. Bankruptcy Code, in the U.S Bankruptcy Court for the Southern District of New York, styled as Fairfield Sentry Limited (In Liquidation) v. Atlantic Security Bank, Adv. Pro. N° 12-01550 (BRL) (Bankr. S.D.N.Y.) (“Fairfield v. ASB Adversary Proceeding”). The complaint sought to recover the amount of approximately US$115.0 million (equivalent to approximately S/387.9 million), reflecting ASB’s redemptions of certain investments in Fairfield Sentry Limited, together with investment returns thereon. These are essentially the same moneys that the Madoff Trustee seeks to recover in the Madoff Litigation described above.</w:t>
      </w:r>
    </w:p>
    <w:p>
      <w:pPr>
        <w:spacing w:after="0" w:line="141" w:lineRule="exact"/>
        <w:rPr>
          <w:rFonts w:ascii="Arial" w:cs="Arial" w:eastAsia="Arial" w:hAnsi="Arial"/>
          <w:sz w:val="16"/>
          <w:szCs w:val="16"/>
          <w:color w:val="auto"/>
        </w:rPr>
      </w:pPr>
    </w:p>
    <w:p>
      <w:pPr>
        <w:ind w:left="281"/>
        <w:spacing w:after="0" w:line="270" w:lineRule="auto"/>
        <w:rPr>
          <w:rFonts w:ascii="Arial" w:cs="Arial" w:eastAsia="Arial" w:hAnsi="Arial"/>
          <w:sz w:val="16"/>
          <w:szCs w:val="16"/>
          <w:color w:val="auto"/>
        </w:rPr>
      </w:pPr>
      <w:r>
        <w:rPr>
          <w:rFonts w:ascii="Arial" w:cs="Arial" w:eastAsia="Arial" w:hAnsi="Arial"/>
          <w:sz w:val="15"/>
          <w:szCs w:val="15"/>
          <w:color w:val="auto"/>
        </w:rPr>
        <w:t>Thereafter, the Fairfield v. ASB Adversary Proceeding was procedurally consolidated by the Bankruptcy Court with other adversary actions by the Fairfield Liquidator against former investors in Fairfield Sentry. Pursuant to that consolidation, and by consent of the parties, the Bankruptcy Court decreed the suspension of all proceedings in the Fairfield Liquidator adversary actions (except for the filing of amended complaints) in the light of the pending litigation in the British Virgin Island courts (BVI litigation) calling into question the Fairfield Liquidator’s ability to seek recovery of funds invested with and redeemed from Fairfield Sentry. This suspension has been lifted, and on September 18, 2016, the Fairfield Liquidator filed a New Complaint (the modified original Complaint) against ASB. On January 13, 2017, ASB has presented, together with other defendants, a procedural motion/defense for the Complaint to be dismissed. On January 25, 2018, a hearing was held in which the parties have orally presented their arguments in support of each of their positions.</w:t>
      </w:r>
    </w:p>
    <w:p>
      <w:pPr>
        <w:spacing w:after="0" w:line="158" w:lineRule="exact"/>
        <w:rPr>
          <w:rFonts w:ascii="Arial" w:cs="Arial" w:eastAsia="Arial" w:hAnsi="Arial"/>
          <w:sz w:val="16"/>
          <w:szCs w:val="16"/>
          <w:color w:val="auto"/>
        </w:rPr>
      </w:pPr>
    </w:p>
    <w:p>
      <w:pPr>
        <w:ind w:left="281"/>
        <w:spacing w:after="0" w:line="252" w:lineRule="auto"/>
        <w:rPr>
          <w:rFonts w:ascii="Arial" w:cs="Arial" w:eastAsia="Arial" w:hAnsi="Arial"/>
          <w:sz w:val="16"/>
          <w:szCs w:val="16"/>
          <w:color w:val="auto"/>
        </w:rPr>
      </w:pPr>
      <w:r>
        <w:rPr>
          <w:rFonts w:ascii="Arial" w:cs="Arial" w:eastAsia="Arial" w:hAnsi="Arial"/>
          <w:sz w:val="16"/>
          <w:szCs w:val="16"/>
          <w:color w:val="auto"/>
        </w:rPr>
        <w:t>On August 6, 2018 the Bankruptcy Court issued a resolution stating that it has jurisdiction over the matter being sued, but that it will still have to determine whether the complaint has sufficient substantive grounds (merits) to be protected and also whether the Court has jurisdiction regarding each of the defendants. The latter will have to be determined case by case based on an analysis of the facts referred to each one of the defendants. On December 12, 2018, the Court issued a resolution sheltering, in part, and denying in part, the motion to dismiss the claim. In said resolution, the Court orders the Fairfield Liquidator to negotiate or reach agreements with the defendant parties, observing the provisions of said resolution.</w:t>
      </w:r>
    </w:p>
    <w:p>
      <w:pPr>
        <w:spacing w:after="0" w:line="171" w:lineRule="exact"/>
        <w:rPr>
          <w:rFonts w:ascii="Arial" w:cs="Arial" w:eastAsia="Arial" w:hAnsi="Arial"/>
          <w:sz w:val="16"/>
          <w:szCs w:val="16"/>
          <w:color w:val="auto"/>
        </w:rPr>
      </w:pPr>
    </w:p>
    <w:p>
      <w:pPr>
        <w:ind w:left="281" w:right="160"/>
        <w:spacing w:after="0" w:line="269" w:lineRule="auto"/>
        <w:rPr>
          <w:rFonts w:ascii="Arial" w:cs="Arial" w:eastAsia="Arial" w:hAnsi="Arial"/>
          <w:sz w:val="16"/>
          <w:szCs w:val="16"/>
          <w:color w:val="auto"/>
        </w:rPr>
      </w:pPr>
      <w:r>
        <w:rPr>
          <w:rFonts w:ascii="Arial" w:cs="Arial" w:eastAsia="Arial" w:hAnsi="Arial"/>
          <w:sz w:val="16"/>
          <w:szCs w:val="16"/>
          <w:color w:val="auto"/>
        </w:rPr>
        <w:t>Management considers that ASB has substantial defenses against the Fairfield Liquidator’s claims alleged in the Amended Complaint and intends to contest these claims vigorously.</w:t>
      </w:r>
    </w:p>
    <w:p>
      <w:pPr>
        <w:spacing w:after="0" w:line="346" w:lineRule="exact"/>
        <w:rPr>
          <w:rFonts w:ascii="Arial" w:cs="Arial" w:eastAsia="Arial" w:hAnsi="Arial"/>
          <w:sz w:val="16"/>
          <w:szCs w:val="16"/>
          <w:color w:val="auto"/>
        </w:rPr>
      </w:pPr>
    </w:p>
    <w:p>
      <w:pPr>
        <w:ind w:left="5321" w:hanging="91"/>
        <w:spacing w:after="0"/>
        <w:tabs>
          <w:tab w:leader="none" w:pos="5321" w:val="left"/>
        </w:tabs>
        <w:numPr>
          <w:ilvl w:val="1"/>
          <w:numId w:val="187"/>
        </w:numPr>
        <w:rPr>
          <w:rFonts w:ascii="Arial" w:cs="Arial" w:eastAsia="Arial" w:hAnsi="Arial"/>
          <w:sz w:val="16"/>
          <w:szCs w:val="16"/>
          <w:color w:val="auto"/>
        </w:rPr>
      </w:pPr>
      <w:r>
        <w:rPr>
          <w:rFonts w:ascii="Arial" w:cs="Arial" w:eastAsia="Arial" w:hAnsi="Arial"/>
          <w:sz w:val="16"/>
          <w:szCs w:val="16"/>
          <w:color w:val="auto"/>
        </w:rPr>
        <w:t>164 -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11430</wp:posOffset>
            </wp:positionV>
            <wp:extent cx="726313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1121"/>
          </w:cols>
          <w:pgMar w:left="519" w:top="815" w:right="259" w:bottom="1440" w:gutter="0" w:footer="0" w:header="0"/>
        </w:sectPr>
      </w:pPr>
    </w:p>
    <w:bookmarkStart w:id="171" w:name="page172"/>
    <w:bookmarkEnd w:id="171"/>
    <w:p>
      <w:pPr>
        <w:ind w:left="285" w:hanging="285"/>
        <w:spacing w:after="0"/>
        <w:tabs>
          <w:tab w:leader="none" w:pos="285"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EVENTS OCURRED AFTER THE REPORT PERIOD</w:t>
      </w:r>
    </w:p>
    <w:p>
      <w:pPr>
        <w:spacing w:after="0" w:line="199" w:lineRule="exact"/>
        <w:rPr>
          <w:rFonts w:ascii="Arial" w:cs="Arial" w:eastAsia="Arial" w:hAnsi="Arial"/>
          <w:sz w:val="16"/>
          <w:szCs w:val="16"/>
          <w:b w:val="1"/>
          <w:bCs w:val="1"/>
          <w:color w:val="auto"/>
        </w:rPr>
      </w:pPr>
    </w:p>
    <w:p>
      <w:pPr>
        <w:ind w:left="565" w:hanging="281"/>
        <w:spacing w:after="0"/>
        <w:tabs>
          <w:tab w:leader="none" w:pos="56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Issuance of bonds -</w:t>
      </w:r>
    </w:p>
    <w:p>
      <w:pPr>
        <w:spacing w:after="0" w:line="195" w:lineRule="exact"/>
        <w:rPr>
          <w:rFonts w:ascii="Arial" w:cs="Arial" w:eastAsia="Arial" w:hAnsi="Arial"/>
          <w:sz w:val="16"/>
          <w:szCs w:val="16"/>
          <w:color w:val="auto"/>
        </w:rPr>
      </w:pPr>
    </w:p>
    <w:p>
      <w:pPr>
        <w:ind w:left="565" w:right="40"/>
        <w:spacing w:after="0" w:line="269" w:lineRule="auto"/>
        <w:rPr>
          <w:rFonts w:ascii="Arial" w:cs="Arial" w:eastAsia="Arial" w:hAnsi="Arial"/>
          <w:sz w:val="16"/>
          <w:szCs w:val="16"/>
          <w:color w:val="auto"/>
        </w:rPr>
      </w:pPr>
      <w:r>
        <w:rPr>
          <w:rFonts w:ascii="Arial" w:cs="Arial" w:eastAsia="Arial" w:hAnsi="Arial"/>
          <w:sz w:val="16"/>
          <w:szCs w:val="16"/>
          <w:color w:val="auto"/>
        </w:rPr>
        <w:t>In January 2019, Banco de Credito del Peru S.A., issued bonds in the Japanese market for a nominal amount of US$70.0 million, with the purpose of diversify funding sources and achieve conditions that compare favorably to issuances in other markets.</w:t>
      </w:r>
    </w:p>
    <w:p>
      <w:pPr>
        <w:spacing w:after="0" w:line="156" w:lineRule="exact"/>
        <w:rPr>
          <w:rFonts w:ascii="Arial" w:cs="Arial" w:eastAsia="Arial" w:hAnsi="Arial"/>
          <w:sz w:val="16"/>
          <w:szCs w:val="16"/>
          <w:color w:val="auto"/>
        </w:rPr>
      </w:pPr>
    </w:p>
    <w:p>
      <w:pPr>
        <w:ind w:left="565" w:hanging="281"/>
        <w:spacing w:after="0"/>
        <w:tabs>
          <w:tab w:leader="none" w:pos="56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Acquisition of Ultraserfinco S.A. Comisionista de Bolsa –</w:t>
      </w:r>
    </w:p>
    <w:p>
      <w:pPr>
        <w:spacing w:after="0" w:line="195" w:lineRule="exact"/>
        <w:rPr>
          <w:rFonts w:ascii="Arial" w:cs="Arial" w:eastAsia="Arial" w:hAnsi="Arial"/>
          <w:sz w:val="16"/>
          <w:szCs w:val="16"/>
          <w:color w:val="auto"/>
        </w:rPr>
      </w:pPr>
    </w:p>
    <w:p>
      <w:pPr>
        <w:ind w:left="565"/>
        <w:spacing w:after="0" w:line="283" w:lineRule="auto"/>
        <w:rPr>
          <w:rFonts w:ascii="Arial" w:cs="Arial" w:eastAsia="Arial" w:hAnsi="Arial"/>
          <w:sz w:val="16"/>
          <w:szCs w:val="16"/>
          <w:color w:val="auto"/>
        </w:rPr>
      </w:pPr>
      <w:r>
        <w:rPr>
          <w:rFonts w:ascii="Arial" w:cs="Arial" w:eastAsia="Arial" w:hAnsi="Arial"/>
          <w:sz w:val="15"/>
          <w:szCs w:val="15"/>
          <w:color w:val="auto"/>
        </w:rPr>
        <w:t>Credicorp Ltd., through its subsidiary Credicorp Capital Holding Colombia, reached an agreement on February 12, 2019 with the shareholders of Ultraserfinco S.A. Comisionista de Bolsa, one of the leading financial services companies in Colombia, to acquire the 100 percent stake in such entity for approximately US$43.0 million. Closing of this transaction is subject to the approval from the authorities in Colombia, at which time the transaction will be completed.</w:t>
      </w:r>
    </w:p>
    <w:p>
      <w:pPr>
        <w:spacing w:after="0" w:line="338" w:lineRule="exact"/>
        <w:rPr>
          <w:rFonts w:ascii="Arial" w:cs="Arial" w:eastAsia="Arial" w:hAnsi="Arial"/>
          <w:sz w:val="16"/>
          <w:szCs w:val="16"/>
          <w:color w:val="auto"/>
        </w:rPr>
      </w:pPr>
    </w:p>
    <w:p>
      <w:pPr>
        <w:ind w:left="5605" w:hanging="91"/>
        <w:spacing w:after="0"/>
        <w:tabs>
          <w:tab w:leader="none" w:pos="5605" w:val="left"/>
        </w:tabs>
        <w:numPr>
          <w:ilvl w:val="2"/>
          <w:numId w:val="188"/>
        </w:numPr>
        <w:rPr>
          <w:rFonts w:ascii="Arial" w:cs="Arial" w:eastAsia="Arial" w:hAnsi="Arial"/>
          <w:sz w:val="16"/>
          <w:szCs w:val="16"/>
          <w:color w:val="auto"/>
        </w:rPr>
      </w:pPr>
      <w:r>
        <w:rPr>
          <w:rFonts w:ascii="Arial" w:cs="Arial" w:eastAsia="Arial" w:hAnsi="Arial"/>
          <w:sz w:val="16"/>
          <w:szCs w:val="16"/>
          <w:color w:val="auto"/>
        </w:rPr>
        <w:t>165 -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31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sectPr>
      <w:pgSz w:w="11900" w:h="16838" w:orient="portrait"/>
      <w:cols w:equalWidth="0" w:num="1">
        <w:col w:w="11165"/>
      </w:cols>
      <w:pgMar w:left="235" w:top="8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lvl w:ilvl="1">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lvl w:ilvl="1">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1"/>
      <w:numFmt w:val="bullet"/>
      <w:start w:val="1"/>
    </w:lvl>
  </w:abstractNum>
  <w:abstractNum w:abstractNumId="11">
    <w:nsid w:val="6A5F7029"/>
    <w:multiLevelType w:val="hybridMultilevel"/>
    <w:lvl w:ilvl="0">
      <w:lvlJc w:val="left"/>
      <w:lvlText w:val="2"/>
      <w:numFmt w:val="bullet"/>
      <w:start w:val="1"/>
    </w:lvl>
    <w:lvl w:ilvl="1">
      <w:lvlJc w:val="left"/>
      <w:lvlText w:val="%2)"/>
      <w:numFmt w:val="lowerLetter"/>
      <w:start w:val="1"/>
    </w:lvl>
    <w:lvl w:ilvl="2">
      <w:lvlJc w:val="left"/>
      <w:lvlText w:val="-"/>
      <w:numFmt w:val="bullet"/>
      <w:start w:val="1"/>
    </w:lvl>
  </w:abstractNum>
  <w:abstractNum w:abstractNumId="12">
    <w:nsid w:val="7D5E18F8"/>
    <w:multiLevelType w:val="hybridMultilevel"/>
    <w:lvl w:ilvl="0">
      <w:lvlJc w:val="left"/>
      <w:lvlText w:val="%1)"/>
      <w:numFmt w:val="lowerLetter"/>
      <w:start w:val="3"/>
    </w:lvl>
    <w:lvl w:ilvl="1">
      <w:lvlJc w:val="left"/>
      <w:lvlText w:val="·"/>
      <w:numFmt w:val="bullet"/>
      <w:start w:val="1"/>
    </w:lvl>
  </w:abstractNum>
  <w:abstractNum w:abstractNumId="13">
    <w:nsid w:val="5F3534A4"/>
    <w:multiLevelType w:val="hybridMultilevel"/>
    <w:lvl w:ilvl="0">
      <w:lvlJc w:val="left"/>
      <w:lvlText w:val="%1)"/>
      <w:numFmt w:val="lowerLetter"/>
      <w:start w:val="4"/>
    </w:lvl>
    <w:lvl w:ilvl="1">
      <w:lvlJc w:val="left"/>
      <w:lvlText w:val="-"/>
      <w:numFmt w:val="bullet"/>
      <w:start w:val="1"/>
    </w:lvl>
  </w:abstractNum>
  <w:abstractNum w:abstractNumId="14">
    <w:nsid w:val="73A1821B"/>
    <w:multiLevelType w:val="hybridMultilevel"/>
    <w:lvl w:ilvl="0">
      <w:lvlJc w:val="left"/>
      <w:lvlText w:val="3"/>
      <w:numFmt w:val="bullet"/>
      <w:start w:val="1"/>
    </w:lvl>
    <w:lvl w:ilvl="1">
      <w:lvlJc w:val="left"/>
      <w:lvlText w:val="%2)"/>
      <w:numFmt w:val="lowerLetter"/>
      <w:start w:val="1"/>
    </w:lvl>
  </w:abstractNum>
  <w:abstractNum w:abstractNumId="15">
    <w:nsid w:val="7DE67713"/>
    <w:multiLevelType w:val="hybridMultilevel"/>
    <w:lvl w:ilvl="0">
      <w:lvlJc w:val="left"/>
      <w:lvlText w:val="(%1)"/>
      <w:numFmt w:val="lowerRoman"/>
      <w:start w:val="1"/>
    </w:lvl>
    <w:lvl w:ilvl="1">
      <w:lvlJc w:val="left"/>
      <w:lvlText w:val="-"/>
      <w:numFmt w:val="bullet"/>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21">
    <w:nsid w:val="9DAF632"/>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1)"/>
      <w:numFmt w:val="lowerLetter"/>
      <w:start w:val="2"/>
    </w:lvl>
    <w:lvl w:ilvl="1">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1)"/>
      <w:numFmt w:val="lowerRoman"/>
      <w:start w:val="1"/>
    </w:lvl>
  </w:abstractNum>
  <w:abstractNum w:abstractNumId="26">
    <w:nsid w:val="59ADEA3D"/>
    <w:multiLevelType w:val="hybridMultilevel"/>
    <w:lvl w:ilvl="0">
      <w:lvlJc w:val="left"/>
      <w:lvlText w:val="(%1)"/>
      <w:numFmt w:val="lowerRoman"/>
      <w:start w:val="4"/>
    </w:lvl>
  </w:abstractNum>
  <w:abstractNum w:abstractNumId="27">
    <w:nsid w:val="288F1A3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8">
    <w:nsid w:val="2A155DBC"/>
    <w:multiLevelType w:val="hybridMultilevel"/>
    <w:lvl w:ilvl="0">
      <w:lvlJc w:val="left"/>
      <w:lvlText w:val="(%1)"/>
      <w:numFmt w:val="lowerRoman"/>
      <w:start w:val="3"/>
    </w:lvl>
    <w:lvl w:ilvl="1">
      <w:lvlJc w:val="left"/>
      <w:lvlText w:val="-"/>
      <w:numFmt w:val="bullet"/>
      <w:start w:val="1"/>
    </w:lvl>
  </w:abstractNum>
  <w:abstractNum w:abstractNumId="29">
    <w:nsid w:val="1D9F6E5F"/>
    <w:multiLevelType w:val="hybridMultilevel"/>
    <w:lvl w:ilvl="0">
      <w:lvlJc w:val="left"/>
      <w:lvlText w:val="%1)"/>
      <w:numFmt w:val="lowerLetter"/>
      <w:start w:val="4"/>
    </w:lvl>
    <w:lvl w:ilvl="1">
      <w:lvlJc w:val="left"/>
      <w:lvlText w:val="-"/>
      <w:numFmt w:val="bullet"/>
      <w:start w:val="1"/>
    </w:lvl>
  </w:abstractNum>
  <w:abstractNum w:abstractNumId="30">
    <w:nsid w:val="97E1B4E"/>
    <w:multiLevelType w:val="hybridMultilevel"/>
    <w:lvl w:ilvl="0">
      <w:lvlJc w:val="left"/>
      <w:lvlText w:val="(%1)"/>
      <w:numFmt w:val="lowerRoman"/>
      <w:start w:val="1"/>
    </w:lvl>
    <w:lvl w:ilvl="1">
      <w:lvlJc w:val="left"/>
      <w:lvlText w:val="-"/>
      <w:numFmt w:val="bullet"/>
      <w:start w:val="1"/>
    </w:lvl>
  </w:abstractNum>
  <w:abstractNum w:abstractNumId="31">
    <w:nsid w:val="51088277"/>
    <w:multiLevelType w:val="hybridMultilevel"/>
    <w:lvl w:ilvl="0">
      <w:lvlJc w:val="left"/>
      <w:lvlText w:val="(%1)"/>
      <w:numFmt w:val="lowerRoman"/>
      <w:start w:val="2"/>
    </w:lvl>
  </w:abstractNum>
  <w:abstractNum w:abstractNumId="32">
    <w:nsid w:val="1CA0C5FA"/>
    <w:multiLevelType w:val="hybridMultilevel"/>
    <w:lvl w:ilvl="0">
      <w:lvlJc w:val="left"/>
      <w:lvlText w:val="(%1)"/>
      <w:numFmt w:val="lowerRoman"/>
      <w:start w:val="1"/>
    </w:lvl>
    <w:lvl w:ilvl="1">
      <w:lvlJc w:val="left"/>
      <w:lvlText w:val="-"/>
      <w:numFmt w:val="bullet"/>
      <w:start w:val="1"/>
    </w:lvl>
  </w:abstractNum>
  <w:abstractNum w:abstractNumId="33">
    <w:nsid w:val="53584BCB"/>
    <w:multiLevelType w:val="hybridMultilevel"/>
    <w:lvl w:ilvl="0">
      <w:lvlJc w:val="left"/>
      <w:lvlText w:val="(%1)"/>
      <w:numFmt w:val="lowerRoman"/>
      <w:start w:val="1"/>
    </w:lvl>
  </w:abstractNum>
  <w:abstractNum w:abstractNumId="34">
    <w:nsid w:val="415E286C"/>
    <w:multiLevelType w:val="hybridMultilevel"/>
    <w:lvl w:ilvl="0">
      <w:lvlJc w:val="left"/>
      <w:lvlText w:val="%1)"/>
      <w:numFmt w:val="lowerLetter"/>
      <w:start w:val="6"/>
    </w:lvl>
    <w:lvl w:ilvl="1">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1)"/>
      <w:numFmt w:val="lowerRoman"/>
      <w:start w:val="1"/>
    </w:lvl>
    <w:lvl w:ilvl="1">
      <w:lvlJc w:val="left"/>
      <w:lvlText w:val="-"/>
      <w:numFmt w:val="bullet"/>
      <w:start w:val="1"/>
    </w:lvl>
  </w:abstractNum>
  <w:abstractNum w:abstractNumId="37">
    <w:nsid w:val="45E6D486"/>
    <w:multiLevelType w:val="hybridMultilevel"/>
    <w:lvl w:ilvl="0">
      <w:lvlJc w:val="left"/>
      <w:lvlText w:val="(%1)"/>
      <w:numFmt w:val="lowerRoman"/>
      <w:start w:val="2"/>
    </w:lvl>
    <w:lvl w:ilvl="1">
      <w:lvlJc w:val="left"/>
      <w:lvlText w:val="-"/>
      <w:numFmt w:val="bullet"/>
      <w:start w:val="1"/>
    </w:lvl>
  </w:abstractNum>
  <w:abstractNum w:abstractNumId="38">
    <w:nsid w:val="5C10FE21"/>
    <w:multiLevelType w:val="hybridMultilevel"/>
    <w:lvl w:ilvl="0">
      <w:lvlJc w:val="left"/>
      <w:lvlText w:val="(%1)"/>
      <w:numFmt w:val="lowerRoman"/>
      <w:start w:val="3"/>
    </w:lvl>
    <w:lvl w:ilvl="1">
      <w:lvlJc w:val="left"/>
      <w:lvlText w:val="-"/>
      <w:numFmt w:val="bullet"/>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1)"/>
      <w:numFmt w:val="lowerRoman"/>
      <w:start w:val="4"/>
    </w:lvl>
    <w:lvl w:ilvl="1">
      <w:lvlJc w:val="left"/>
      <w:lvlText w:val="-"/>
      <w:numFmt w:val="bullet"/>
      <w:start w:val="1"/>
    </w:lvl>
    <w:lvl w:ilvl="2">
      <w:lvlJc w:val="left"/>
      <w:lvlText w:val="-"/>
      <w:numFmt w:val="bullet"/>
      <w:start w:val="1"/>
    </w:lvl>
  </w:abstractNum>
  <w:abstractNum w:abstractNumId="41">
    <w:nsid w:val="4BD8591A"/>
    <w:multiLevelType w:val="hybridMultilevel"/>
    <w:lvl w:ilvl="0">
      <w:lvlJc w:val="left"/>
      <w:lvlText w:val="(%1)"/>
      <w:numFmt w:val="lowerRoman"/>
      <w:start w:val="5"/>
    </w:lvl>
    <w:lvl w:ilvl="1">
      <w:lvlJc w:val="left"/>
      <w:lvlText w:val="-"/>
      <w:numFmt w:val="bullet"/>
      <w:start w:val="1"/>
    </w:lvl>
  </w:abstractNum>
  <w:abstractNum w:abstractNumId="42">
    <w:nsid w:val="78DF6A55"/>
    <w:multiLevelType w:val="hybridMultilevel"/>
    <w:lvl w:ilvl="0">
      <w:lvlJc w:val="left"/>
      <w:lvlText w:val="%1)"/>
      <w:numFmt w:val="lowerLetter"/>
      <w:start w:val="7"/>
    </w:lvl>
    <w:lvl w:ilvl="1">
      <w:lvlJc w:val="left"/>
      <w:lvlText w:val="-"/>
      <w:numFmt w:val="bullet"/>
      <w:start w:val="1"/>
    </w:lvl>
  </w:abstractNum>
  <w:abstractNum w:abstractNumId="43">
    <w:nsid w:val="39B7AAA2"/>
    <w:multiLevelType w:val="hybridMultilevel"/>
    <w:lvl w:ilvl="0">
      <w:lvlJc w:val="left"/>
      <w:lvlText w:val="%1)"/>
      <w:numFmt w:val="lowerLetter"/>
      <w:start w:val="8"/>
    </w:lvl>
    <w:lvl w:ilvl="1">
      <w:lvlJc w:val="left"/>
      <w:lvlText w:val="-"/>
      <w:numFmt w:val="bullet"/>
      <w:start w:val="1"/>
    </w:lvl>
  </w:abstractNum>
  <w:abstractNum w:abstractNumId="44">
    <w:nsid w:val="2B0D8DB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lowerRoman"/>
      <w:start w:val="1"/>
    </w:lvl>
    <w:lvl w:ilvl="1">
      <w:lvlJc w:val="left"/>
      <w:lvlText w:val="-"/>
      <w:numFmt w:val="bullet"/>
      <w:start w:val="1"/>
    </w:lvl>
  </w:abstractNum>
  <w:abstractNum w:abstractNumId="49">
    <w:nsid w:val="4C9B0904"/>
    <w:multiLevelType w:val="hybridMultilevel"/>
    <w:lvl w:ilvl="0">
      <w:lvlJc w:val="left"/>
      <w:lvlText w:val="(%1)"/>
      <w:numFmt w:val="lowerRoman"/>
      <w:start w:val="2"/>
    </w:lvl>
    <w:lvl w:ilvl="1">
      <w:lvlJc w:val="left"/>
      <w:lvlText w:val="-"/>
      <w:numFmt w:val="bullet"/>
      <w:start w:val="1"/>
    </w:lvl>
  </w:abstractNum>
  <w:abstractNum w:abstractNumId="50">
    <w:nsid w:val="6AA7B75C"/>
    <w:multiLevelType w:val="hybridMultilevel"/>
    <w:lvl w:ilvl="0">
      <w:lvlJc w:val="left"/>
      <w:lvlText w:val="%1)"/>
      <w:numFmt w:val="lowerLetter"/>
      <w:start w:val="10"/>
    </w:lvl>
    <w:lvl w:ilvl="1">
      <w:lvlJc w:val="left"/>
      <w:lvlText w:val="-"/>
      <w:numFmt w:val="bullet"/>
      <w:start w:val="1"/>
    </w:lvl>
  </w:abstractNum>
  <w:abstractNum w:abstractNumId="51">
    <w:nsid w:val="1DF029D3"/>
    <w:multiLevelType w:val="hybridMultilevel"/>
    <w:lvl w:ilvl="0">
      <w:lvlJc w:val="left"/>
      <w:lvlText w:val="%1)"/>
      <w:numFmt w:val="lowerLetter"/>
      <w:start w:val="11"/>
    </w:lvl>
  </w:abstractNum>
  <w:abstractNum w:abstractNumId="52">
    <w:nsid w:val="5675FF36"/>
    <w:multiLevelType w:val="hybridMultilevel"/>
    <w:lvl w:ilvl="0">
      <w:lvlJc w:val="left"/>
      <w:lvlText w:val="%1)"/>
      <w:numFmt w:val="lowerLetter"/>
      <w:start w:val="12"/>
    </w:lvl>
    <w:lvl w:ilvl="1">
      <w:lvlJc w:val="left"/>
      <w:lvlText w:val="-"/>
      <w:numFmt w:val="bullet"/>
      <w:start w:val="1"/>
    </w:lvl>
  </w:abstractNum>
  <w:abstractNum w:abstractNumId="53">
    <w:nsid w:val="3DD15094"/>
    <w:multiLevelType w:val="hybridMultilevel"/>
    <w:lvl w:ilvl="0">
      <w:lvlJc w:val="left"/>
      <w:lvlText w:val="%1)"/>
      <w:numFmt w:val="lowerLetter"/>
      <w:start w:val="14"/>
    </w:lvl>
    <w:lvl w:ilvl="1">
      <w:lvlJc w:val="left"/>
      <w:lvlText w:val="-"/>
      <w:numFmt w:val="bullet"/>
      <w:start w:val="1"/>
    </w:lvl>
  </w:abstractNum>
  <w:abstractNum w:abstractNumId="54">
    <w:nsid w:val="3DB012B3"/>
    <w:multiLevelType w:val="hybridMultilevel"/>
    <w:lvl w:ilvl="0">
      <w:lvlJc w:val="left"/>
      <w:lvlText w:val="%1)"/>
      <w:numFmt w:val="lowerLetter"/>
      <w:start w:val="16"/>
    </w:lvl>
    <w:lvl w:ilvl="1">
      <w:lvlJc w:val="left"/>
      <w:lvlText w:val="-"/>
      <w:numFmt w:val="bullet"/>
      <w:start w:val="1"/>
    </w:lvl>
  </w:abstractNum>
  <w:abstractNum w:abstractNumId="55">
    <w:nsid w:val="2708C9AF"/>
    <w:multiLevelType w:val="hybridMultilevel"/>
    <w:lvl w:ilvl="0">
      <w:lvlJc w:val="left"/>
      <w:lvlText w:val="%1)"/>
      <w:numFmt w:val="lowerLetter"/>
      <w:start w:val="18"/>
    </w:lvl>
    <w:lvl w:ilvl="1">
      <w:lvlJc w:val="left"/>
      <w:lvlText w:val="-"/>
      <w:numFmt w:val="bullet"/>
      <w:start w:val="1"/>
    </w:lvl>
  </w:abstractNum>
  <w:abstractNum w:abstractNumId="56">
    <w:nsid w:val="5B25ACE2"/>
    <w:multiLevelType w:val="hybridMultilevel"/>
    <w:lvl w:ilvl="0">
      <w:lvlJc w:val="left"/>
      <w:lvlText w:val="%1)"/>
      <w:numFmt w:val="lowerLetter"/>
      <w:start w:val="21"/>
    </w:lvl>
    <w:lvl w:ilvl="1">
      <w:lvlJc w:val="left"/>
      <w:lvlText w:val="-"/>
      <w:numFmt w:val="bullet"/>
      <w:start w:val="1"/>
    </w:lvl>
  </w:abstractNum>
  <w:abstractNum w:abstractNumId="57">
    <w:nsid w:val="175DFCF0"/>
    <w:multiLevelType w:val="hybridMultilevel"/>
    <w:lvl w:ilvl="0">
      <w:lvlJc w:val="left"/>
      <w:lvlText w:val="%1)"/>
      <w:numFmt w:val="lowerLetter"/>
      <w:start w:val="25"/>
    </w:lvl>
    <w:lvl w:ilvl="1">
      <w:lvlJc w:val="left"/>
      <w:lvlText w:val="-"/>
      <w:numFmt w:val="bullet"/>
      <w:start w:val="1"/>
    </w:lvl>
    <w:lvl w:ilvl="2">
      <w:lvlJc w:val="left"/>
      <w:lvlText w:val="-"/>
      <w:numFmt w:val="bullet"/>
      <w:start w:val="1"/>
    </w:lvl>
  </w:abstractNum>
  <w:abstractNum w:abstractNumId="58">
    <w:nsid w:val="4F97E3E4"/>
    <w:multiLevelType w:val="hybridMultilevel"/>
    <w:lvl w:ilvl="0">
      <w:lvlJc w:val="left"/>
      <w:lvlText w:val="-"/>
      <w:numFmt w:val="bullet"/>
      <w:start w:val="1"/>
    </w:lvl>
  </w:abstractNum>
  <w:abstractNum w:abstractNumId="59">
    <w:nsid w:val="53B0A9E"/>
    <w:multiLevelType w:val="hybridMultilevel"/>
    <w:lvl w:ilvl="0">
      <w:lvlJc w:val="left"/>
      <w:lvlText w:val="%1)"/>
      <w:numFmt w:val="lowerRoman"/>
      <w:start w:val="1"/>
    </w:lvl>
    <w:lvl w:ilvl="1">
      <w:lvlJc w:val="left"/>
      <w:lvlText w:val="-"/>
      <w:numFmt w:val="bullet"/>
      <w:start w:val="1"/>
    </w:lvl>
  </w:abstractNum>
  <w:abstractNum w:abstractNumId="60">
    <w:nsid w:val="34FD6B4F"/>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61">
    <w:nsid w:val="5915FF32"/>
    <w:multiLevelType w:val="hybridMultilevel"/>
    <w:lvl w:ilvl="0">
      <w:lvlJc w:val="left"/>
      <w:lvlText w:val="%1)"/>
      <w:numFmt w:val="lowerLetter"/>
      <w:start w:val="26"/>
    </w:lvl>
    <w:lvl w:ilvl="1">
      <w:lvlJc w:val="left"/>
      <w:lvlText w:val="%2"/>
      <w:numFmt w:val="lowerLetter"/>
      <w:start w:val="1"/>
    </w:lvl>
    <w:lvl w:ilvl="2">
      <w:lvlJc w:val="left"/>
      <w:lvlText w:val="-"/>
      <w:numFmt w:val="bullet"/>
      <w:start w:val="1"/>
    </w:lvl>
  </w:abstractNum>
  <w:abstractNum w:abstractNumId="62">
    <w:nsid w:val="56438D15"/>
    <w:multiLevelType w:val="hybridMultilevel"/>
    <w:lvl w:ilvl="0">
      <w:lvlJc w:val="left"/>
      <w:lvlText w:val="%1)"/>
      <w:numFmt w:val="lowerLetter"/>
      <w:start w:val="27"/>
    </w:lvl>
  </w:abstractNum>
  <w:abstractNum w:abstractNumId="63">
    <w:nsid w:val="519E3149"/>
    <w:multiLevelType w:val="hybridMultilevel"/>
    <w:lvl w:ilvl="0">
      <w:lvlJc w:val="left"/>
      <w:lvlText w:val="(%1)"/>
      <w:numFmt w:val="lowerRoman"/>
      <w:start w:val="1"/>
    </w:lvl>
    <w:lvl w:ilvl="1">
      <w:lvlJc w:val="left"/>
      <w:lvlText w:val="-"/>
      <w:numFmt w:val="bullet"/>
      <w:start w:val="1"/>
    </w:lvl>
  </w:abstractNum>
  <w:abstractNum w:abstractNumId="64">
    <w:nsid w:val="2C6E4AFD"/>
    <w:multiLevelType w:val="hybridMultilevel"/>
    <w:lvl w:ilvl="0">
      <w:lvlJc w:val="left"/>
      <w:lvlText w:val="(%1)"/>
      <w:numFmt w:val="lowerRoman"/>
      <w:start w:val="2"/>
    </w:lvl>
    <w:lvl w:ilvl="1">
      <w:lvlJc w:val="left"/>
      <w:lvlText w:val="-"/>
      <w:numFmt w:val="bullet"/>
      <w:start w:val="1"/>
    </w:lvl>
  </w:abstractNum>
  <w:abstractNum w:abstractNumId="65">
    <w:nsid w:val="17A1B582"/>
    <w:multiLevelType w:val="hybridMultilevel"/>
    <w:lvl w:ilvl="0">
      <w:lvlJc w:val="left"/>
      <w:lvlText w:val="(%1)"/>
      <w:numFmt w:val="lowerRoman"/>
      <w:start w:val="3"/>
    </w:lvl>
    <w:lvl w:ilvl="1">
      <w:lvlJc w:val="left"/>
      <w:lvlText w:val="-"/>
      <w:numFmt w:val="bullet"/>
      <w:start w:val="1"/>
    </w:lvl>
  </w:abstractNum>
  <w:abstractNum w:abstractNumId="66">
    <w:nsid w:val="4DF72E4E"/>
    <w:multiLevelType w:val="hybridMultilevel"/>
    <w:lvl w:ilvl="0">
      <w:lvlJc w:val="left"/>
      <w:lvlText w:val="(%1)"/>
      <w:numFmt w:val="lowerRoman"/>
      <w:start w:val="4"/>
    </w:lvl>
    <w:lvl w:ilvl="1">
      <w:lvlJc w:val="left"/>
      <w:lvlText w:val="-"/>
      <w:numFmt w:val="bullet"/>
      <w:start w:val="1"/>
    </w:lvl>
    <w:lvl w:ilvl="2">
      <w:lvlJc w:val="left"/>
      <w:lvlText w:val="-"/>
      <w:numFmt w:val="bullet"/>
      <w:start w:val="1"/>
    </w:lvl>
  </w:abstractNum>
  <w:abstractNum w:abstractNumId="67">
    <w:nsid w:val="5046B5A9"/>
    <w:multiLevelType w:val="hybridMultilevel"/>
    <w:lvl w:ilvl="0">
      <w:lvlJc w:val="left"/>
      <w:lvlText w:val="-"/>
      <w:numFmt w:val="bullet"/>
      <w:start w:val="1"/>
    </w:lvl>
  </w:abstractNum>
  <w:abstractNum w:abstractNumId="68">
    <w:nsid w:val="5D888A08"/>
    <w:multiLevelType w:val="hybridMultilevel"/>
    <w:lvl w:ilvl="0">
      <w:lvlJc w:val="left"/>
      <w:lvlText w:val="(%1)"/>
      <w:numFmt w:val="lowerRoman"/>
      <w:start w:val="5"/>
    </w:lvl>
  </w:abstractNum>
  <w:abstractNum w:abstractNumId="69">
    <w:nsid w:val="2A082C70"/>
    <w:multiLevelType w:val="hybridMultilevel"/>
    <w:lvl w:ilvl="0">
      <w:lvlJc w:val="left"/>
      <w:lvlText w:val="-"/>
      <w:numFmt w:val="bullet"/>
      <w:start w:val="1"/>
    </w:lvl>
  </w:abstractNum>
  <w:abstractNum w:abstractNumId="70">
    <w:nsid w:val="5EC6AFD4"/>
    <w:multiLevelType w:val="hybridMultilevel"/>
    <w:lvl w:ilvl="0">
      <w:lvlJc w:val="left"/>
      <w:lvlText w:val="%1)"/>
      <w:numFmt w:val="lowerLetter"/>
      <w:start w:val="1"/>
    </w:lvl>
  </w:abstractNum>
  <w:abstractNum w:abstractNumId="71">
    <w:nsid w:val="19E21BB2"/>
    <w:multiLevelType w:val="hybridMultilevel"/>
    <w:lvl w:ilvl="0">
      <w:lvlJc w:val="left"/>
      <w:lvlText w:val="(%1)"/>
      <w:numFmt w:val="lowerRoman"/>
      <w:start w:val="1"/>
    </w:lvl>
    <w:lvl w:ilvl="1">
      <w:lvlJc w:val="left"/>
      <w:lvlText w:val="-"/>
      <w:numFmt w:val="bullet"/>
      <w:start w:val="1"/>
    </w:lvl>
  </w:abstractNum>
  <w:abstractNum w:abstractNumId="72">
    <w:nsid w:val="75E0858A"/>
    <w:multiLevelType w:val="hybridMultilevel"/>
    <w:lvl w:ilvl="0">
      <w:lvlJc w:val="left"/>
      <w:lvlText w:val="%1"/>
      <w:numFmt w:val="lowerLetter"/>
      <w:start w:val="1"/>
    </w:lvl>
    <w:lvl w:ilvl="1">
      <w:lvlJc w:val="left"/>
      <w:lvlText w:val="(%2)"/>
      <w:numFmt w:val="lowerRoman"/>
      <w:start w:val="2"/>
    </w:lvl>
  </w:abstractNum>
  <w:abstractNum w:abstractNumId="73">
    <w:nsid w:val="57A61A29"/>
    <w:multiLevelType w:val="hybridMultilevel"/>
    <w:lvl w:ilvl="0">
      <w:lvlJc w:val="left"/>
      <w:lvlText w:val="%1)"/>
      <w:numFmt w:val="lowerLetter"/>
      <w:start w:val="2"/>
    </w:lvl>
    <w:lvl w:ilvl="1">
      <w:lvlJc w:val="left"/>
      <w:lvlText w:val="%2"/>
      <w:numFmt w:val="lowerRoman"/>
      <w:start w:val="1"/>
    </w:lvl>
  </w:abstractNum>
  <w:abstractNum w:abstractNumId="74">
    <w:nsid w:val="5399C654"/>
    <w:multiLevelType w:val="hybridMultilevel"/>
    <w:lvl w:ilvl="0">
      <w:lvlJc w:val="left"/>
      <w:lvlText w:val="5"/>
      <w:numFmt w:val="bullet"/>
      <w:start w:val="1"/>
    </w:lvl>
    <w:lvl w:ilvl="1">
      <w:lvlJc w:val="left"/>
      <w:lvlText w:val="%2)"/>
      <w:numFmt w:val="lowerLetter"/>
      <w:start w:val="1"/>
    </w:lvl>
  </w:abstractNum>
  <w:abstractNum w:abstractNumId="75">
    <w:nsid w:val="20EE1348"/>
    <w:multiLevelType w:val="hybridMultilevel"/>
    <w:lvl w:ilvl="0">
      <w:lvlJc w:val="left"/>
      <w:lvlText w:val="(%1)"/>
      <w:numFmt w:val="lowerRoman"/>
      <w:start w:val="1"/>
    </w:lvl>
    <w:lvl w:ilvl="1">
      <w:lvlJc w:val="left"/>
      <w:lvlText w:val="-"/>
      <w:numFmt w:val="bullet"/>
      <w:start w:val="1"/>
    </w:lvl>
  </w:abstractNum>
  <w:abstractNum w:abstractNumId="76">
    <w:nsid w:val="4427069A"/>
    <w:multiLevelType w:val="hybridMultilevel"/>
    <w:lvl w:ilvl="0">
      <w:lvlJc w:val="left"/>
      <w:lvlText w:val="(%1)"/>
      <w:numFmt w:val="lowerRoman"/>
      <w:start w:val="2"/>
    </w:lvl>
  </w:abstractNum>
  <w:abstractNum w:abstractNumId="77">
    <w:nsid w:val="B37E80A"/>
    <w:multiLevelType w:val="hybridMultilevel"/>
    <w:lvl w:ilvl="0">
      <w:lvlJc w:val="left"/>
      <w:lvlText w:val="%1)"/>
      <w:numFmt w:val="lowerLetter"/>
      <w:start w:val="2"/>
    </w:lvl>
  </w:abstractNum>
  <w:abstractNum w:abstractNumId="78">
    <w:nsid w:val="2157F6BC"/>
    <w:multiLevelType w:val="hybridMultilevel"/>
    <w:lvl w:ilvl="0">
      <w:lvlJc w:val="left"/>
      <w:lvlText w:val="%1)"/>
      <w:numFmt w:val="lowerLetter"/>
      <w:start w:val="3"/>
    </w:lvl>
  </w:abstractNum>
  <w:abstractNum w:abstractNumId="79">
    <w:nsid w:val="704E1DD5"/>
    <w:multiLevelType w:val="hybridMultilevel"/>
    <w:lvl w:ilvl="0">
      <w:lvlJc w:val="left"/>
      <w:lvlText w:val="(%1)"/>
      <w:numFmt w:val="lowerRoman"/>
      <w:start w:val="1"/>
    </w:lvl>
    <w:lvl w:ilvl="1">
      <w:lvlJc w:val="left"/>
      <w:lvlText w:val="-"/>
      <w:numFmt w:val="bullet"/>
      <w:start w:val="1"/>
    </w:lvl>
  </w:abstractNum>
  <w:abstractNum w:abstractNumId="80">
    <w:nsid w:val="57D2F10E"/>
    <w:multiLevelType w:val="hybridMultilevel"/>
    <w:lvl w:ilvl="0">
      <w:lvlJc w:val="left"/>
      <w:lvlText w:val="6"/>
      <w:numFmt w:val="bullet"/>
      <w:start w:val="1"/>
    </w:lvl>
    <w:lvl w:ilvl="1">
      <w:lvlJc w:val="left"/>
      <w:lvlText w:val="%2)"/>
      <w:numFmt w:val="lowerLetter"/>
      <w:start w:val="1"/>
    </w:lvl>
  </w:abstractNum>
  <w:abstractNum w:abstractNumId="81">
    <w:nsid w:val="BFFAE18"/>
    <w:multiLevelType w:val="hybridMultilevel"/>
    <w:lvl w:ilvl="0">
      <w:lvlJc w:val="left"/>
      <w:lvlText w:val="(%1)"/>
      <w:numFmt w:val="lowerRoman"/>
      <w:start w:val="1"/>
    </w:lvl>
    <w:lvl w:ilvl="1">
      <w:lvlJc w:val="left"/>
      <w:lvlText w:val="-"/>
      <w:numFmt w:val="bullet"/>
      <w:start w:val="1"/>
    </w:lvl>
  </w:abstractNum>
  <w:abstractNum w:abstractNumId="82">
    <w:nsid w:val="E3E47A8"/>
    <w:multiLevelType w:val="hybridMultilevel"/>
    <w:lvl w:ilvl="0">
      <w:lvlJc w:val="left"/>
      <w:lvlText w:val="(%1)"/>
      <w:numFmt w:val="lowerRoman"/>
      <w:start w:val="1"/>
    </w:lvl>
    <w:lvl w:ilvl="1">
      <w:lvlJc w:val="left"/>
      <w:lvlText w:val="-"/>
      <w:numFmt w:val="bullet"/>
      <w:start w:val="1"/>
    </w:lvl>
  </w:abstractNum>
  <w:abstractNum w:abstractNumId="83">
    <w:nsid w:val="2E48F044"/>
    <w:multiLevelType w:val="hybridMultilevel"/>
    <w:lvl w:ilvl="0">
      <w:lvlJc w:val="left"/>
      <w:lvlText w:val="%1)"/>
      <w:numFmt w:val="lowerLetter"/>
      <w:start w:val="3"/>
    </w:lvl>
  </w:abstractNum>
  <w:abstractNum w:abstractNumId="84">
    <w:nsid w:val="49D0FEAC"/>
    <w:multiLevelType w:val="hybridMultilevel"/>
    <w:lvl w:ilvl="0">
      <w:lvlJc w:val="left"/>
      <w:lvlText w:val="(%1)"/>
      <w:numFmt w:val="lowerRoman"/>
      <w:start w:val="1"/>
    </w:lvl>
    <w:lvl w:ilvl="1">
      <w:lvlJc w:val="left"/>
      <w:lvlText w:val="-"/>
      <w:numFmt w:val="bullet"/>
      <w:start w:val="1"/>
    </w:lvl>
  </w:abstractNum>
  <w:abstractNum w:abstractNumId="85">
    <w:nsid w:val="4BEE5A5B"/>
    <w:multiLevelType w:val="hybridMultilevel"/>
    <w:lvl w:ilvl="0">
      <w:lvlJc w:val="left"/>
      <w:lvlText w:val="(%1)"/>
      <w:numFmt w:val="lowerRoman"/>
      <w:start w:val="4"/>
    </w:lvl>
  </w:abstractNum>
  <w:abstractNum w:abstractNumId="86">
    <w:nsid w:val="5551B9F3"/>
    <w:multiLevelType w:val="hybridMultilevel"/>
    <w:lvl w:ilvl="0">
      <w:lvlJc w:val="left"/>
      <w:lvlText w:val="(%1)"/>
      <w:numFmt w:val="lowerRoman"/>
      <w:start w:val="6"/>
    </w:lvl>
  </w:abstractNum>
  <w:abstractNum w:abstractNumId="87">
    <w:nsid w:val="24F6AB8E"/>
    <w:multiLevelType w:val="hybridMultilevel"/>
    <w:lvl w:ilvl="0">
      <w:lvlJc w:val="left"/>
      <w:lvlText w:val="-"/>
      <w:numFmt w:val="bullet"/>
      <w:start w:val="1"/>
    </w:lvl>
  </w:abstractNum>
  <w:abstractNum w:abstractNumId="88">
    <w:nsid w:val="634C574C"/>
    <w:multiLevelType w:val="hybridMultilevel"/>
    <w:lvl w:ilvl="0">
      <w:lvlJc w:val="left"/>
      <w:lvlText w:val="%1)"/>
      <w:numFmt w:val="lowerLetter"/>
      <w:start w:val="4"/>
    </w:lvl>
    <w:lvl w:ilvl="1">
      <w:lvlJc w:val="left"/>
      <w:lvlText w:val="(*)"/>
      <w:numFmt w:val="bullet"/>
      <w:start w:val="1"/>
    </w:lvl>
  </w:abstractNum>
  <w:abstractNum w:abstractNumId="89">
    <w:nsid w:val="24E99DD7"/>
    <w:multiLevelType w:val="hybridMultilevel"/>
    <w:lvl w:ilvl="0">
      <w:lvlJc w:val="left"/>
      <w:lvlText w:val="(*)"/>
      <w:numFmt w:val="bullet"/>
      <w:start w:val="1"/>
    </w:lvl>
    <w:lvl w:ilvl="1">
      <w:lvlJc w:val="left"/>
      <w:lvlText w:val="-"/>
      <w:numFmt w:val="bullet"/>
      <w:start w:val="1"/>
    </w:lvl>
  </w:abstractNum>
  <w:abstractNum w:abstractNumId="90">
    <w:nsid w:val="2A31B62D"/>
    <w:multiLevelType w:val="hybridMultilevel"/>
    <w:lvl w:ilvl="0">
      <w:lvlJc w:val="left"/>
      <w:lvlText w:val="%1)"/>
      <w:numFmt w:val="lowerLetter"/>
      <w:start w:val="6"/>
    </w:lvl>
  </w:abstractNum>
  <w:abstractNum w:abstractNumId="91">
    <w:nsid w:val="1849C29B"/>
    <w:multiLevelType w:val="hybridMultilevel"/>
    <w:lvl w:ilvl="0">
      <w:lvlJc w:val="left"/>
      <w:lvlText w:val="(*)"/>
      <w:numFmt w:val="bullet"/>
      <w:start w:val="1"/>
    </w:lvl>
    <w:lvl w:ilvl="1">
      <w:lvlJc w:val="left"/>
      <w:lvlText w:val="-"/>
      <w:numFmt w:val="bullet"/>
      <w:start w:val="1"/>
    </w:lvl>
  </w:abstractNum>
  <w:abstractNum w:abstractNumId="92">
    <w:nsid w:val="7DFF9D09"/>
    <w:multiLevelType w:val="hybridMultilevel"/>
    <w:lvl w:ilvl="0">
      <w:lvlJc w:val="left"/>
      <w:lvlText w:val="%1)"/>
      <w:numFmt w:val="lowerLetter"/>
      <w:start w:val="3"/>
    </w:lvl>
  </w:abstractNum>
  <w:abstractNum w:abstractNumId="93">
    <w:nsid w:val="754342"/>
    <w:multiLevelType w:val="hybridMultilevel"/>
    <w:lvl w:ilvl="0">
      <w:lvlJc w:val="left"/>
      <w:lvlText w:val="(*)"/>
      <w:numFmt w:val="bullet"/>
      <w:start w:val="1"/>
    </w:lvl>
  </w:abstractNum>
  <w:abstractNum w:abstractNumId="94">
    <w:nsid w:val="69E7F3E5"/>
    <w:multiLevelType w:val="hybridMultilevel"/>
    <w:lvl w:ilvl="0">
      <w:lvlJc w:val="left"/>
      <w:lvlText w:val="(*)"/>
      <w:numFmt w:val="bullet"/>
      <w:start w:val="1"/>
    </w:lvl>
    <w:lvl w:ilvl="1">
      <w:lvlJc w:val="left"/>
      <w:lvlText w:val="-"/>
      <w:numFmt w:val="bullet"/>
      <w:start w:val="1"/>
    </w:lvl>
  </w:abstractNum>
  <w:abstractNum w:abstractNumId="95">
    <w:nsid w:val="2A6DE806"/>
    <w:multiLevelType w:val="hybridMultilevel"/>
    <w:lvl w:ilvl="0">
      <w:lvlJc w:val="left"/>
      <w:lvlText w:val="%1)"/>
      <w:numFmt w:val="lowerLetter"/>
      <w:start w:val="5"/>
    </w:lvl>
  </w:abstractNum>
  <w:abstractNum w:abstractNumId="96">
    <w:nsid w:val="1816F8C4"/>
    <w:multiLevelType w:val="hybridMultilevel"/>
    <w:lvl w:ilvl="0">
      <w:lvlJc w:val="left"/>
      <w:lvlText w:val="8"/>
      <w:numFmt w:val="bullet"/>
      <w:start w:val="1"/>
    </w:lvl>
  </w:abstractNum>
  <w:abstractNum w:abstractNumId="97">
    <w:nsid w:val="37DF2233"/>
    <w:multiLevelType w:val="hybridMultilevel"/>
    <w:lvl w:ilvl="0">
      <w:lvlJc w:val="left"/>
      <w:lvlText w:val="9"/>
      <w:numFmt w:val="bullet"/>
      <w:start w:val="1"/>
    </w:lvl>
    <w:lvl w:ilvl="1">
      <w:lvlJc w:val="left"/>
      <w:lvlText w:val="%2)"/>
      <w:numFmt w:val="lowerLetter"/>
      <w:start w:val="1"/>
    </w:lvl>
  </w:abstractNum>
  <w:abstractNum w:abstractNumId="98">
    <w:nsid w:val="7AB49DAF"/>
    <w:multiLevelType w:val="hybridMultilevel"/>
    <w:lvl w:ilvl="0">
      <w:lvlJc w:val="left"/>
      <w:lvlText w:val="%1"/>
      <w:numFmt w:val="decimal"/>
      <w:start w:val="10"/>
    </w:lvl>
    <w:lvl w:ilvl="1">
      <w:lvlJc w:val="left"/>
      <w:lvlText w:val="%2)"/>
      <w:numFmt w:val="lowerLetter"/>
      <w:start w:val="1"/>
    </w:lvl>
  </w:abstractNum>
  <w:abstractNum w:abstractNumId="99">
    <w:nsid w:val="759F82CD"/>
    <w:multiLevelType w:val="hybridMultilevel"/>
    <w:lvl w:ilvl="0">
      <w:lvlJc w:val="left"/>
      <w:lvlText w:val="%1"/>
      <w:numFmt w:val="decimal"/>
      <w:start w:val="11"/>
    </w:lvl>
    <w:lvl w:ilvl="1">
      <w:lvlJc w:val="left"/>
      <w:lvlText w:val="%2)"/>
      <w:numFmt w:val="lowerLetter"/>
      <w:start w:val="1"/>
    </w:lvl>
  </w:abstractNum>
  <w:abstractNum w:abstractNumId="100">
    <w:nsid w:val="61E74EA3"/>
    <w:multiLevelType w:val="hybridMultilevel"/>
    <w:lvl w:ilvl="0">
      <w:lvlJc w:val="left"/>
      <w:lvlText w:val="%1)"/>
      <w:numFmt w:val="lowerLetter"/>
      <w:start w:val="2"/>
    </w:lvl>
  </w:abstractNum>
  <w:abstractNum w:abstractNumId="101">
    <w:nsid w:val="597B4D84"/>
    <w:multiLevelType w:val="hybridMultilevel"/>
    <w:lvl w:ilvl="0">
      <w:lvlJc w:val="left"/>
      <w:lvlText w:val="(*)"/>
      <w:numFmt w:val="bullet"/>
      <w:start w:val="1"/>
    </w:lvl>
    <w:lvl w:ilvl="1">
      <w:lvlJc w:val="left"/>
      <w:lvlText w:val="-"/>
      <w:numFmt w:val="bullet"/>
      <w:start w:val="1"/>
    </w:lvl>
  </w:abstractNum>
  <w:abstractNum w:abstractNumId="102">
    <w:nsid w:val="F819E7F"/>
    <w:multiLevelType w:val="hybridMultilevel"/>
    <w:lvl w:ilvl="0">
      <w:lvlJc w:val="left"/>
      <w:lvlText w:val="%1"/>
      <w:numFmt w:val="decimal"/>
      <w:start w:val="12"/>
    </w:lvl>
    <w:lvl w:ilvl="1">
      <w:lvlJc w:val="left"/>
      <w:lvlText w:val="%2)"/>
      <w:numFmt w:val="lowerLetter"/>
      <w:start w:val="1"/>
    </w:lvl>
  </w:abstractNum>
  <w:abstractNum w:abstractNumId="103">
    <w:nsid w:val="57C7D42D"/>
    <w:multiLevelType w:val="hybridMultilevel"/>
    <w:lvl w:ilvl="0">
      <w:lvlJc w:val="left"/>
      <w:lvlText w:val="%1)"/>
      <w:numFmt w:val="lowerLetter"/>
      <w:start w:val="2"/>
    </w:lvl>
  </w:abstractNum>
  <w:abstractNum w:abstractNumId="104">
    <w:nsid w:val="312167AD"/>
    <w:multiLevelType w:val="hybridMultilevel"/>
    <w:lvl w:ilvl="0">
      <w:lvlJc w:val="left"/>
      <w:lvlText w:val="(*)"/>
      <w:numFmt w:val="bullet"/>
      <w:start w:val="1"/>
    </w:lvl>
    <w:lvl w:ilvl="1">
      <w:lvlJc w:val="left"/>
      <w:lvlText w:val="-"/>
      <w:numFmt w:val="bullet"/>
      <w:start w:val="1"/>
    </w:lvl>
  </w:abstractNum>
  <w:abstractNum w:abstractNumId="105">
    <w:nsid w:val="631B64D4"/>
    <w:multiLevelType w:val="hybridMultilevel"/>
    <w:lvl w:ilvl="0">
      <w:lvlJc w:val="left"/>
      <w:lvlText w:val="(%1)"/>
      <w:numFmt w:val="lowerRoman"/>
      <w:start w:val="1"/>
    </w:lvl>
  </w:abstractNum>
  <w:abstractNum w:abstractNumId="106">
    <w:nsid w:val="78B5E776"/>
    <w:multiLevelType w:val="hybridMultilevel"/>
    <w:lvl w:ilvl="0">
      <w:lvlJc w:val="left"/>
      <w:lvlText w:val="(%1)"/>
      <w:numFmt w:val="lowerRoman"/>
      <w:start w:val="2"/>
    </w:lvl>
  </w:abstractNum>
  <w:abstractNum w:abstractNumId="107">
    <w:nsid w:val="75486E47"/>
    <w:multiLevelType w:val="hybridMultilevel"/>
    <w:lvl w:ilvl="0">
      <w:lvlJc w:val="left"/>
      <w:lvlText w:val="%1)"/>
      <w:numFmt w:val="lowerLetter"/>
      <w:start w:val="3"/>
    </w:lvl>
  </w:abstractNum>
  <w:abstractNum w:abstractNumId="108">
    <w:nsid w:val="6E534CDE"/>
    <w:multiLevelType w:val="hybridMultilevel"/>
    <w:lvl w:ilvl="0">
      <w:lvlJc w:val="left"/>
      <w:lvlText w:val="(%1)"/>
      <w:numFmt w:val="lowerRoman"/>
      <w:start w:val="1"/>
    </w:lvl>
    <w:lvl w:ilvl="1">
      <w:lvlJc w:val="left"/>
      <w:lvlText w:val="-"/>
      <w:numFmt w:val="bullet"/>
      <w:start w:val="1"/>
    </w:lvl>
  </w:abstractNum>
  <w:abstractNum w:abstractNumId="109">
    <w:nsid w:val="1A0DDE32"/>
    <w:multiLevelType w:val="hybridMultilevel"/>
    <w:lvl w:ilvl="0">
      <w:lvlJc w:val="left"/>
      <w:lvlText w:val="(%1)"/>
      <w:numFmt w:val="lowerRoman"/>
      <w:start w:val="4"/>
    </w:lvl>
  </w:abstractNum>
  <w:abstractNum w:abstractNumId="110">
    <w:nsid w:val="65968C1C"/>
    <w:multiLevelType w:val="hybridMultilevel"/>
    <w:lvl w:ilvl="0">
      <w:lvlJc w:val="left"/>
      <w:lvlText w:val="%1)"/>
      <w:numFmt w:val="lowerLetter"/>
      <w:start w:val="6"/>
    </w:lvl>
  </w:abstractNum>
  <w:abstractNum w:abstractNumId="111">
    <w:nsid w:val="46263DEC"/>
    <w:multiLevelType w:val="hybridMultilevel"/>
    <w:lvl w:ilvl="0">
      <w:lvlJc w:val="left"/>
      <w:lvlText w:val="%1"/>
      <w:numFmt w:val="decimal"/>
      <w:start w:val="13"/>
    </w:lvl>
    <w:lvl w:ilvl="1">
      <w:lvlJc w:val="left"/>
      <w:lvlText w:val="%2)"/>
      <w:numFmt w:val="lowerLetter"/>
      <w:start w:val="1"/>
    </w:lvl>
  </w:abstractNum>
  <w:abstractNum w:abstractNumId="112">
    <w:nsid w:val="260D8C4A"/>
    <w:multiLevelType w:val="hybridMultilevel"/>
    <w:lvl w:ilvl="0">
      <w:lvlJc w:val="left"/>
      <w:lvlText w:val="%1)"/>
      <w:numFmt w:val="lowerLetter"/>
      <w:start w:val="3"/>
    </w:lvl>
  </w:abstractNum>
  <w:abstractNum w:abstractNumId="113">
    <w:nsid w:val="73D4D3C4"/>
    <w:multiLevelType w:val="hybridMultilevel"/>
    <w:lvl w:ilvl="0">
      <w:lvlJc w:val="left"/>
      <w:lvlText w:val="%1"/>
      <w:numFmt w:val="decimal"/>
      <w:start w:val="14"/>
    </w:lvl>
    <w:lvl w:ilvl="1">
      <w:lvlJc w:val="left"/>
      <w:lvlText w:val="%2)"/>
      <w:numFmt w:val="lowerLetter"/>
      <w:start w:val="1"/>
    </w:lvl>
  </w:abstractNum>
  <w:abstractNum w:abstractNumId="114">
    <w:nsid w:val="746F2E30"/>
    <w:multiLevelType w:val="hybridMultilevel"/>
    <w:lvl w:ilvl="0">
      <w:lvlJc w:val="left"/>
      <w:lvlText w:val="(%1)"/>
      <w:numFmt w:val="lowerRoman"/>
      <w:start w:val="1"/>
    </w:lvl>
    <w:lvl w:ilvl="1">
      <w:lvlJc w:val="left"/>
      <w:lvlText w:val="-"/>
      <w:numFmt w:val="bullet"/>
      <w:start w:val="1"/>
    </w:lvl>
  </w:abstractNum>
  <w:abstractNum w:abstractNumId="115">
    <w:nsid w:val="6FDE8AF6"/>
    <w:multiLevelType w:val="hybridMultilevel"/>
    <w:lvl w:ilvl="0">
      <w:lvlJc w:val="left"/>
      <w:lvlText w:val="(%1)"/>
      <w:numFmt w:val="lowerRoman"/>
      <w:start w:val="4"/>
    </w:lvl>
  </w:abstractNum>
  <w:abstractNum w:abstractNumId="116">
    <w:nsid w:val="3FC32E20"/>
    <w:multiLevelType w:val="hybridMultilevel"/>
    <w:lvl w:ilvl="0">
      <w:lvlJc w:val="left"/>
      <w:lvlText w:val="%1)"/>
      <w:numFmt w:val="lowerLetter"/>
      <w:start w:val="3"/>
    </w:lvl>
  </w:abstractNum>
  <w:abstractNum w:abstractNumId="117">
    <w:nsid w:val="49C0E823"/>
    <w:multiLevelType w:val="hybridMultilevel"/>
    <w:lvl w:ilvl="0">
      <w:lvlJc w:val="left"/>
      <w:lvlText w:val="%1)"/>
      <w:numFmt w:val="lowerLetter"/>
      <w:start w:val="5"/>
    </w:lvl>
  </w:abstractNum>
  <w:abstractNum w:abstractNumId="118">
    <w:nsid w:val="14D53685"/>
    <w:multiLevelType w:val="hybridMultilevel"/>
    <w:lvl w:ilvl="0">
      <w:lvlJc w:val="left"/>
      <w:lvlText w:val="%1"/>
      <w:numFmt w:val="decimal"/>
      <w:start w:val="15"/>
    </w:lvl>
    <w:lvl w:ilvl="1">
      <w:lvlJc w:val="left"/>
      <w:lvlText w:val="%2)"/>
      <w:numFmt w:val="lowerLetter"/>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1)"/>
      <w:numFmt w:val="lowerRoman"/>
      <w:start w:val="1"/>
    </w:lvl>
  </w:abstractNum>
  <w:abstractNum w:abstractNumId="121">
    <w:nsid w:val="3F06ECB2"/>
    <w:multiLevelType w:val="hybridMultilevel"/>
    <w:lvl w:ilvl="0">
      <w:lvlJc w:val="left"/>
      <w:lvlText w:val="(%1)"/>
      <w:numFmt w:val="lowerRoman"/>
      <w:start w:val="9"/>
    </w:lvl>
    <w:lvl w:ilvl="1">
      <w:lvlJc w:val="left"/>
      <w:lvlText w:val="-"/>
      <w:numFmt w:val="bullet"/>
      <w:start w:val="1"/>
    </w:lvl>
  </w:abstractNum>
  <w:abstractNum w:abstractNumId="122">
    <w:nsid w:val="3B594807"/>
    <w:multiLevelType w:val="hybridMultilevel"/>
    <w:lvl w:ilvl="0">
      <w:lvlJc w:val="left"/>
      <w:lvlText w:val="%1"/>
      <w:numFmt w:val="lowerLetter"/>
      <w:start w:val="1"/>
    </w:lvl>
    <w:lvl w:ilvl="1">
      <w:lvlJc w:val="left"/>
      <w:lvlText w:val="(%2)"/>
      <w:numFmt w:val="lowerRoman"/>
      <w:start w:val="10"/>
    </w:lvl>
  </w:abstractNum>
  <w:abstractNum w:abstractNumId="123">
    <w:nsid w:val="6CAA2304"/>
    <w:multiLevelType w:val="hybridMultilevel"/>
    <w:lvl w:ilvl="0">
      <w:lvlJc w:val="left"/>
      <w:lvlText w:val="%1)"/>
      <w:numFmt w:val="lowerLetter"/>
      <w:start w:val="2"/>
    </w:lvl>
    <w:lvl w:ilvl="1">
      <w:lvlJc w:val="left"/>
      <w:lvlText w:val="%2"/>
      <w:numFmt w:val="lowerRoman"/>
      <w:start w:val="1"/>
    </w:lvl>
  </w:abstractNum>
  <w:abstractNum w:abstractNumId="124">
    <w:nsid w:val="3F7C2FF4"/>
    <w:multiLevelType w:val="hybridMultilevel"/>
    <w:lvl w:ilvl="0">
      <w:lvlJc w:val="left"/>
      <w:lvlText w:val="%1"/>
      <w:numFmt w:val="decimal"/>
      <w:start w:val="17"/>
    </w:lvl>
    <w:lvl w:ilvl="1">
      <w:lvlJc w:val="left"/>
      <w:lvlText w:val="%2)"/>
      <w:numFmt w:val="lowerLetter"/>
      <w:start w:val="1"/>
    </w:lvl>
  </w:abstractNum>
  <w:abstractNum w:abstractNumId="125">
    <w:nsid w:val="25413BEC"/>
    <w:multiLevelType w:val="hybridMultilevel"/>
    <w:lvl w:ilvl="0">
      <w:lvlJc w:val="left"/>
      <w:lvlText w:val="%1)"/>
      <w:numFmt w:val="lowerLetter"/>
      <w:start w:val="3"/>
    </w:lvl>
  </w:abstractNum>
  <w:abstractNum w:abstractNumId="126">
    <w:nsid w:val="17180B0B"/>
    <w:multiLevelType w:val="hybridMultilevel"/>
    <w:lvl w:ilvl="0">
      <w:lvlJc w:val="left"/>
      <w:lvlText w:val="%1)"/>
      <w:numFmt w:val="lowerLetter"/>
      <w:start w:val="4"/>
    </w:lvl>
  </w:abstractNum>
  <w:abstractNum w:abstractNumId="127">
    <w:nsid w:val="579328B9"/>
    <w:multiLevelType w:val="hybridMultilevel"/>
    <w:lvl w:ilvl="0">
      <w:lvlJc w:val="left"/>
      <w:lvlText w:val="%1)"/>
      <w:numFmt w:val="lowerLetter"/>
      <w:start w:val="5"/>
    </w:lvl>
    <w:lvl w:ilvl="1">
      <w:lvlJc w:val="left"/>
      <w:lvlText w:val="-"/>
      <w:numFmt w:val="bullet"/>
      <w:start w:val="1"/>
    </w:lvl>
  </w:abstractNum>
  <w:abstractNum w:abstractNumId="128">
    <w:nsid w:val="5D205E20"/>
    <w:multiLevelType w:val="hybridMultilevel"/>
    <w:lvl w:ilvl="0">
      <w:lvlJc w:val="left"/>
      <w:lvlText w:val="%1"/>
      <w:numFmt w:val="decimal"/>
      <w:start w:val="18"/>
    </w:lvl>
    <w:lvl w:ilvl="1">
      <w:lvlJc w:val="left"/>
      <w:lvlText w:val="%2)"/>
      <w:numFmt w:val="lowerLetter"/>
      <w:start w:val="1"/>
    </w:lvl>
  </w:abstractNum>
  <w:abstractNum w:abstractNumId="129">
    <w:nsid w:val="11CCA8BA"/>
    <w:multiLevelType w:val="hybridMultilevel"/>
    <w:lvl w:ilvl="0">
      <w:lvlJc w:val="left"/>
      <w:lvlText w:val="(%1)"/>
      <w:numFmt w:val="lowerRoman"/>
      <w:start w:val="1"/>
    </w:lvl>
    <w:lvl w:ilvl="1">
      <w:lvlJc w:val="left"/>
      <w:lvlText w:val="(%2)"/>
      <w:numFmt w:val="lowerRoman"/>
      <w:start w:val="2"/>
    </w:lvl>
  </w:abstractNum>
  <w:abstractNum w:abstractNumId="130">
    <w:nsid w:val="4D32AB86"/>
    <w:multiLevelType w:val="hybridMultilevel"/>
    <w:lvl w:ilvl="0">
      <w:lvlJc w:val="left"/>
      <w:lvlText w:val="%1)"/>
      <w:numFmt w:val="lowerLetter"/>
      <w:start w:val="4"/>
    </w:lvl>
  </w:abstractNum>
  <w:abstractNum w:abstractNumId="131">
    <w:nsid w:val="3F07ACC3"/>
    <w:multiLevelType w:val="hybridMultilevel"/>
    <w:lvl w:ilvl="0">
      <w:lvlJc w:val="left"/>
      <w:lvlText w:val="%1"/>
      <w:numFmt w:val="decimal"/>
      <w:start w:val="19"/>
    </w:lvl>
    <w:lvl w:ilvl="1">
      <w:lvlJc w:val="left"/>
      <w:lvlText w:val="%2)"/>
      <w:numFmt w:val="lowerLetter"/>
      <w:start w:val="1"/>
    </w:lvl>
  </w:abstractNum>
  <w:abstractNum w:abstractNumId="132">
    <w:nsid w:val="6B47F63E"/>
    <w:multiLevelType w:val="hybridMultilevel"/>
    <w:lvl w:ilvl="0">
      <w:lvlJc w:val="left"/>
      <w:lvlText w:val="%1)"/>
      <w:numFmt w:val="lowerLetter"/>
      <w:start w:val="2"/>
    </w:lvl>
    <w:lvl w:ilvl="1">
      <w:lvlJc w:val="left"/>
      <w:lvlText w:val="-"/>
      <w:numFmt w:val="bullet"/>
      <w:start w:val="1"/>
    </w:lvl>
  </w:abstractNum>
  <w:abstractNum w:abstractNumId="133">
    <w:nsid w:val="5CB44A05"/>
    <w:multiLevelType w:val="hybridMultilevel"/>
    <w:lvl w:ilvl="0">
      <w:lvlJc w:val="left"/>
      <w:lvlText w:val="%1"/>
      <w:numFmt w:val="decimal"/>
      <w:start w:val="24"/>
    </w:lvl>
    <w:lvl w:ilvl="1">
      <w:lvlJc w:val="left"/>
      <w:lvlText w:val="%2)"/>
      <w:numFmt w:val="lowerLetter"/>
      <w:start w:val="1"/>
    </w:lvl>
  </w:abstractNum>
  <w:abstractNum w:abstractNumId="134">
    <w:nsid w:val="16CF80F1"/>
    <w:multiLevelType w:val="hybridMultilevel"/>
    <w:lvl w:ilvl="0">
      <w:lvlJc w:val="left"/>
      <w:lvlText w:val="(*)"/>
      <w:numFmt w:val="bullet"/>
      <w:start w:val="1"/>
    </w:lvl>
  </w:abstractNum>
  <w:abstractNum w:abstractNumId="135">
    <w:nsid w:val="1C695DEC"/>
    <w:multiLevelType w:val="hybridMultilevel"/>
    <w:lvl w:ilvl="0">
      <w:lvlJc w:val="left"/>
      <w:lvlText w:val="(%1)"/>
      <w:numFmt w:val="lowerRoman"/>
      <w:start w:val="1"/>
    </w:lvl>
    <w:lvl w:ilvl="1">
      <w:lvlJc w:val="left"/>
      <w:lvlText w:val="(*)"/>
      <w:numFmt w:val="bullet"/>
      <w:start w:val="1"/>
    </w:lvl>
  </w:abstractNum>
  <w:abstractNum w:abstractNumId="136">
    <w:nsid w:val="3FCFAED9"/>
    <w:multiLevelType w:val="hybridMultilevel"/>
    <w:lvl w:ilvl="0">
      <w:lvlJc w:val="left"/>
      <w:lvlText w:val="(*)"/>
      <w:numFmt w:val="bullet"/>
      <w:start w:val="1"/>
    </w:lvl>
    <w:lvl w:ilvl="1">
      <w:lvlJc w:val="left"/>
      <w:lvlText w:val="-"/>
      <w:numFmt w:val="bullet"/>
      <w:start w:val="1"/>
    </w:lvl>
  </w:abstractNum>
  <w:abstractNum w:abstractNumId="137">
    <w:nsid w:val="F856867"/>
    <w:multiLevelType w:val="hybridMultilevel"/>
    <w:lvl w:ilvl="0">
      <w:lvlJc w:val="left"/>
      <w:lvlText w:val="%1"/>
      <w:numFmt w:val="decimal"/>
      <w:start w:val="25"/>
    </w:lvl>
  </w:abstractNum>
  <w:abstractNum w:abstractNumId="138">
    <w:nsid w:val="11B1CC33"/>
    <w:multiLevelType w:val="hybridMultilevel"/>
    <w:lvl w:ilvl="0">
      <w:lvlJc w:val="left"/>
      <w:lvlText w:val="%1"/>
      <w:numFmt w:val="decimal"/>
      <w:start w:val="26"/>
    </w:lvl>
  </w:abstractNum>
  <w:abstractNum w:abstractNumId="139">
    <w:nsid w:val="2E22FBB7"/>
    <w:multiLevelType w:val="hybridMultilevel"/>
    <w:lvl w:ilvl="0">
      <w:lvlJc w:val="left"/>
      <w:lvlText w:val="(*)"/>
      <w:numFmt w:val="bullet"/>
      <w:start w:val="1"/>
    </w:lvl>
    <w:lvl w:ilvl="1">
      <w:lvlJc w:val="left"/>
      <w:lvlText w:val="-"/>
      <w:numFmt w:val="bullet"/>
      <w:start w:val="1"/>
    </w:lvl>
  </w:abstractNum>
  <w:abstractNum w:abstractNumId="140">
    <w:nsid w:val="29934699"/>
    <w:multiLevelType w:val="hybridMultilevel"/>
    <w:lvl w:ilvl="0">
      <w:lvlJc w:val="left"/>
      <w:lvlText w:val="(*)"/>
      <w:numFmt w:val="bullet"/>
      <w:start w:val="1"/>
    </w:lvl>
    <w:lvl w:ilvl="1">
      <w:lvlJc w:val="left"/>
      <w:lvlText w:val="-"/>
      <w:numFmt w:val="bullet"/>
      <w:start w:val="1"/>
    </w:lvl>
  </w:abstractNum>
  <w:abstractNum w:abstractNumId="141">
    <w:nsid w:val="77485850"/>
    <w:multiLevelType w:val="hybridMultilevel"/>
    <w:lvl w:ilvl="0">
      <w:lvlJc w:val="left"/>
      <w:lvlText w:val="%1"/>
      <w:numFmt w:val="decimal"/>
      <w:start w:val="29"/>
    </w:lvl>
  </w:abstractNum>
  <w:abstractNum w:abstractNumId="142">
    <w:nsid w:val="744939A3"/>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43">
    <w:nsid w:val="4FA0D2E3"/>
    <w:multiLevelType w:val="hybridMultilevel"/>
    <w:lvl w:ilvl="0">
      <w:lvlJc w:val="left"/>
      <w:lvlText w:val="%1)"/>
      <w:numFmt w:val="lowerLetter"/>
      <w:start w:val="4"/>
    </w:lvl>
  </w:abstractNum>
  <w:abstractNum w:abstractNumId="144">
    <w:nsid w:val="6B1D2C14"/>
    <w:multiLevelType w:val="hybridMultilevel"/>
    <w:lvl w:ilvl="0">
      <w:lvlJc w:val="left"/>
      <w:lvlText w:val="-"/>
      <w:numFmt w:val="bullet"/>
      <w:start w:val="1"/>
    </w:lvl>
    <w:lvl w:ilvl="1">
      <w:lvlJc w:val="left"/>
      <w:lvlText w:val="-"/>
      <w:numFmt w:val="bullet"/>
      <w:start w:val="1"/>
    </w:lvl>
  </w:abstractNum>
  <w:abstractNum w:abstractNumId="145">
    <w:nsid w:val="68B867D3"/>
    <w:multiLevelType w:val="hybridMultilevel"/>
    <w:lvl w:ilvl="0">
      <w:lvlJc w:val="left"/>
      <w:lvlText w:val="(%1)"/>
      <w:numFmt w:val="lowerRoman"/>
      <w:start w:val="1"/>
    </w:lvl>
  </w:abstractNum>
  <w:abstractNum w:abstractNumId="146">
    <w:nsid w:val="3F7F5DD9"/>
    <w:multiLevelType w:val="hybridMultilevel"/>
    <w:lvl w:ilvl="0">
      <w:lvlJc w:val="left"/>
      <w:lvlText w:val="(*)"/>
      <w:numFmt w:val="bullet"/>
      <w:start w:val="1"/>
    </w:lvl>
  </w:abstractNum>
  <w:abstractNum w:abstractNumId="147">
    <w:nsid w:val="2AE05A34"/>
    <w:multiLevelType w:val="hybridMultilevel"/>
    <w:lvl w:ilvl="0">
      <w:lvlJc w:val="left"/>
      <w:lvlText w:val="(***)"/>
      <w:numFmt w:val="bullet"/>
      <w:start w:val="1"/>
    </w:lvl>
    <w:lvl w:ilvl="1">
      <w:lvlJc w:val="left"/>
      <w:lvlText w:val="-"/>
      <w:numFmt w:val="bullet"/>
      <w:start w:val="1"/>
    </w:lvl>
  </w:abstractNum>
  <w:abstractNum w:abstractNumId="148">
    <w:nsid w:val="32794FF7"/>
    <w:multiLevelType w:val="hybridMultilevel"/>
    <w:lvl w:ilvl="0">
      <w:lvlJc w:val="left"/>
      <w:lvlText w:val="(*)"/>
      <w:numFmt w:val="bullet"/>
      <w:start w:val="1"/>
    </w:lvl>
  </w:abstractNum>
  <w:abstractNum w:abstractNumId="149">
    <w:nsid w:val="5454945E"/>
    <w:multiLevelType w:val="hybridMultilevel"/>
    <w:lvl w:ilvl="0">
      <w:lvlJc w:val="left"/>
      <w:lvlText w:val="(%1)"/>
      <w:numFmt w:val="lowerRoman"/>
      <w:start w:val="1"/>
    </w:lvl>
    <w:lvl w:ilvl="1">
      <w:lvlJc w:val="left"/>
      <w:lvlText w:val="(***)"/>
      <w:numFmt w:val="bullet"/>
      <w:start w:val="1"/>
    </w:lvl>
  </w:abstractNum>
  <w:abstractNum w:abstractNumId="150">
    <w:nsid w:val="4DEFDFA0"/>
    <w:multiLevelType w:val="hybridMultilevel"/>
    <w:lvl w:ilvl="0">
      <w:lvlJc w:val="left"/>
      <w:lvlText w:val="(*)"/>
      <w:numFmt w:val="bullet"/>
      <w:start w:val="1"/>
    </w:lvl>
  </w:abstractNum>
  <w:abstractNum w:abstractNumId="151">
    <w:nsid w:val="2123D5F2"/>
    <w:multiLevelType w:val="hybridMultilevel"/>
    <w:lvl w:ilvl="0">
      <w:lvlJc w:val="left"/>
      <w:lvlText w:val="(**)"/>
      <w:numFmt w:val="bullet"/>
      <w:start w:val="1"/>
    </w:lvl>
    <w:lvl w:ilvl="1">
      <w:lvlJc w:val="left"/>
      <w:lvlText w:val="-"/>
      <w:numFmt w:val="bullet"/>
      <w:start w:val="1"/>
    </w:lvl>
  </w:abstractNum>
  <w:abstractNum w:abstractNumId="152">
    <w:nsid w:val="135B8110"/>
    <w:multiLevelType w:val="hybridMultilevel"/>
    <w:lvl w:ilvl="0">
      <w:lvlJc w:val="left"/>
      <w:lvlText w:val="%1"/>
      <w:numFmt w:val="decimal"/>
      <w:start w:val="31"/>
    </w:lvl>
    <w:lvl w:ilvl="1">
      <w:lvlJc w:val="left"/>
      <w:lvlText w:val="%2)"/>
      <w:numFmt w:val="lowerLetter"/>
      <w:start w:val="1"/>
    </w:lvl>
  </w:abstractNum>
  <w:abstractNum w:abstractNumId="153">
    <w:nsid w:val="94927A8"/>
    <w:multiLevelType w:val="hybridMultilevel"/>
    <w:lvl w:ilvl="0">
      <w:lvlJc w:val="left"/>
      <w:lvlText w:val="%1)"/>
      <w:numFmt w:val="lowerLetter"/>
      <w:start w:val="3"/>
    </w:lvl>
  </w:abstractNum>
  <w:abstractNum w:abstractNumId="154">
    <w:nsid w:val="DCDF8F6"/>
    <w:multiLevelType w:val="hybridMultilevel"/>
    <w:lvl w:ilvl="0">
      <w:lvlJc w:val="left"/>
      <w:lvlText w:val="%1)"/>
      <w:numFmt w:val="lowerLetter"/>
      <w:start w:val="6"/>
    </w:lvl>
  </w:abstractNum>
  <w:abstractNum w:abstractNumId="155">
    <w:nsid w:val="52D7B105"/>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56">
    <w:nsid w:val="2E8A6394"/>
    <w:multiLevelType w:val="hybridMultilevel"/>
    <w:lvl w:ilvl="0">
      <w:lvlJc w:val="left"/>
      <w:lvlText w:val="(%1)"/>
      <w:numFmt w:val="lowerRoman"/>
      <w:start w:val="3"/>
    </w:lvl>
    <w:lvl w:ilvl="1">
      <w:lvlJc w:val="left"/>
      <w:lvlText w:val="-"/>
      <w:numFmt w:val="bullet"/>
      <w:start w:val="1"/>
    </w:lvl>
  </w:abstractNum>
  <w:abstractNum w:abstractNumId="157">
    <w:nsid w:val="24E60401"/>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58">
    <w:nsid w:val="2A6AD9B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9">
    <w:nsid w:val="BAAC1B4"/>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abstractNum>
  <w:abstractNum w:abstractNumId="160">
    <w:nsid w:val="36B2ACB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1">
    <w:nsid w:val="779D8544"/>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62">
    <w:nsid w:val="4AB26E7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3">
    <w:nsid w:val="21FAA2FA"/>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164">
    <w:nsid w:val="5451CF4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5">
    <w:nsid w:val="6181EF69"/>
    <w:multiLevelType w:val="hybridMultilevel"/>
    <w:lvl w:ilvl="0">
      <w:lvlJc w:val="left"/>
      <w:lvlText w:val="-"/>
      <w:numFmt w:val="bullet"/>
      <w:start w:val="1"/>
    </w:lvl>
    <w:lvl w:ilvl="1">
      <w:lvlJc w:val="left"/>
      <w:lvlText w:val="-"/>
      <w:numFmt w:val="bullet"/>
      <w:start w:val="1"/>
    </w:lvl>
  </w:abstractNum>
  <w:abstractNum w:abstractNumId="166">
    <w:nsid w:val="3E6400E6"/>
    <w:multiLevelType w:val="hybridMultilevel"/>
    <w:lvl w:ilvl="0">
      <w:lvlJc w:val="left"/>
      <w:lvlText w:val="-"/>
      <w:numFmt w:val="bullet"/>
      <w:start w:val="1"/>
    </w:lvl>
  </w:abstractNum>
  <w:abstractNum w:abstractNumId="167">
    <w:nsid w:val="14217E23"/>
    <w:multiLevelType w:val="hybridMultilevel"/>
    <w:lvl w:ilvl="0">
      <w:lvlJc w:val="left"/>
      <w:lvlText w:val="(%1)"/>
      <w:numFmt w:val="lowerRoman"/>
      <w:start w:val="1"/>
    </w:lvl>
  </w:abstractNum>
  <w:abstractNum w:abstractNumId="168">
    <w:nsid w:val="710757D0"/>
    <w:multiLevelType w:val="hybridMultilevel"/>
    <w:lvl w:ilvl="0">
      <w:lvlJc w:val="left"/>
      <w:lvlText w:val="-"/>
      <w:numFmt w:val="bullet"/>
      <w:start w:val="1"/>
    </w:lvl>
  </w:abstractNum>
  <w:abstractNum w:abstractNumId="169">
    <w:nsid w:val="5015CD1A"/>
    <w:multiLevelType w:val="hybridMultilevel"/>
    <w:lvl w:ilvl="0">
      <w:lvlJc w:val="left"/>
      <w:lvlText w:val="(%1)"/>
      <w:numFmt w:val="lowerRoman"/>
      <w:start w:val="1"/>
    </w:lvl>
  </w:abstractNum>
  <w:abstractNum w:abstractNumId="170">
    <w:nsid w:val="424479DA"/>
    <w:multiLevelType w:val="hybridMultilevel"/>
    <w:lvl w:ilvl="0">
      <w:lvlJc w:val="left"/>
      <w:lvlText w:val="%1)"/>
      <w:numFmt w:val="lowerLetter"/>
      <w:start w:val="4"/>
    </w:lvl>
  </w:abstractNum>
  <w:abstractNum w:abstractNumId="171">
    <w:nsid w:val="1A9A9E69"/>
    <w:multiLevelType w:val="hybridMultilevel"/>
    <w:lvl w:ilvl="0">
      <w:lvlJc w:val="left"/>
      <w:lvlText w:val="%1)"/>
      <w:numFmt w:val="lowerLetter"/>
      <w:start w:val="6"/>
    </w:lvl>
  </w:abstractNum>
  <w:abstractNum w:abstractNumId="172">
    <w:nsid w:val="475E256A"/>
    <w:multiLevelType w:val="hybridMultilevel"/>
    <w:lvl w:ilvl="0">
      <w:lvlJc w:val="left"/>
      <w:lvlText w:val="%1)"/>
      <w:numFmt w:val="lowerLetter"/>
      <w:start w:val="7"/>
    </w:lvl>
    <w:lvl w:ilvl="1">
      <w:lvlJc w:val="left"/>
      <w:lvlText w:val="-"/>
      <w:numFmt w:val="bullet"/>
      <w:start w:val="1"/>
    </w:lvl>
  </w:abstractNum>
  <w:abstractNum w:abstractNumId="173">
    <w:nsid w:val="368DB37E"/>
    <w:multiLevelType w:val="hybridMultilevel"/>
    <w:lvl w:ilvl="0">
      <w:lvlJc w:val="left"/>
      <w:lvlText w:val="-"/>
      <w:numFmt w:val="bullet"/>
      <w:start w:val="1"/>
    </w:lvl>
  </w:abstractNum>
  <w:abstractNum w:abstractNumId="174">
    <w:nsid w:val="6A3B714C"/>
    <w:multiLevelType w:val="hybridMultilevel"/>
    <w:lvl w:ilvl="0">
      <w:lvlJc w:val="left"/>
      <w:lvlText w:val="-"/>
      <w:numFmt w:val="bullet"/>
      <w:start w:val="1"/>
    </w:lvl>
  </w:abstractNum>
  <w:abstractNum w:abstractNumId="175">
    <w:nsid w:val="327B51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6">
    <w:nsid w:val="1F461B51"/>
    <w:multiLevelType w:val="hybridMultilevel"/>
    <w:lvl w:ilvl="0">
      <w:lvlJc w:val="left"/>
      <w:lvlText w:val="(%1)"/>
      <w:numFmt w:val="lowerRoman"/>
      <w:start w:val="1"/>
    </w:lvl>
    <w:lvl w:ilvl="1">
      <w:lvlJc w:val="left"/>
      <w:lvlText w:val="-"/>
      <w:numFmt w:val="bullet"/>
      <w:start w:val="1"/>
    </w:lvl>
  </w:abstractNum>
  <w:abstractNum w:abstractNumId="177">
    <w:nsid w:val="29BACF25"/>
    <w:multiLevelType w:val="hybridMultilevel"/>
    <w:lvl w:ilvl="0">
      <w:lvlJc w:val="left"/>
      <w:lvlText w:val="(*)"/>
      <w:numFmt w:val="bullet"/>
      <w:start w:val="1"/>
    </w:lvl>
  </w:abstractNum>
  <w:abstractNum w:abstractNumId="178">
    <w:nsid w:val="5D5BABB3"/>
    <w:multiLevelType w:val="hybridMultilevel"/>
    <w:lvl w:ilvl="0">
      <w:lvlJc w:val="left"/>
      <w:lvlText w:val="(*)"/>
      <w:numFmt w:val="bullet"/>
      <w:start w:val="1"/>
    </w:lvl>
  </w:abstractNum>
  <w:abstractNum w:abstractNumId="179">
    <w:nsid w:val="51BF6B48"/>
    <w:multiLevelType w:val="hybridMultilevel"/>
    <w:lvl w:ilvl="0">
      <w:lvlJc w:val="left"/>
      <w:lvlText w:val="(%1)"/>
      <w:numFmt w:val="lowerRoman"/>
      <w:start w:val="2"/>
    </w:lvl>
    <w:lvl w:ilvl="1">
      <w:lvlJc w:val="left"/>
      <w:lvlText w:val="-"/>
      <w:numFmt w:val="bullet"/>
      <w:start w:val="1"/>
    </w:lvl>
  </w:abstractNum>
  <w:abstractNum w:abstractNumId="180">
    <w:nsid w:val="7E0F6384"/>
    <w:multiLevelType w:val="hybridMultilevel"/>
    <w:lvl w:ilvl="0">
      <w:lvlJc w:val="left"/>
      <w:lvlText w:val="-"/>
      <w:numFmt w:val="bullet"/>
      <w:start w:val="1"/>
    </w:lvl>
    <w:lvl w:ilvl="1">
      <w:lvlJc w:val="left"/>
      <w:lvlText w:val="-"/>
      <w:numFmt w:val="bullet"/>
      <w:start w:val="1"/>
    </w:lvl>
  </w:abstractNum>
  <w:abstractNum w:abstractNumId="181">
    <w:nsid w:val="2B4B8B53"/>
    <w:multiLevelType w:val="hybridMultilevel"/>
    <w:lvl w:ilvl="0">
      <w:lvlJc w:val="left"/>
      <w:lvlText w:val="-"/>
      <w:numFmt w:val="bullet"/>
      <w:start w:val="1"/>
    </w:lvl>
  </w:abstractNum>
  <w:abstractNum w:abstractNumId="182">
    <w:nsid w:val="72E3413A"/>
    <w:multiLevelType w:val="hybridMultilevel"/>
    <w:lvl w:ilvl="0">
      <w:lvlJc w:val="left"/>
      <w:lvlText w:val="%1)"/>
      <w:numFmt w:val="lowerLetter"/>
      <w:start w:val="1"/>
    </w:lvl>
  </w:abstractNum>
  <w:abstractNum w:abstractNumId="183">
    <w:nsid w:val="116AE494"/>
    <w:multiLevelType w:val="hybridMultilevel"/>
    <w:lvl w:ilvl="0">
      <w:lvlJc w:val="left"/>
      <w:lvlText w:val="-"/>
      <w:numFmt w:val="bullet"/>
      <w:start w:val="1"/>
    </w:lvl>
  </w:abstractNum>
  <w:abstractNum w:abstractNumId="184">
    <w:nsid w:val="3494B2FB"/>
    <w:multiLevelType w:val="hybridMultilevel"/>
    <w:lvl w:ilvl="0">
      <w:lvlJc w:val="left"/>
      <w:lvlText w:val="(%1)"/>
      <w:numFmt w:val="lowerRoman"/>
      <w:start w:val="1"/>
    </w:lvl>
  </w:abstractNum>
  <w:abstractNum w:abstractNumId="185">
    <w:nsid w:val="B13A31"/>
    <w:multiLevelType w:val="hybridMultilevel"/>
    <w:lvl w:ilvl="0">
      <w:lvlJc w:val="left"/>
      <w:lvlText w:val="%1"/>
      <w:numFmt w:val="decimal"/>
      <w:start w:val="34"/>
    </w:lvl>
    <w:lvl w:ilvl="1">
      <w:lvlJc w:val="left"/>
      <w:lvlText w:val="%2)"/>
      <w:numFmt w:val="lowerRoman"/>
      <w:start w:val="1"/>
    </w:lvl>
    <w:lvl w:ilvl="2">
      <w:lvlJc w:val="left"/>
      <w:lvlText w:val="-"/>
      <w:numFmt w:val="bullet"/>
      <w:start w:val="1"/>
    </w:lvl>
  </w:abstractNum>
  <w:abstractNum w:abstractNumId="186">
    <w:nsid w:val="64429599"/>
    <w:multiLevelType w:val="hybridMultilevel"/>
    <w:lvl w:ilvl="0">
      <w:lvlJc w:val="left"/>
      <w:lvlText w:val="%1)"/>
      <w:numFmt w:val="lowerRoman"/>
      <w:start w:val="2"/>
    </w:lvl>
    <w:lvl w:ilvl="1">
      <w:lvlJc w:val="left"/>
      <w:lvlText w:val="-"/>
      <w:numFmt w:val="bullet"/>
      <w:start w:val="1"/>
    </w:lvl>
  </w:abstractNum>
  <w:abstractNum w:abstractNumId="187">
    <w:nsid w:val="631F1690"/>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2019-12-05T00:57:13Z</dcterms:created>
  <dcterms:modified xsi:type="dcterms:W3CDTF">2019-12-05T00:57:13Z</dcterms:modified>
</cp:coreProperties>
</file>