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201930</wp:posOffset>
            </wp:positionH>
            <wp:positionV relativeFrom="page">
              <wp:posOffset>213995</wp:posOffset>
            </wp:positionV>
            <wp:extent cx="7144385"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23495"/>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245110</wp:posOffset>
            </wp:positionV>
            <wp:extent cx="71443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7620"/>
                    </a:xfrm>
                    <a:prstGeom prst="rect">
                      <a:avLst/>
                    </a:prstGeom>
                    <a:noFill/>
                  </pic:spPr>
                </pic:pic>
              </a:graphicData>
            </a:graphic>
          </wp:anchor>
        </w:drawing>
        <w:t>SECURITIES AND EXCHANGE COMMISSION</w:t>
      </w:r>
    </w:p>
    <w:p>
      <w:pPr>
        <w:spacing w:after="0" w:line="2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Washington, D.C. 20549</w:t>
      </w:r>
    </w:p>
    <w:p>
      <w:pPr>
        <w:spacing w:after="0" w:line="19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FORM 6-K</w:t>
      </w:r>
    </w:p>
    <w:p>
      <w:pPr>
        <w:spacing w:after="0" w:line="213"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Report of Foreign Private Issuer</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Pursuant to Rule 13a-16 or 15d-16 under the</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Securities Exchange Act of 1934</w:t>
      </w:r>
    </w:p>
    <w:p>
      <w:pPr>
        <w:spacing w:after="0" w:line="19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For the month of June 2020</w:t>
      </w:r>
    </w:p>
    <w:p>
      <w:pPr>
        <w:spacing w:after="0" w:line="213"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Commission File Number: 001-14014</w:t>
      </w:r>
    </w:p>
    <w:p>
      <w:pPr>
        <w:spacing w:after="0" w:line="200" w:lineRule="exact"/>
        <w:rPr>
          <w:sz w:val="24"/>
          <w:szCs w:val="24"/>
          <w:color w:val="auto"/>
        </w:rPr>
      </w:pPr>
    </w:p>
    <w:p>
      <w:pPr>
        <w:jc w:val="center"/>
        <w:ind w:right="-1100"/>
        <w:spacing w:after="0"/>
        <w:rPr>
          <w:sz w:val="20"/>
          <w:szCs w:val="20"/>
          <w:color w:val="auto"/>
        </w:rPr>
      </w:pPr>
      <w:r>
        <w:rPr>
          <w:rFonts w:ascii="Arial" w:cs="Arial" w:eastAsia="Arial" w:hAnsi="Arial"/>
          <w:sz w:val="23"/>
          <w:szCs w:val="23"/>
          <w:b w:val="1"/>
          <w:bCs w:val="1"/>
          <w:color w:val="auto"/>
        </w:rPr>
        <w:t>CREDICORP LTD.</w:t>
      </w:r>
    </w:p>
    <w:p>
      <w:pPr>
        <w:spacing w:after="0" w:line="29"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(Translation of registrant’s name into English))</w:t>
      </w:r>
    </w:p>
    <w:p>
      <w:pPr>
        <w:spacing w:after="0" w:line="191"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Of our subsidiary</w:t>
      </w:r>
    </w:p>
    <w:p>
      <w:pPr>
        <w:spacing w:after="0" w:line="2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Banco de Credito del Peru:</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Calle Centenario 156</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La Molina</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Lima 12, Peru</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(Address of principal executive office)</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91" w:lineRule="exact"/>
        <w:rPr>
          <w:sz w:val="24"/>
          <w:szCs w:val="24"/>
          <w:color w:val="auto"/>
        </w:rPr>
      </w:pPr>
    </w:p>
    <w:p>
      <w:pPr>
        <w:ind w:left="4720"/>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0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0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191135</wp:posOffset>
            </wp:positionV>
            <wp:extent cx="71443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206375</wp:posOffset>
            </wp:positionV>
            <wp:extent cx="7144385" cy="23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4385" cy="234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744855</wp:posOffset>
            </wp:positionV>
            <wp:extent cx="71443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139"/>
          </w:cols>
          <w:pgMar w:left="320" w:top="651" w:right="1440" w:bottom="1440" w:gutter="0" w:footer="0" w:header="0"/>
        </w:sectPr>
      </w:pPr>
    </w:p>
    <w:bookmarkStart w:id="1" w:name="page2"/>
    <w:bookmarkEnd w:id="1"/>
    <w:p>
      <w:pPr>
        <w:jc w:val="both"/>
        <w:spacing w:after="0" w:line="271" w:lineRule="auto"/>
        <w:rPr>
          <w:sz w:val="20"/>
          <w:szCs w:val="20"/>
          <w:color w:val="auto"/>
        </w:rPr>
      </w:pPr>
      <w:r>
        <w:rPr>
          <w:rFonts w:ascii="Arial" w:cs="Arial" w:eastAsia="Arial" w:hAnsi="Arial"/>
          <w:sz w:val="16"/>
          <w:szCs w:val="16"/>
          <w:color w:val="auto"/>
        </w:rPr>
        <w:t>The registrant is furnishing this report on Form 6-K to present its interim condensed consolidated financial statements as of March 31, 2020 and December 31, 2019 and for the three-month periods ended March 31, 2020 and 2019, attached hereto as Exhibit 99.1, and to present a discussion of the registrant’s business and operations as of and for the three months ended March 31, 2020, and other recent developments, attached hereto as 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376555</wp:posOffset>
            </wp:positionV>
            <wp:extent cx="71443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040"/>
          </w:cols>
          <w:pgMar w:left="320" w:top="839" w:right="5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6"/>
          <w:szCs w:val="16"/>
          <w:b w:val="1"/>
          <w:bCs w:val="1"/>
          <w:color w:val="auto"/>
        </w:rPr>
        <w:t>SIGNATURE</w:t>
      </w:r>
    </w:p>
    <w:p>
      <w:pPr>
        <w:spacing w:after="0" w:line="213"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Date: June 8, 2020</w:t>
      </w: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CREDICORP LTD.</w:t>
      </w:r>
    </w:p>
    <w:p>
      <w:pPr>
        <w:spacing w:after="0" w:line="24"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(Registrant)</w:t>
      </w:r>
    </w:p>
    <w:p>
      <w:pPr>
        <w:spacing w:after="0" w:line="394"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/s/ Miriam Böttger</w:t>
      </w:r>
    </w:p>
    <w:p>
      <w:pPr>
        <w:spacing w:after="0" w:line="24" w:lineRule="exact"/>
        <w:rPr>
          <w:sz w:val="20"/>
          <w:szCs w:val="20"/>
          <w:color w:val="auto"/>
        </w:rPr>
      </w:pPr>
    </w:p>
    <w:p>
      <w:pPr>
        <w:ind w:left="5960"/>
        <w:spacing w:after="0"/>
        <w:rPr>
          <w:sz w:val="20"/>
          <w:szCs w:val="20"/>
          <w:color w:val="auto"/>
        </w:rPr>
      </w:pPr>
      <w:r>
        <w:rPr>
          <w:rFonts w:ascii="Arial" w:cs="Arial" w:eastAsia="Arial" w:hAnsi="Arial"/>
          <w:sz w:val="16"/>
          <w:szCs w:val="16"/>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-115570</wp:posOffset>
            </wp:positionV>
            <wp:extent cx="33540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4070" cy="7620"/>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6"/>
          <w:szCs w:val="16"/>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398780</wp:posOffset>
            </wp:positionV>
            <wp:extent cx="71443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720"/>
          </w:cols>
          <w:pgMar w:left="320" w:top="835"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CREDICORP LTD.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Interim condensed consolidated financial statements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2020 and December 31, 2019 and for the three-month</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periods ended March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398780</wp:posOffset>
            </wp:positionV>
            <wp:extent cx="71443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CREDICORP LTD.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Interim condensed consolidated financial statements as of March 31, 2020 and December 31, 2019 and for the three-month periods ended March 31, 2020 and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Arial" w:cs="Arial" w:eastAsia="Arial" w:hAnsi="Arial"/>
                <w:sz w:val="16"/>
                <w:szCs w:val="16"/>
                <w:b w:val="1"/>
                <w:bCs w:val="1"/>
                <w:color w:val="auto"/>
                <w:w w:val="89"/>
              </w:rPr>
              <w:t>Content</w:t>
            </w:r>
          </w:p>
        </w:tc>
        <w:tc>
          <w:tcPr>
            <w:tcW w:w="2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3600" w:type="dxa"/>
            <w:vAlign w:val="bottom"/>
          </w:tcPr>
          <w:p>
            <w:pPr>
              <w:jc w:val="right"/>
              <w:spacing w:after="0"/>
              <w:rPr>
                <w:sz w:val="20"/>
                <w:szCs w:val="20"/>
                <w:color w:val="auto"/>
              </w:rPr>
            </w:pPr>
            <w:r>
              <w:rPr>
                <w:rFonts w:ascii="Arial" w:cs="Arial" w:eastAsia="Arial" w:hAnsi="Arial"/>
                <w:sz w:val="16"/>
                <w:szCs w:val="16"/>
                <w:b w:val="1"/>
                <w:bCs w:val="1"/>
                <w:color w:val="auto"/>
              </w:rPr>
              <w:t>Pages</w:t>
            </w:r>
          </w:p>
        </w:tc>
      </w:tr>
      <w:tr>
        <w:trPr>
          <w:trHeight w:val="393"/>
        </w:trPr>
        <w:tc>
          <w:tcPr>
            <w:tcW w:w="7640" w:type="dxa"/>
            <w:vAlign w:val="bottom"/>
            <w:gridSpan w:val="3"/>
          </w:tcPr>
          <w:p>
            <w:pPr>
              <w:spacing w:after="0"/>
              <w:rPr>
                <w:sz w:val="20"/>
                <w:szCs w:val="20"/>
                <w:color w:val="auto"/>
              </w:rPr>
            </w:pPr>
            <w:r>
              <w:rPr>
                <w:rFonts w:ascii="Arial" w:cs="Arial" w:eastAsia="Arial" w:hAnsi="Arial"/>
                <w:sz w:val="16"/>
                <w:szCs w:val="16"/>
                <w:color w:val="auto"/>
              </w:rPr>
              <w:t>Interim condensed consolidated statement of financial position</w:t>
            </w:r>
          </w:p>
        </w:tc>
        <w:tc>
          <w:tcPr>
            <w:tcW w:w="36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93"/>
        </w:trPr>
        <w:tc>
          <w:tcPr>
            <w:tcW w:w="7640" w:type="dxa"/>
            <w:vAlign w:val="bottom"/>
            <w:gridSpan w:val="3"/>
          </w:tcPr>
          <w:p>
            <w:pPr>
              <w:spacing w:after="0"/>
              <w:rPr>
                <w:sz w:val="20"/>
                <w:szCs w:val="20"/>
                <w:color w:val="auto"/>
              </w:rPr>
            </w:pPr>
            <w:r>
              <w:rPr>
                <w:rFonts w:ascii="Arial" w:cs="Arial" w:eastAsia="Arial" w:hAnsi="Arial"/>
                <w:sz w:val="16"/>
                <w:szCs w:val="16"/>
                <w:color w:val="auto"/>
              </w:rPr>
              <w:t>Interim condensed consolidated statement of income</w:t>
            </w:r>
          </w:p>
        </w:tc>
        <w:tc>
          <w:tcPr>
            <w:tcW w:w="3600" w:type="dxa"/>
            <w:vAlign w:val="bottom"/>
          </w:tcPr>
          <w:p>
            <w:pPr>
              <w:jc w:val="right"/>
              <w:spacing w:after="0"/>
              <w:rPr>
                <w:sz w:val="20"/>
                <w:szCs w:val="20"/>
                <w:color w:val="auto"/>
              </w:rPr>
            </w:pPr>
            <w:r>
              <w:rPr>
                <w:rFonts w:ascii="Arial" w:cs="Arial" w:eastAsia="Arial" w:hAnsi="Arial"/>
                <w:sz w:val="16"/>
                <w:szCs w:val="16"/>
                <w:color w:val="auto"/>
              </w:rPr>
              <w:t>2 - 3</w:t>
            </w:r>
          </w:p>
        </w:tc>
      </w:tr>
      <w:tr>
        <w:trPr>
          <w:trHeight w:val="393"/>
        </w:trPr>
        <w:tc>
          <w:tcPr>
            <w:tcW w:w="7640" w:type="dxa"/>
            <w:vAlign w:val="bottom"/>
            <w:gridSpan w:val="3"/>
          </w:tcPr>
          <w:p>
            <w:pPr>
              <w:spacing w:after="0"/>
              <w:rPr>
                <w:sz w:val="20"/>
                <w:szCs w:val="20"/>
                <w:color w:val="auto"/>
              </w:rPr>
            </w:pPr>
            <w:r>
              <w:rPr>
                <w:rFonts w:ascii="Arial" w:cs="Arial" w:eastAsia="Arial" w:hAnsi="Arial"/>
                <w:sz w:val="16"/>
                <w:szCs w:val="16"/>
                <w:color w:val="auto"/>
              </w:rPr>
              <w:t>Interim condensed consolidated statement of comprehensive income</w:t>
            </w:r>
          </w:p>
        </w:tc>
        <w:tc>
          <w:tcPr>
            <w:tcW w:w="36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93"/>
        </w:trPr>
        <w:tc>
          <w:tcPr>
            <w:tcW w:w="7640" w:type="dxa"/>
            <w:vAlign w:val="bottom"/>
            <w:gridSpan w:val="3"/>
          </w:tcPr>
          <w:p>
            <w:pPr>
              <w:spacing w:after="0"/>
              <w:rPr>
                <w:sz w:val="20"/>
                <w:szCs w:val="20"/>
                <w:color w:val="auto"/>
              </w:rPr>
            </w:pPr>
            <w:r>
              <w:rPr>
                <w:rFonts w:ascii="Arial" w:cs="Arial" w:eastAsia="Arial" w:hAnsi="Arial"/>
                <w:sz w:val="16"/>
                <w:szCs w:val="16"/>
                <w:color w:val="auto"/>
              </w:rPr>
              <w:t>Interim condensed consolidated statement of changes in net equity</w:t>
            </w:r>
          </w:p>
        </w:tc>
        <w:tc>
          <w:tcPr>
            <w:tcW w:w="36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93"/>
        </w:trPr>
        <w:tc>
          <w:tcPr>
            <w:tcW w:w="7640" w:type="dxa"/>
            <w:vAlign w:val="bottom"/>
            <w:gridSpan w:val="3"/>
          </w:tcPr>
          <w:p>
            <w:pPr>
              <w:spacing w:after="0"/>
              <w:rPr>
                <w:sz w:val="20"/>
                <w:szCs w:val="20"/>
                <w:color w:val="auto"/>
              </w:rPr>
            </w:pPr>
            <w:r>
              <w:rPr>
                <w:rFonts w:ascii="Arial" w:cs="Arial" w:eastAsia="Arial" w:hAnsi="Arial"/>
                <w:sz w:val="16"/>
                <w:szCs w:val="16"/>
                <w:color w:val="auto"/>
              </w:rPr>
              <w:t>Interim condensed consolidated statement of cash flows</w:t>
            </w:r>
          </w:p>
        </w:tc>
        <w:tc>
          <w:tcPr>
            <w:tcW w:w="3600" w:type="dxa"/>
            <w:vAlign w:val="bottom"/>
          </w:tcPr>
          <w:p>
            <w:pPr>
              <w:jc w:val="right"/>
              <w:spacing w:after="0"/>
              <w:rPr>
                <w:sz w:val="20"/>
                <w:szCs w:val="20"/>
                <w:color w:val="auto"/>
              </w:rPr>
            </w:pPr>
            <w:r>
              <w:rPr>
                <w:rFonts w:ascii="Arial" w:cs="Arial" w:eastAsia="Arial" w:hAnsi="Arial"/>
                <w:sz w:val="16"/>
                <w:szCs w:val="16"/>
                <w:color w:val="auto"/>
              </w:rPr>
              <w:t>6 - 8</w:t>
            </w:r>
          </w:p>
        </w:tc>
      </w:tr>
      <w:tr>
        <w:trPr>
          <w:trHeight w:val="393"/>
        </w:trPr>
        <w:tc>
          <w:tcPr>
            <w:tcW w:w="7640" w:type="dxa"/>
            <w:vAlign w:val="bottom"/>
            <w:gridSpan w:val="3"/>
          </w:tcPr>
          <w:p>
            <w:pPr>
              <w:spacing w:after="0"/>
              <w:rPr>
                <w:sz w:val="20"/>
                <w:szCs w:val="20"/>
                <w:color w:val="auto"/>
              </w:rPr>
            </w:pPr>
            <w:r>
              <w:rPr>
                <w:rFonts w:ascii="Arial" w:cs="Arial" w:eastAsia="Arial" w:hAnsi="Arial"/>
                <w:sz w:val="16"/>
                <w:szCs w:val="16"/>
                <w:color w:val="auto"/>
              </w:rPr>
              <w:t>Notes to the interim condensed consolidated financial statements</w:t>
            </w:r>
          </w:p>
        </w:tc>
        <w:tc>
          <w:tcPr>
            <w:tcW w:w="3600" w:type="dxa"/>
            <w:vAlign w:val="bottom"/>
          </w:tcPr>
          <w:p>
            <w:pPr>
              <w:jc w:val="right"/>
              <w:spacing w:after="0"/>
              <w:rPr>
                <w:sz w:val="20"/>
                <w:szCs w:val="20"/>
                <w:color w:val="auto"/>
              </w:rPr>
            </w:pPr>
            <w:r>
              <w:rPr>
                <w:rFonts w:ascii="Arial" w:cs="Arial" w:eastAsia="Arial" w:hAnsi="Arial"/>
                <w:sz w:val="16"/>
                <w:szCs w:val="16"/>
                <w:color w:val="auto"/>
              </w:rPr>
              <w:t>9-104</w:t>
            </w:r>
          </w:p>
        </w:tc>
      </w:tr>
      <w:tr>
        <w:trPr>
          <w:trHeight w:val="382"/>
        </w:trPr>
        <w:tc>
          <w:tcPr>
            <w:tcW w:w="560" w:type="dxa"/>
            <w:vAlign w:val="bottom"/>
          </w:tcPr>
          <w:p>
            <w:pPr>
              <w:spacing w:after="0"/>
              <w:rPr>
                <w:sz w:val="20"/>
                <w:szCs w:val="20"/>
                <w:color w:val="auto"/>
              </w:rPr>
            </w:pPr>
            <w:r>
              <w:rPr>
                <w:rFonts w:ascii="Arial" w:cs="Arial" w:eastAsia="Arial" w:hAnsi="Arial"/>
                <w:sz w:val="16"/>
                <w:szCs w:val="16"/>
                <w:color w:val="auto"/>
              </w:rPr>
              <w:t>US$</w:t>
            </w:r>
          </w:p>
        </w:tc>
        <w:tc>
          <w:tcPr>
            <w:tcW w:w="220" w:type="dxa"/>
            <w:vAlign w:val="bottom"/>
          </w:tcPr>
          <w:p>
            <w:pPr>
              <w:jc w:val="right"/>
              <w:ind w:right="38"/>
              <w:spacing w:after="0"/>
              <w:rPr>
                <w:sz w:val="20"/>
                <w:szCs w:val="20"/>
                <w:color w:val="auto"/>
              </w:rPr>
            </w:pPr>
            <w:r>
              <w:rPr>
                <w:rFonts w:ascii="Arial" w:cs="Arial" w:eastAsia="Arial" w:hAnsi="Arial"/>
                <w:sz w:val="16"/>
                <w:szCs w:val="16"/>
                <w:color w:val="auto"/>
                <w:w w:val="85"/>
              </w:rPr>
              <w:t>=</w:t>
            </w:r>
          </w:p>
        </w:tc>
        <w:tc>
          <w:tcPr>
            <w:tcW w:w="6860" w:type="dxa"/>
            <w:vAlign w:val="bottom"/>
          </w:tcPr>
          <w:p>
            <w:pPr>
              <w:ind w:left="120"/>
              <w:spacing w:after="0"/>
              <w:rPr>
                <w:sz w:val="20"/>
                <w:szCs w:val="20"/>
                <w:color w:val="auto"/>
              </w:rPr>
            </w:pPr>
            <w:r>
              <w:rPr>
                <w:rFonts w:ascii="Arial" w:cs="Arial" w:eastAsia="Arial" w:hAnsi="Arial"/>
                <w:sz w:val="16"/>
                <w:szCs w:val="16"/>
                <w:color w:val="auto"/>
              </w:rPr>
              <w:t>United States dollar</w:t>
            </w:r>
          </w:p>
        </w:tc>
        <w:tc>
          <w:tcPr>
            <w:tcW w:w="3600" w:type="dxa"/>
            <w:vAlign w:val="bottom"/>
          </w:tcPr>
          <w:p>
            <w:pPr>
              <w:spacing w:after="0"/>
              <w:rPr>
                <w:sz w:val="24"/>
                <w:szCs w:val="24"/>
                <w:color w:val="auto"/>
              </w:rPr>
            </w:pPr>
          </w:p>
        </w:tc>
      </w:tr>
      <w:tr>
        <w:trPr>
          <w:trHeight w:val="208"/>
        </w:trPr>
        <w:tc>
          <w:tcPr>
            <w:tcW w:w="560" w:type="dxa"/>
            <w:vAlign w:val="bottom"/>
          </w:tcPr>
          <w:p>
            <w:pPr>
              <w:spacing w:after="0"/>
              <w:rPr>
                <w:sz w:val="20"/>
                <w:szCs w:val="20"/>
                <w:color w:val="auto"/>
              </w:rPr>
            </w:pPr>
            <w:r>
              <w:rPr>
                <w:rFonts w:ascii="Arial" w:cs="Arial" w:eastAsia="Arial" w:hAnsi="Arial"/>
                <w:sz w:val="16"/>
                <w:szCs w:val="16"/>
                <w:color w:val="auto"/>
              </w:rPr>
              <w:t>S/</w:t>
            </w:r>
          </w:p>
        </w:tc>
        <w:tc>
          <w:tcPr>
            <w:tcW w:w="220" w:type="dxa"/>
            <w:vAlign w:val="bottom"/>
          </w:tcPr>
          <w:p>
            <w:pPr>
              <w:jc w:val="right"/>
              <w:ind w:right="38"/>
              <w:spacing w:after="0"/>
              <w:rPr>
                <w:sz w:val="20"/>
                <w:szCs w:val="20"/>
                <w:color w:val="auto"/>
              </w:rPr>
            </w:pPr>
            <w:r>
              <w:rPr>
                <w:rFonts w:ascii="Arial" w:cs="Arial" w:eastAsia="Arial" w:hAnsi="Arial"/>
                <w:sz w:val="16"/>
                <w:szCs w:val="16"/>
                <w:color w:val="auto"/>
                <w:w w:val="85"/>
              </w:rPr>
              <w:t>=</w:t>
            </w:r>
          </w:p>
        </w:tc>
        <w:tc>
          <w:tcPr>
            <w:tcW w:w="6860" w:type="dxa"/>
            <w:vAlign w:val="bottom"/>
          </w:tcPr>
          <w:p>
            <w:pPr>
              <w:ind w:left="120"/>
              <w:spacing w:after="0"/>
              <w:rPr>
                <w:sz w:val="20"/>
                <w:szCs w:val="20"/>
                <w:color w:val="auto"/>
              </w:rPr>
            </w:pPr>
            <w:r>
              <w:rPr>
                <w:rFonts w:ascii="Arial" w:cs="Arial" w:eastAsia="Arial" w:hAnsi="Arial"/>
                <w:sz w:val="16"/>
                <w:szCs w:val="16"/>
                <w:color w:val="auto"/>
              </w:rPr>
              <w:t>Sol</w:t>
            </w:r>
          </w:p>
        </w:tc>
        <w:tc>
          <w:tcPr>
            <w:tcW w:w="3600" w:type="dxa"/>
            <w:vAlign w:val="bottom"/>
          </w:tcPr>
          <w:p>
            <w:pPr>
              <w:spacing w:after="0"/>
              <w:rPr>
                <w:sz w:val="18"/>
                <w:szCs w:val="18"/>
                <w:color w:val="auto"/>
              </w:rPr>
            </w:pPr>
          </w:p>
        </w:tc>
      </w:tr>
      <w:tr>
        <w:trPr>
          <w:trHeight w:val="615"/>
        </w:trPr>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CREDICORP LTD.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Interim condensed consolidated statement of financial position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2020 (unaudited) and December 31, 2019 (audited)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8"/>
              </w:rPr>
              <w:t>As of March 31,</w:t>
            </w:r>
          </w:p>
        </w:tc>
        <w:tc>
          <w:tcPr>
            <w:tcW w:w="13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3"/>
              </w:rPr>
              <w:t>As of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220" w:type="dxa"/>
            <w:vAlign w:val="bottom"/>
          </w:tcPr>
          <w:p>
            <w:pPr>
              <w:ind w:left="1260"/>
              <w:spacing w:after="0"/>
              <w:rPr>
                <w:sz w:val="20"/>
                <w:szCs w:val="20"/>
                <w:color w:val="auto"/>
              </w:rPr>
            </w:pPr>
            <w:r>
              <w:rPr>
                <w:rFonts w:ascii="Arial" w:cs="Arial" w:eastAsia="Arial" w:hAnsi="Arial"/>
                <w:sz w:val="16"/>
                <w:szCs w:val="16"/>
                <w:b w:val="1"/>
                <w:bCs w:val="1"/>
                <w:color w:val="auto"/>
              </w:rPr>
              <w:t>Note</w:t>
            </w:r>
          </w:p>
        </w:tc>
        <w:tc>
          <w:tcPr>
            <w:tcW w:w="1220" w:type="dxa"/>
            <w:vAlign w:val="bottom"/>
            <w:tcBorders>
              <w:bottom w:val="single" w:sz="8" w:color="auto"/>
            </w:tcBorders>
            <w:gridSpan w:val="2"/>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238"/>
              <w:spacing w:after="0"/>
              <w:rPr>
                <w:sz w:val="20"/>
                <w:szCs w:val="20"/>
                <w:color w:val="auto"/>
              </w:rPr>
            </w:pPr>
            <w:r>
              <w:rPr>
                <w:rFonts w:ascii="Arial" w:cs="Arial" w:eastAsia="Arial" w:hAnsi="Arial"/>
                <w:sz w:val="16"/>
                <w:szCs w:val="16"/>
                <w:b w:val="1"/>
                <w:bCs w:val="1"/>
                <w:color w:val="auto"/>
              </w:rPr>
              <w:t>31, 2019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Arial" w:cs="Arial" w:eastAsia="Arial" w:hAnsi="Arial"/>
                <w:sz w:val="16"/>
                <w:szCs w:val="16"/>
                <w:b w:val="1"/>
                <w:bCs w:val="1"/>
                <w:color w:val="auto"/>
                <w:w w:val="91"/>
              </w:rPr>
              <w:t>S/(000)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Arial" w:cs="Arial" w:eastAsia="Arial" w:hAnsi="Arial"/>
                <w:sz w:val="16"/>
                <w:szCs w:val="16"/>
                <w:b w:val="1"/>
                <w:bCs w:val="1"/>
                <w:color w:val="auto"/>
                <w:w w:val="95"/>
              </w:rPr>
              <w:t>S/(000)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Cash and due from banks:</w:t>
            </w: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Arial" w:cs="Arial" w:eastAsia="Arial" w:hAnsi="Arial"/>
                <w:sz w:val="16"/>
                <w:szCs w:val="16"/>
                <w:color w:val="auto"/>
              </w:rPr>
              <w:t>Non-interest-bearing</w:t>
            </w:r>
          </w:p>
        </w:tc>
        <w:tc>
          <w:tcPr>
            <w:tcW w:w="2220" w:type="dxa"/>
            <w:vAlign w:val="bottom"/>
          </w:tcPr>
          <w:p>
            <w:pPr>
              <w:spacing w:after="0"/>
              <w:rPr>
                <w:sz w:val="17"/>
                <w:szCs w:val="17"/>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6"/>
                <w:szCs w:val="16"/>
                <w:color w:val="auto"/>
              </w:rPr>
              <w:t>6,787,357</w:t>
            </w: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6,177,356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Interest-bearing</w:t>
            </w:r>
          </w:p>
        </w:tc>
        <w:tc>
          <w:tcPr>
            <w:tcW w:w="22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19,538,429</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19,809,406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220" w:type="dxa"/>
            <w:vAlign w:val="bottom"/>
          </w:tcPr>
          <w:p>
            <w:pPr>
              <w:jc w:val="center"/>
              <w:ind w:left="578"/>
              <w:spacing w:after="0"/>
              <w:rPr>
                <w:sz w:val="20"/>
                <w:szCs w:val="20"/>
                <w:color w:val="auto"/>
              </w:rPr>
            </w:pPr>
            <w:r>
              <w:rPr>
                <w:rFonts w:ascii="Arial" w:cs="Arial" w:eastAsia="Arial" w:hAnsi="Arial"/>
                <w:sz w:val="16"/>
                <w:szCs w:val="16"/>
                <w:color w:val="auto"/>
                <w:w w:val="89"/>
              </w:rPr>
              <w:t>4</w:t>
            </w: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26,325,786</w:t>
            </w:r>
          </w:p>
        </w:tc>
        <w:tc>
          <w:tcPr>
            <w:tcW w:w="240" w:type="dxa"/>
            <w:vAlign w:val="bottom"/>
          </w:tcPr>
          <w:p>
            <w:pPr>
              <w:spacing w:after="0"/>
              <w:rPr>
                <w:sz w:val="16"/>
                <w:szCs w:val="16"/>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25,986,762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Cash collateral, reverse repurchase agreements and securities borrowing</w:t>
            </w:r>
          </w:p>
        </w:tc>
        <w:tc>
          <w:tcPr>
            <w:tcW w:w="2220" w:type="dxa"/>
            <w:vAlign w:val="bottom"/>
          </w:tcPr>
          <w:p>
            <w:pPr>
              <w:ind w:left="1840"/>
              <w:spacing w:after="0"/>
              <w:rPr>
                <w:sz w:val="20"/>
                <w:szCs w:val="20"/>
                <w:color w:val="auto"/>
              </w:rPr>
            </w:pPr>
            <w:r>
              <w:rPr>
                <w:rFonts w:ascii="Arial" w:cs="Arial" w:eastAsia="Arial" w:hAnsi="Arial"/>
                <w:sz w:val="16"/>
                <w:szCs w:val="16"/>
                <w:color w:val="auto"/>
              </w:rPr>
              <w:t>5(a)</w:t>
            </w:r>
          </w:p>
        </w:tc>
        <w:tc>
          <w:tcPr>
            <w:tcW w:w="1460" w:type="dxa"/>
            <w:vAlign w:val="bottom"/>
            <w:gridSpan w:val="3"/>
          </w:tcPr>
          <w:p>
            <w:pPr>
              <w:jc w:val="right"/>
              <w:ind w:right="240"/>
              <w:spacing w:after="0"/>
              <w:rPr>
                <w:sz w:val="20"/>
                <w:szCs w:val="20"/>
                <w:color w:val="auto"/>
              </w:rPr>
            </w:pPr>
            <w:r>
              <w:rPr>
                <w:rFonts w:ascii="Arial" w:cs="Arial" w:eastAsia="Arial" w:hAnsi="Arial"/>
                <w:sz w:val="16"/>
                <w:szCs w:val="16"/>
                <w:color w:val="auto"/>
              </w:rPr>
              <w:t>4,424,345</w:t>
            </w: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4,288,524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Investments:</w:t>
            </w: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At fair value through profit or loss</w:t>
            </w:r>
          </w:p>
        </w:tc>
        <w:tc>
          <w:tcPr>
            <w:tcW w:w="2220" w:type="dxa"/>
            <w:vAlign w:val="bottom"/>
            <w:shd w:val="clear" w:color="auto" w:fill="CCEEFF"/>
          </w:tcPr>
          <w:p>
            <w:pPr>
              <w:jc w:val="center"/>
              <w:ind w:left="598"/>
              <w:spacing w:after="0"/>
              <w:rPr>
                <w:sz w:val="20"/>
                <w:szCs w:val="20"/>
                <w:color w:val="auto"/>
              </w:rPr>
            </w:pPr>
            <w:r>
              <w:rPr>
                <w:rFonts w:ascii="Arial" w:cs="Arial" w:eastAsia="Arial" w:hAnsi="Arial"/>
                <w:sz w:val="16"/>
                <w:szCs w:val="16"/>
                <w:color w:val="auto"/>
                <w:w w:val="91"/>
              </w:rPr>
              <w:t>6(a)</w:t>
            </w: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4,185,638</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3,850,762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At fair value through other comprehensive income</w:t>
            </w:r>
          </w:p>
        </w:tc>
        <w:tc>
          <w:tcPr>
            <w:tcW w:w="22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25,836,140</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24,614,050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20" w:type="dxa"/>
            <w:vAlign w:val="bottom"/>
          </w:tcPr>
          <w:p>
            <w:pPr>
              <w:ind w:left="280"/>
              <w:spacing w:after="0"/>
              <w:rPr>
                <w:sz w:val="20"/>
                <w:szCs w:val="20"/>
                <w:color w:val="auto"/>
              </w:rPr>
            </w:pPr>
            <w:r>
              <w:rPr>
                <w:rFonts w:ascii="Arial" w:cs="Arial" w:eastAsia="Arial" w:hAnsi="Arial"/>
                <w:sz w:val="16"/>
                <w:szCs w:val="16"/>
                <w:color w:val="auto"/>
              </w:rPr>
              <w:t>At fair value through other comprehensive income pledged as collateral</w:t>
            </w:r>
          </w:p>
        </w:tc>
        <w:tc>
          <w:tcPr>
            <w:tcW w:w="2220" w:type="dxa"/>
            <w:vAlign w:val="bottom"/>
          </w:tcPr>
          <w:p>
            <w:pPr>
              <w:spacing w:after="0"/>
              <w:rPr>
                <w:sz w:val="18"/>
                <w:szCs w:val="18"/>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6"/>
                <w:szCs w:val="16"/>
                <w:color w:val="auto"/>
              </w:rPr>
              <w:t>2,552,232</w:t>
            </w: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1,588,673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2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CCEEFF"/>
            </w:tcBorders>
            <w:shd w:val="clear" w:color="auto" w:fill="CCEEFF"/>
          </w:tcPr>
          <w:p>
            <w:pPr>
              <w:jc w:val="center"/>
              <w:ind w:left="598"/>
              <w:spacing w:after="0"/>
              <w:rPr>
                <w:sz w:val="20"/>
                <w:szCs w:val="20"/>
                <w:color w:val="auto"/>
              </w:rPr>
            </w:pPr>
            <w:r>
              <w:rPr>
                <w:rFonts w:ascii="Arial" w:cs="Arial" w:eastAsia="Arial" w:hAnsi="Arial"/>
                <w:sz w:val="16"/>
                <w:szCs w:val="16"/>
                <w:color w:val="auto"/>
                <w:w w:val="91"/>
              </w:rPr>
              <w:t>6(b)</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28,388,372</w:t>
            </w:r>
          </w:p>
        </w:tc>
        <w:tc>
          <w:tcPr>
            <w:tcW w:w="2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26,202,723</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Amortized cost</w:t>
            </w:r>
          </w:p>
        </w:tc>
        <w:tc>
          <w:tcPr>
            <w:tcW w:w="22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2,706,190</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1,907,738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20" w:type="dxa"/>
            <w:vAlign w:val="bottom"/>
          </w:tcPr>
          <w:p>
            <w:pPr>
              <w:ind w:left="280"/>
              <w:spacing w:after="0"/>
              <w:rPr>
                <w:sz w:val="20"/>
                <w:szCs w:val="20"/>
                <w:color w:val="auto"/>
              </w:rPr>
            </w:pPr>
            <w:r>
              <w:rPr>
                <w:rFonts w:ascii="Arial" w:cs="Arial" w:eastAsia="Arial" w:hAnsi="Arial"/>
                <w:sz w:val="16"/>
                <w:szCs w:val="16"/>
                <w:color w:val="auto"/>
              </w:rPr>
              <w:t>Amortized cost pledged as collateral</w:t>
            </w:r>
          </w:p>
        </w:tc>
        <w:tc>
          <w:tcPr>
            <w:tcW w:w="2220" w:type="dxa"/>
            <w:vAlign w:val="bottom"/>
          </w:tcPr>
          <w:p>
            <w:pPr>
              <w:spacing w:after="0"/>
              <w:rPr>
                <w:sz w:val="18"/>
                <w:szCs w:val="18"/>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6"/>
                <w:szCs w:val="16"/>
                <w:color w:val="auto"/>
              </w:rPr>
              <w:t>1,536,453</w:t>
            </w: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1,569,308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2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CCEEFF"/>
            </w:tcBorders>
            <w:shd w:val="clear" w:color="auto" w:fill="CCEEFF"/>
          </w:tcPr>
          <w:p>
            <w:pPr>
              <w:jc w:val="center"/>
              <w:ind w:left="598"/>
              <w:spacing w:after="0"/>
              <w:rPr>
                <w:sz w:val="20"/>
                <w:szCs w:val="20"/>
                <w:color w:val="auto"/>
              </w:rPr>
            </w:pPr>
            <w:r>
              <w:rPr>
                <w:rFonts w:ascii="Arial" w:cs="Arial" w:eastAsia="Arial" w:hAnsi="Arial"/>
                <w:sz w:val="16"/>
                <w:szCs w:val="16"/>
                <w:color w:val="auto"/>
                <w:w w:val="94"/>
              </w:rPr>
              <w:t>6(c)</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4,242,643</w:t>
            </w:r>
          </w:p>
        </w:tc>
        <w:tc>
          <w:tcPr>
            <w:tcW w:w="2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3,477,046</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Loans, net:</w:t>
            </w:r>
          </w:p>
        </w:tc>
        <w:tc>
          <w:tcPr>
            <w:tcW w:w="2220" w:type="dxa"/>
            <w:vAlign w:val="bottom"/>
            <w:shd w:val="clear" w:color="auto" w:fill="CCEEFF"/>
          </w:tcPr>
          <w:p>
            <w:pPr>
              <w:jc w:val="center"/>
              <w:ind w:left="578"/>
              <w:spacing w:after="0"/>
              <w:rPr>
                <w:sz w:val="20"/>
                <w:szCs w:val="20"/>
                <w:color w:val="auto"/>
              </w:rPr>
            </w:pPr>
            <w:r>
              <w:rPr>
                <w:rFonts w:ascii="Arial" w:cs="Arial" w:eastAsia="Arial" w:hAnsi="Arial"/>
                <w:sz w:val="16"/>
                <w:szCs w:val="16"/>
                <w:color w:val="auto"/>
                <w:w w:val="89"/>
              </w:rPr>
              <w:t>7</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Arial" w:cs="Arial" w:eastAsia="Arial" w:hAnsi="Arial"/>
                <w:sz w:val="16"/>
                <w:szCs w:val="16"/>
                <w:color w:val="auto"/>
              </w:rPr>
              <w:t>Loans, net of unearned income</w:t>
            </w:r>
          </w:p>
        </w:tc>
        <w:tc>
          <w:tcPr>
            <w:tcW w:w="2220" w:type="dxa"/>
            <w:vAlign w:val="bottom"/>
          </w:tcPr>
          <w:p>
            <w:pPr>
              <w:spacing w:after="0"/>
              <w:rPr>
                <w:sz w:val="17"/>
                <w:szCs w:val="17"/>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6"/>
                <w:szCs w:val="16"/>
                <w:color w:val="auto"/>
              </w:rPr>
              <w:t>120,708,515</w:t>
            </w: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115,609,679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Allowance for loan losses</w:t>
            </w:r>
          </w:p>
        </w:tc>
        <w:tc>
          <w:tcPr>
            <w:tcW w:w="22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(5,931,772)</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(5,123,962)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114,776,743</w:t>
            </w:r>
          </w:p>
        </w:tc>
        <w:tc>
          <w:tcPr>
            <w:tcW w:w="240" w:type="dxa"/>
            <w:vAlign w:val="bottom"/>
          </w:tcPr>
          <w:p>
            <w:pPr>
              <w:spacing w:after="0"/>
              <w:rPr>
                <w:sz w:val="16"/>
                <w:szCs w:val="16"/>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110,485,717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Financial assets designated at fair value through profit or loss</w:t>
            </w:r>
          </w:p>
        </w:tc>
        <w:tc>
          <w:tcPr>
            <w:tcW w:w="2220" w:type="dxa"/>
            <w:vAlign w:val="bottom"/>
          </w:tcPr>
          <w:p>
            <w:pPr>
              <w:jc w:val="center"/>
              <w:ind w:left="578"/>
              <w:spacing w:after="0"/>
              <w:rPr>
                <w:sz w:val="20"/>
                <w:szCs w:val="20"/>
                <w:color w:val="auto"/>
              </w:rPr>
            </w:pPr>
            <w:r>
              <w:rPr>
                <w:rFonts w:ascii="Arial" w:cs="Arial" w:eastAsia="Arial" w:hAnsi="Arial"/>
                <w:sz w:val="16"/>
                <w:szCs w:val="16"/>
                <w:color w:val="auto"/>
                <w:w w:val="89"/>
              </w:rPr>
              <w:t>8</w:t>
            </w:r>
          </w:p>
        </w:tc>
        <w:tc>
          <w:tcPr>
            <w:tcW w:w="1460" w:type="dxa"/>
            <w:vAlign w:val="bottom"/>
            <w:gridSpan w:val="3"/>
          </w:tcPr>
          <w:p>
            <w:pPr>
              <w:jc w:val="right"/>
              <w:ind w:right="240"/>
              <w:spacing w:after="0"/>
              <w:rPr>
                <w:sz w:val="20"/>
                <w:szCs w:val="20"/>
                <w:color w:val="auto"/>
              </w:rPr>
            </w:pPr>
            <w:r>
              <w:rPr>
                <w:rFonts w:ascii="Arial" w:cs="Arial" w:eastAsia="Arial" w:hAnsi="Arial"/>
                <w:sz w:val="16"/>
                <w:szCs w:val="16"/>
                <w:color w:val="auto"/>
              </w:rPr>
              <w:t>559,321</w:t>
            </w: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620,544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Premiums and other policies receivable</w:t>
            </w:r>
          </w:p>
        </w:tc>
        <w:tc>
          <w:tcPr>
            <w:tcW w:w="2220" w:type="dxa"/>
            <w:vAlign w:val="bottom"/>
            <w:shd w:val="clear" w:color="auto" w:fill="CCEEFF"/>
          </w:tcPr>
          <w:p>
            <w:pPr>
              <w:jc w:val="center"/>
              <w:ind w:left="598"/>
              <w:spacing w:after="0"/>
              <w:rPr>
                <w:sz w:val="20"/>
                <w:szCs w:val="20"/>
                <w:color w:val="auto"/>
              </w:rPr>
            </w:pPr>
            <w:r>
              <w:rPr>
                <w:rFonts w:ascii="Arial" w:cs="Arial" w:eastAsia="Arial" w:hAnsi="Arial"/>
                <w:sz w:val="16"/>
                <w:szCs w:val="16"/>
                <w:color w:val="auto"/>
                <w:w w:val="91"/>
              </w:rPr>
              <w:t>9(a)</w:t>
            </w: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822,669</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838,731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Accounts receivable from reinsurers and coinsurers</w:t>
            </w:r>
          </w:p>
        </w:tc>
        <w:tc>
          <w:tcPr>
            <w:tcW w:w="2220" w:type="dxa"/>
            <w:vAlign w:val="bottom"/>
          </w:tcPr>
          <w:p>
            <w:pPr>
              <w:jc w:val="center"/>
              <w:ind w:left="598"/>
              <w:spacing w:after="0"/>
              <w:rPr>
                <w:sz w:val="20"/>
                <w:szCs w:val="20"/>
                <w:color w:val="auto"/>
              </w:rPr>
            </w:pPr>
            <w:r>
              <w:rPr>
                <w:rFonts w:ascii="Arial" w:cs="Arial" w:eastAsia="Arial" w:hAnsi="Arial"/>
                <w:sz w:val="16"/>
                <w:szCs w:val="16"/>
                <w:color w:val="auto"/>
                <w:w w:val="91"/>
              </w:rPr>
              <w:t>9(b)</w:t>
            </w:r>
          </w:p>
        </w:tc>
        <w:tc>
          <w:tcPr>
            <w:tcW w:w="1460" w:type="dxa"/>
            <w:vAlign w:val="bottom"/>
            <w:gridSpan w:val="3"/>
          </w:tcPr>
          <w:p>
            <w:pPr>
              <w:jc w:val="right"/>
              <w:ind w:right="240"/>
              <w:spacing w:after="0"/>
              <w:rPr>
                <w:sz w:val="20"/>
                <w:szCs w:val="20"/>
                <w:color w:val="auto"/>
              </w:rPr>
            </w:pPr>
            <w:r>
              <w:rPr>
                <w:rFonts w:ascii="Arial" w:cs="Arial" w:eastAsia="Arial" w:hAnsi="Arial"/>
                <w:sz w:val="16"/>
                <w:szCs w:val="16"/>
                <w:color w:val="auto"/>
              </w:rPr>
              <w:t>787,672</w:t>
            </w: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791,704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Property, furniture and equipment, net</w:t>
            </w:r>
          </w:p>
        </w:tc>
        <w:tc>
          <w:tcPr>
            <w:tcW w:w="2220" w:type="dxa"/>
            <w:vAlign w:val="bottom"/>
            <w:shd w:val="clear" w:color="auto" w:fill="CCEEFF"/>
          </w:tcPr>
          <w:p>
            <w:pPr>
              <w:jc w:val="center"/>
              <w:ind w:left="578"/>
              <w:spacing w:after="0"/>
              <w:rPr>
                <w:sz w:val="20"/>
                <w:szCs w:val="20"/>
                <w:color w:val="auto"/>
              </w:rPr>
            </w:pPr>
            <w:r>
              <w:rPr>
                <w:rFonts w:ascii="Arial" w:cs="Arial" w:eastAsia="Arial" w:hAnsi="Arial"/>
                <w:sz w:val="16"/>
                <w:szCs w:val="16"/>
                <w:color w:val="auto"/>
                <w:w w:val="89"/>
              </w:rPr>
              <w:t>10</w:t>
            </w: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1,397,089</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1,428,173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Due from customers on acceptances</w:t>
            </w:r>
          </w:p>
        </w:tc>
        <w:tc>
          <w:tcPr>
            <w:tcW w:w="2220" w:type="dxa"/>
            <w:vAlign w:val="bottom"/>
          </w:tcPr>
          <w:p>
            <w:pPr>
              <w:spacing w:after="0"/>
              <w:rPr>
                <w:sz w:val="17"/>
                <w:szCs w:val="17"/>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6"/>
                <w:szCs w:val="16"/>
                <w:color w:val="auto"/>
              </w:rPr>
              <w:t>555,598</w:t>
            </w: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535,222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and goodwill, net</w:t>
            </w:r>
          </w:p>
        </w:tc>
        <w:tc>
          <w:tcPr>
            <w:tcW w:w="2220" w:type="dxa"/>
            <w:vAlign w:val="bottom"/>
            <w:shd w:val="clear" w:color="auto" w:fill="CCEEFF"/>
          </w:tcPr>
          <w:p>
            <w:pPr>
              <w:jc w:val="center"/>
              <w:ind w:left="578"/>
              <w:spacing w:after="0"/>
              <w:rPr>
                <w:sz w:val="20"/>
                <w:szCs w:val="20"/>
                <w:color w:val="auto"/>
              </w:rPr>
            </w:pPr>
            <w:r>
              <w:rPr>
                <w:rFonts w:ascii="Arial" w:cs="Arial" w:eastAsia="Arial" w:hAnsi="Arial"/>
                <w:sz w:val="16"/>
                <w:szCs w:val="16"/>
                <w:color w:val="auto"/>
                <w:w w:val="89"/>
              </w:rPr>
              <w:t>11</w:t>
            </w: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2,424,404</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2,552,274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Right-of-use assets, net</w:t>
            </w:r>
          </w:p>
        </w:tc>
        <w:tc>
          <w:tcPr>
            <w:tcW w:w="2220" w:type="dxa"/>
            <w:vAlign w:val="bottom"/>
          </w:tcPr>
          <w:p>
            <w:pPr>
              <w:jc w:val="center"/>
              <w:ind w:left="598"/>
              <w:spacing w:after="0"/>
              <w:rPr>
                <w:sz w:val="20"/>
                <w:szCs w:val="20"/>
                <w:color w:val="auto"/>
              </w:rPr>
            </w:pPr>
            <w:r>
              <w:rPr>
                <w:rFonts w:ascii="Arial" w:cs="Arial" w:eastAsia="Arial" w:hAnsi="Arial"/>
                <w:sz w:val="16"/>
                <w:szCs w:val="16"/>
                <w:color w:val="auto"/>
                <w:w w:val="90"/>
              </w:rPr>
              <w:t>12(a)</w:t>
            </w:r>
          </w:p>
        </w:tc>
        <w:tc>
          <w:tcPr>
            <w:tcW w:w="1460" w:type="dxa"/>
            <w:vAlign w:val="bottom"/>
            <w:gridSpan w:val="3"/>
          </w:tcPr>
          <w:p>
            <w:pPr>
              <w:jc w:val="right"/>
              <w:ind w:right="240"/>
              <w:spacing w:after="0"/>
              <w:rPr>
                <w:sz w:val="20"/>
                <w:szCs w:val="20"/>
                <w:color w:val="auto"/>
              </w:rPr>
            </w:pPr>
            <w:r>
              <w:rPr>
                <w:rFonts w:ascii="Arial" w:cs="Arial" w:eastAsia="Arial" w:hAnsi="Arial"/>
                <w:sz w:val="16"/>
                <w:szCs w:val="16"/>
                <w:color w:val="auto"/>
              </w:rPr>
              <w:t>805,997</w:t>
            </w: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839,086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 net</w:t>
            </w:r>
          </w:p>
        </w:tc>
        <w:tc>
          <w:tcPr>
            <w:tcW w:w="22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805,589</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520,953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Other assets</w:t>
            </w:r>
          </w:p>
        </w:tc>
        <w:tc>
          <w:tcPr>
            <w:tcW w:w="2220" w:type="dxa"/>
            <w:vAlign w:val="bottom"/>
          </w:tcPr>
          <w:p>
            <w:pPr>
              <w:jc w:val="center"/>
              <w:ind w:left="578"/>
              <w:spacing w:after="0"/>
              <w:rPr>
                <w:sz w:val="20"/>
                <w:szCs w:val="20"/>
                <w:color w:val="auto"/>
              </w:rPr>
            </w:pPr>
            <w:r>
              <w:rPr>
                <w:rFonts w:ascii="Arial" w:cs="Arial" w:eastAsia="Arial" w:hAnsi="Arial"/>
                <w:sz w:val="16"/>
                <w:szCs w:val="16"/>
                <w:color w:val="auto"/>
                <w:w w:val="89"/>
              </w:rPr>
              <w:t>13</w:t>
            </w:r>
          </w:p>
        </w:tc>
        <w:tc>
          <w:tcPr>
            <w:tcW w:w="1460" w:type="dxa"/>
            <w:vAlign w:val="bottom"/>
            <w:gridSpan w:val="3"/>
          </w:tcPr>
          <w:p>
            <w:pPr>
              <w:jc w:val="right"/>
              <w:ind w:right="240"/>
              <w:spacing w:after="0"/>
              <w:rPr>
                <w:sz w:val="20"/>
                <w:szCs w:val="20"/>
                <w:color w:val="auto"/>
              </w:rPr>
            </w:pPr>
            <w:r>
              <w:rPr>
                <w:rFonts w:ascii="Arial" w:cs="Arial" w:eastAsia="Arial" w:hAnsi="Arial"/>
                <w:sz w:val="16"/>
                <w:szCs w:val="16"/>
                <w:color w:val="auto"/>
              </w:rPr>
              <w:t>7,320,023</w:t>
            </w: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5,458,470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2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197,821,889</w:t>
            </w:r>
          </w:p>
        </w:tc>
        <w:tc>
          <w:tcPr>
            <w:tcW w:w="2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187,876,691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2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Deposits and obligations:</w:t>
            </w:r>
          </w:p>
        </w:tc>
        <w:tc>
          <w:tcPr>
            <w:tcW w:w="2220" w:type="dxa"/>
            <w:vAlign w:val="bottom"/>
            <w:shd w:val="clear" w:color="auto" w:fill="CCEEFF"/>
          </w:tcPr>
          <w:p>
            <w:pPr>
              <w:jc w:val="center"/>
              <w:ind w:left="578"/>
              <w:spacing w:after="0"/>
              <w:rPr>
                <w:sz w:val="20"/>
                <w:szCs w:val="20"/>
                <w:color w:val="auto"/>
              </w:rPr>
            </w:pPr>
            <w:r>
              <w:rPr>
                <w:rFonts w:ascii="Arial" w:cs="Arial" w:eastAsia="Arial" w:hAnsi="Arial"/>
                <w:sz w:val="16"/>
                <w:szCs w:val="16"/>
                <w:color w:val="auto"/>
                <w:w w:val="89"/>
              </w:rPr>
              <w:t>14</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Arial" w:cs="Arial" w:eastAsia="Arial" w:hAnsi="Arial"/>
                <w:sz w:val="16"/>
                <w:szCs w:val="16"/>
                <w:color w:val="auto"/>
              </w:rPr>
              <w:t>Non-interest-bearing</w:t>
            </w:r>
          </w:p>
        </w:tc>
        <w:tc>
          <w:tcPr>
            <w:tcW w:w="2220" w:type="dxa"/>
            <w:vAlign w:val="bottom"/>
          </w:tcPr>
          <w:p>
            <w:pPr>
              <w:spacing w:after="0"/>
              <w:rPr>
                <w:sz w:val="17"/>
                <w:szCs w:val="17"/>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6"/>
                <w:szCs w:val="16"/>
                <w:color w:val="auto"/>
              </w:rPr>
              <w:t>38,482,377</w:t>
            </w: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33,830,166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Interest-bearing</w:t>
            </w:r>
          </w:p>
        </w:tc>
        <w:tc>
          <w:tcPr>
            <w:tcW w:w="22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81,081,168</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78,175,219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119,563,545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112,005,385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Payables from repurchase agreements and securities lending</w:t>
            </w:r>
          </w:p>
        </w:tc>
        <w:tc>
          <w:tcPr>
            <w:tcW w:w="2220" w:type="dxa"/>
            <w:vAlign w:val="bottom"/>
          </w:tcPr>
          <w:p>
            <w:pPr>
              <w:jc w:val="center"/>
              <w:ind w:left="598"/>
              <w:spacing w:after="0"/>
              <w:rPr>
                <w:sz w:val="20"/>
                <w:szCs w:val="20"/>
                <w:color w:val="auto"/>
              </w:rPr>
            </w:pPr>
            <w:r>
              <w:rPr>
                <w:rFonts w:ascii="Arial" w:cs="Arial" w:eastAsia="Arial" w:hAnsi="Arial"/>
                <w:sz w:val="16"/>
                <w:szCs w:val="16"/>
                <w:color w:val="auto"/>
                <w:w w:val="91"/>
              </w:rPr>
              <w:t>5(b)</w:t>
            </w:r>
          </w:p>
        </w:tc>
        <w:tc>
          <w:tcPr>
            <w:tcW w:w="1460" w:type="dxa"/>
            <w:vAlign w:val="bottom"/>
            <w:gridSpan w:val="3"/>
          </w:tcPr>
          <w:p>
            <w:pPr>
              <w:jc w:val="right"/>
              <w:ind w:right="240"/>
              <w:spacing w:after="0"/>
              <w:rPr>
                <w:sz w:val="20"/>
                <w:szCs w:val="20"/>
                <w:color w:val="auto"/>
              </w:rPr>
            </w:pPr>
            <w:r>
              <w:rPr>
                <w:rFonts w:ascii="Arial" w:cs="Arial" w:eastAsia="Arial" w:hAnsi="Arial"/>
                <w:sz w:val="16"/>
                <w:szCs w:val="16"/>
                <w:color w:val="auto"/>
              </w:rPr>
              <w:t>8,254,726</w:t>
            </w: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7,678,016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Due to banks and correspondents</w:t>
            </w:r>
          </w:p>
        </w:tc>
        <w:tc>
          <w:tcPr>
            <w:tcW w:w="2220" w:type="dxa"/>
            <w:vAlign w:val="bottom"/>
            <w:shd w:val="clear" w:color="auto" w:fill="CCEEFF"/>
          </w:tcPr>
          <w:p>
            <w:pPr>
              <w:jc w:val="center"/>
              <w:ind w:left="578"/>
              <w:spacing w:after="0"/>
              <w:rPr>
                <w:sz w:val="20"/>
                <w:szCs w:val="20"/>
                <w:color w:val="auto"/>
              </w:rPr>
            </w:pPr>
            <w:r>
              <w:rPr>
                <w:rFonts w:ascii="Arial" w:cs="Arial" w:eastAsia="Arial" w:hAnsi="Arial"/>
                <w:sz w:val="16"/>
                <w:szCs w:val="16"/>
                <w:color w:val="auto"/>
                <w:w w:val="89"/>
              </w:rPr>
              <w:t>15</w:t>
            </w: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9,854,630</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8,841,732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Banker’s acceptances outstanding</w:t>
            </w:r>
          </w:p>
        </w:tc>
        <w:tc>
          <w:tcPr>
            <w:tcW w:w="2220" w:type="dxa"/>
            <w:vAlign w:val="bottom"/>
          </w:tcPr>
          <w:p>
            <w:pPr>
              <w:spacing w:after="0"/>
              <w:rPr>
                <w:sz w:val="17"/>
                <w:szCs w:val="17"/>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6"/>
                <w:szCs w:val="16"/>
                <w:color w:val="auto"/>
              </w:rPr>
              <w:t>555,598</w:t>
            </w: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535,222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to reinsurers</w:t>
            </w:r>
          </w:p>
        </w:tc>
        <w:tc>
          <w:tcPr>
            <w:tcW w:w="2220" w:type="dxa"/>
            <w:vAlign w:val="bottom"/>
            <w:shd w:val="clear" w:color="auto" w:fill="CCEEFF"/>
          </w:tcPr>
          <w:p>
            <w:pPr>
              <w:jc w:val="center"/>
              <w:ind w:left="598"/>
              <w:spacing w:after="0"/>
              <w:rPr>
                <w:sz w:val="20"/>
                <w:szCs w:val="20"/>
                <w:color w:val="auto"/>
              </w:rPr>
            </w:pPr>
            <w:r>
              <w:rPr>
                <w:rFonts w:ascii="Arial" w:cs="Arial" w:eastAsia="Arial" w:hAnsi="Arial"/>
                <w:sz w:val="16"/>
                <w:szCs w:val="16"/>
                <w:color w:val="auto"/>
                <w:w w:val="91"/>
              </w:rPr>
              <w:t>9(b)</w:t>
            </w: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198,473</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216,734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Lease liabilities</w:t>
            </w:r>
          </w:p>
        </w:tc>
        <w:tc>
          <w:tcPr>
            <w:tcW w:w="2220" w:type="dxa"/>
            <w:vAlign w:val="bottom"/>
          </w:tcPr>
          <w:p>
            <w:pPr>
              <w:jc w:val="center"/>
              <w:ind w:left="598"/>
              <w:spacing w:after="0"/>
              <w:rPr>
                <w:sz w:val="20"/>
                <w:szCs w:val="20"/>
                <w:color w:val="auto"/>
              </w:rPr>
            </w:pPr>
            <w:r>
              <w:rPr>
                <w:rFonts w:ascii="Arial" w:cs="Arial" w:eastAsia="Arial" w:hAnsi="Arial"/>
                <w:sz w:val="16"/>
                <w:szCs w:val="16"/>
                <w:color w:val="auto"/>
                <w:w w:val="90"/>
              </w:rPr>
              <w:t>12(b)</w:t>
            </w:r>
          </w:p>
        </w:tc>
        <w:tc>
          <w:tcPr>
            <w:tcW w:w="1460" w:type="dxa"/>
            <w:vAlign w:val="bottom"/>
            <w:gridSpan w:val="3"/>
          </w:tcPr>
          <w:p>
            <w:pPr>
              <w:jc w:val="right"/>
              <w:ind w:right="240"/>
              <w:spacing w:after="0"/>
              <w:rPr>
                <w:sz w:val="20"/>
                <w:szCs w:val="20"/>
                <w:color w:val="auto"/>
              </w:rPr>
            </w:pPr>
            <w:r>
              <w:rPr>
                <w:rFonts w:ascii="Arial" w:cs="Arial" w:eastAsia="Arial" w:hAnsi="Arial"/>
                <w:sz w:val="16"/>
                <w:szCs w:val="16"/>
                <w:color w:val="auto"/>
              </w:rPr>
              <w:t>838,248</w:t>
            </w: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847,504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Financial liabilities at fair value through profit or loss</w:t>
            </w:r>
          </w:p>
        </w:tc>
        <w:tc>
          <w:tcPr>
            <w:tcW w:w="22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533,146</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493,700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Technical reserves for insurance claims and premiums</w:t>
            </w:r>
          </w:p>
        </w:tc>
        <w:tc>
          <w:tcPr>
            <w:tcW w:w="2220" w:type="dxa"/>
            <w:vAlign w:val="bottom"/>
          </w:tcPr>
          <w:p>
            <w:pPr>
              <w:jc w:val="center"/>
              <w:ind w:left="578"/>
              <w:spacing w:after="0"/>
              <w:rPr>
                <w:sz w:val="20"/>
                <w:szCs w:val="20"/>
                <w:color w:val="auto"/>
              </w:rPr>
            </w:pPr>
            <w:r>
              <w:rPr>
                <w:rFonts w:ascii="Arial" w:cs="Arial" w:eastAsia="Arial" w:hAnsi="Arial"/>
                <w:sz w:val="16"/>
                <w:szCs w:val="16"/>
                <w:color w:val="auto"/>
                <w:w w:val="89"/>
              </w:rPr>
              <w:t>16</w:t>
            </w:r>
          </w:p>
        </w:tc>
        <w:tc>
          <w:tcPr>
            <w:tcW w:w="1460" w:type="dxa"/>
            <w:vAlign w:val="bottom"/>
            <w:gridSpan w:val="3"/>
          </w:tcPr>
          <w:p>
            <w:pPr>
              <w:jc w:val="right"/>
              <w:ind w:right="240"/>
              <w:spacing w:after="0"/>
              <w:rPr>
                <w:sz w:val="20"/>
                <w:szCs w:val="20"/>
                <w:color w:val="auto"/>
              </w:rPr>
            </w:pPr>
            <w:r>
              <w:rPr>
                <w:rFonts w:ascii="Arial" w:cs="Arial" w:eastAsia="Arial" w:hAnsi="Arial"/>
                <w:sz w:val="16"/>
                <w:szCs w:val="16"/>
                <w:color w:val="auto"/>
              </w:rPr>
              <w:t>9,975,945</w:t>
            </w: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9,950,233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Bonds and notes issued</w:t>
            </w:r>
          </w:p>
        </w:tc>
        <w:tc>
          <w:tcPr>
            <w:tcW w:w="2220" w:type="dxa"/>
            <w:vAlign w:val="bottom"/>
            <w:shd w:val="clear" w:color="auto" w:fill="CCEEFF"/>
          </w:tcPr>
          <w:p>
            <w:pPr>
              <w:jc w:val="center"/>
              <w:ind w:left="578"/>
              <w:spacing w:after="0"/>
              <w:rPr>
                <w:sz w:val="20"/>
                <w:szCs w:val="20"/>
                <w:color w:val="auto"/>
              </w:rPr>
            </w:pPr>
            <w:r>
              <w:rPr>
                <w:rFonts w:ascii="Arial" w:cs="Arial" w:eastAsia="Arial" w:hAnsi="Arial"/>
                <w:sz w:val="16"/>
                <w:szCs w:val="16"/>
                <w:color w:val="auto"/>
                <w:w w:val="89"/>
              </w:rPr>
              <w:t>17</w:t>
            </w: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15,178,148</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14,946,363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Deferred tax liabilities, net</w:t>
            </w:r>
          </w:p>
        </w:tc>
        <w:tc>
          <w:tcPr>
            <w:tcW w:w="2220" w:type="dxa"/>
            <w:vAlign w:val="bottom"/>
          </w:tcPr>
          <w:p>
            <w:pPr>
              <w:spacing w:after="0"/>
              <w:rPr>
                <w:sz w:val="17"/>
                <w:szCs w:val="17"/>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6"/>
                <w:szCs w:val="16"/>
                <w:color w:val="auto"/>
              </w:rPr>
              <w:t>94,744</w:t>
            </w: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134,204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2220" w:type="dxa"/>
            <w:vAlign w:val="bottom"/>
            <w:shd w:val="clear" w:color="auto" w:fill="CCEEFF"/>
          </w:tcPr>
          <w:p>
            <w:pPr>
              <w:jc w:val="center"/>
              <w:ind w:left="578"/>
              <w:spacing w:after="0"/>
              <w:rPr>
                <w:sz w:val="20"/>
                <w:szCs w:val="20"/>
                <w:color w:val="auto"/>
              </w:rPr>
            </w:pPr>
            <w:r>
              <w:rPr>
                <w:rFonts w:ascii="Arial" w:cs="Arial" w:eastAsia="Arial" w:hAnsi="Arial"/>
                <w:sz w:val="16"/>
                <w:szCs w:val="16"/>
                <w:color w:val="auto"/>
                <w:w w:val="89"/>
              </w:rPr>
              <w:t>13</w:t>
            </w: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9,051,875</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5,481,288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liabilities</w:t>
            </w:r>
          </w:p>
        </w:tc>
        <w:tc>
          <w:tcPr>
            <w:tcW w:w="2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174,099,078</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161,130,381</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2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6"/>
                <w:szCs w:val="16"/>
                <w:b w:val="1"/>
                <w:bCs w:val="1"/>
                <w:color w:val="auto"/>
              </w:rPr>
              <w:t>Equity, net</w:t>
            </w:r>
          </w:p>
        </w:tc>
        <w:tc>
          <w:tcPr>
            <w:tcW w:w="2220" w:type="dxa"/>
            <w:vAlign w:val="bottom"/>
          </w:tcPr>
          <w:p>
            <w:pPr>
              <w:jc w:val="center"/>
              <w:ind w:left="578"/>
              <w:spacing w:after="0"/>
              <w:rPr>
                <w:sz w:val="20"/>
                <w:szCs w:val="20"/>
                <w:color w:val="auto"/>
              </w:rPr>
            </w:pPr>
            <w:r>
              <w:rPr>
                <w:rFonts w:ascii="Arial" w:cs="Arial" w:eastAsia="Arial" w:hAnsi="Arial"/>
                <w:sz w:val="16"/>
                <w:szCs w:val="16"/>
                <w:color w:val="auto"/>
                <w:w w:val="89"/>
              </w:rPr>
              <w:t>18</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Equity attributable to Credicorp´s equity holders:</w:t>
            </w: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tcPr>
          <w:p>
            <w:pPr>
              <w:ind w:left="200"/>
              <w:spacing w:after="0"/>
              <w:rPr>
                <w:sz w:val="20"/>
                <w:szCs w:val="20"/>
                <w:color w:val="auto"/>
              </w:rPr>
            </w:pPr>
            <w:r>
              <w:rPr>
                <w:rFonts w:ascii="Arial" w:cs="Arial" w:eastAsia="Arial" w:hAnsi="Arial"/>
                <w:sz w:val="16"/>
                <w:szCs w:val="16"/>
                <w:color w:val="auto"/>
              </w:rPr>
              <w:t>Capital stock</w:t>
            </w:r>
          </w:p>
        </w:tc>
        <w:tc>
          <w:tcPr>
            <w:tcW w:w="2220" w:type="dxa"/>
            <w:vAlign w:val="bottom"/>
          </w:tcPr>
          <w:p>
            <w:pPr>
              <w:spacing w:after="0"/>
              <w:rPr>
                <w:sz w:val="17"/>
                <w:szCs w:val="17"/>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6"/>
                <w:szCs w:val="16"/>
                <w:color w:val="auto"/>
              </w:rPr>
              <w:t>1,318,993</w:t>
            </w: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1,318,993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Treasury stock</w:t>
            </w:r>
          </w:p>
        </w:tc>
        <w:tc>
          <w:tcPr>
            <w:tcW w:w="22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(209,309)</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(207,839)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tcPr>
          <w:p>
            <w:pPr>
              <w:ind w:left="200"/>
              <w:spacing w:after="0"/>
              <w:rPr>
                <w:sz w:val="20"/>
                <w:szCs w:val="20"/>
                <w:color w:val="auto"/>
              </w:rPr>
            </w:pPr>
            <w:r>
              <w:rPr>
                <w:rFonts w:ascii="Arial" w:cs="Arial" w:eastAsia="Arial" w:hAnsi="Arial"/>
                <w:sz w:val="16"/>
                <w:szCs w:val="16"/>
                <w:color w:val="auto"/>
              </w:rPr>
              <w:t>Capital surplus</w:t>
            </w:r>
          </w:p>
        </w:tc>
        <w:tc>
          <w:tcPr>
            <w:tcW w:w="2220" w:type="dxa"/>
            <w:vAlign w:val="bottom"/>
          </w:tcPr>
          <w:p>
            <w:pPr>
              <w:spacing w:after="0"/>
              <w:rPr>
                <w:sz w:val="17"/>
                <w:szCs w:val="17"/>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6"/>
                <w:szCs w:val="16"/>
                <w:color w:val="auto"/>
              </w:rPr>
              <w:t>165,188</w:t>
            </w: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226,037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Reserves</w:t>
            </w:r>
          </w:p>
        </w:tc>
        <w:tc>
          <w:tcPr>
            <w:tcW w:w="22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21,360,272</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19,437,645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tcPr>
          <w:p>
            <w:pPr>
              <w:ind w:left="200"/>
              <w:spacing w:after="0"/>
              <w:rPr>
                <w:sz w:val="20"/>
                <w:szCs w:val="20"/>
                <w:color w:val="auto"/>
              </w:rPr>
            </w:pPr>
            <w:r>
              <w:rPr>
                <w:rFonts w:ascii="Arial" w:cs="Arial" w:eastAsia="Arial" w:hAnsi="Arial"/>
                <w:sz w:val="16"/>
                <w:szCs w:val="16"/>
                <w:color w:val="auto"/>
              </w:rPr>
              <w:t>Other reserves</w:t>
            </w:r>
          </w:p>
        </w:tc>
        <w:tc>
          <w:tcPr>
            <w:tcW w:w="2220" w:type="dxa"/>
            <w:vAlign w:val="bottom"/>
          </w:tcPr>
          <w:p>
            <w:pPr>
              <w:spacing w:after="0"/>
              <w:rPr>
                <w:sz w:val="17"/>
                <w:szCs w:val="17"/>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6"/>
                <w:szCs w:val="16"/>
                <w:color w:val="auto"/>
              </w:rPr>
              <w:t>359,565</w:t>
            </w: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1,088,189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Retained earnings</w:t>
            </w:r>
          </w:p>
        </w:tc>
        <w:tc>
          <w:tcPr>
            <w:tcW w:w="22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210,930</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4,374,935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23,205,639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26,237,960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2220" w:type="dxa"/>
            <w:vAlign w:val="bottom"/>
          </w:tcPr>
          <w:p>
            <w:pPr>
              <w:spacing w:after="0"/>
              <w:rPr>
                <w:sz w:val="18"/>
                <w:szCs w:val="18"/>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6"/>
                <w:szCs w:val="16"/>
                <w:color w:val="auto"/>
              </w:rPr>
              <w:t>517,172</w:t>
            </w: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508,350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equity, net</w:t>
            </w:r>
          </w:p>
        </w:tc>
        <w:tc>
          <w:tcPr>
            <w:tcW w:w="2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23,722,811</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26,746,310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2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net equity</w:t>
            </w:r>
          </w:p>
        </w:tc>
        <w:tc>
          <w:tcPr>
            <w:tcW w:w="2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197,821,889</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187,876,691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35" w:right="339" w:bottom="0" w:gutter="0" w:footer="0" w:header="0"/>
        </w:sectPr>
      </w:pPr>
    </w:p>
    <w:bookmarkStart w:id="6" w:name="page7"/>
    <w:bookmarkEnd w:id="6"/>
    <w:p>
      <w:pPr>
        <w:spacing w:after="0"/>
        <w:rPr>
          <w:sz w:val="20"/>
          <w:szCs w:val="20"/>
          <w:color w:val="auto"/>
        </w:rPr>
      </w:pPr>
      <w:r>
        <w:rPr>
          <w:rFonts w:ascii="Arial" w:cs="Arial" w:eastAsia="Arial" w:hAnsi="Arial"/>
          <w:sz w:val="14"/>
          <w:szCs w:val="14"/>
          <w:color w:val="auto"/>
        </w:rPr>
        <w:t>The accompanying notes are an integral part of these interim condensed consolidated financial statements.</w:t>
      </w:r>
    </w:p>
    <w:p>
      <w:pPr>
        <w:sectPr>
          <w:pgSz w:w="11900" w:h="16838" w:orient="portrait"/>
          <w:cols w:equalWidth="0" w:num="1">
            <w:col w:w="10139"/>
          </w:cols>
          <w:pgMar w:left="320" w:top="127"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43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12"/>
        </w:trPr>
        <w:tc>
          <w:tcPr>
            <w:tcW w:w="6940" w:type="dxa"/>
            <w:vAlign w:val="bottom"/>
            <w:gridSpan w:val="2"/>
          </w:tcPr>
          <w:p>
            <w:pPr>
              <w:spacing w:after="0"/>
              <w:rPr>
                <w:sz w:val="20"/>
                <w:szCs w:val="20"/>
                <w:color w:val="auto"/>
              </w:rPr>
            </w:pPr>
            <w:r>
              <w:rPr>
                <w:rFonts w:ascii="Arial" w:cs="Arial" w:eastAsia="Arial" w:hAnsi="Arial"/>
                <w:sz w:val="16"/>
                <w:szCs w:val="16"/>
                <w:b w:val="1"/>
                <w:bCs w:val="1"/>
                <w:color w:val="auto"/>
              </w:rPr>
              <w:t>CREDICORP LTD. AND SUBSIDIARIES</w:t>
            </w: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6940" w:type="dxa"/>
            <w:vAlign w:val="bottom"/>
            <w:gridSpan w:val="2"/>
          </w:tcPr>
          <w:p>
            <w:pPr>
              <w:spacing w:after="0"/>
              <w:rPr>
                <w:sz w:val="20"/>
                <w:szCs w:val="20"/>
                <w:color w:val="auto"/>
              </w:rPr>
            </w:pPr>
            <w:r>
              <w:rPr>
                <w:rFonts w:ascii="Arial" w:cs="Arial" w:eastAsia="Arial" w:hAnsi="Arial"/>
                <w:sz w:val="16"/>
                <w:szCs w:val="16"/>
                <w:b w:val="1"/>
                <w:bCs w:val="1"/>
                <w:color w:val="auto"/>
              </w:rPr>
              <w:t>Interim condensed consolidated statement of income</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940" w:type="dxa"/>
            <w:vAlign w:val="bottom"/>
            <w:gridSpan w:val="2"/>
          </w:tcPr>
          <w:p>
            <w:pPr>
              <w:spacing w:after="0"/>
              <w:rPr>
                <w:sz w:val="20"/>
                <w:szCs w:val="20"/>
                <w:color w:val="auto"/>
              </w:rPr>
            </w:pPr>
            <w:r>
              <w:rPr>
                <w:rFonts w:ascii="Arial" w:cs="Arial" w:eastAsia="Arial" w:hAnsi="Arial"/>
                <w:sz w:val="16"/>
                <w:szCs w:val="16"/>
                <w:color w:val="auto"/>
              </w:rPr>
              <w:t>For the three-month periods ended March 31, 2020 and 2019 (unaudited)</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80" w:type="dxa"/>
            <w:vAlign w:val="bottom"/>
            <w:gridSpan w:val="4"/>
          </w:tcPr>
          <w:p>
            <w:pPr>
              <w:jc w:val="right"/>
              <w:ind w:right="378"/>
              <w:spacing w:after="0"/>
              <w:rPr>
                <w:sz w:val="20"/>
                <w:szCs w:val="20"/>
                <w:color w:val="auto"/>
              </w:rPr>
            </w:pPr>
            <w:r>
              <w:rPr>
                <w:rFonts w:ascii="Arial" w:cs="Arial" w:eastAsia="Arial" w:hAnsi="Arial"/>
                <w:sz w:val="16"/>
                <w:szCs w:val="16"/>
                <w:b w:val="1"/>
                <w:bCs w:val="1"/>
                <w:color w:val="auto"/>
              </w:rPr>
              <w:t>For the three-month periods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780" w:type="dxa"/>
            <w:vAlign w:val="bottom"/>
            <w:gridSpan w:val="4"/>
          </w:tcPr>
          <w:p>
            <w:pPr>
              <w:jc w:val="right"/>
              <w:ind w:right="778"/>
              <w:spacing w:after="0"/>
              <w:rPr>
                <w:sz w:val="20"/>
                <w:szCs w:val="20"/>
                <w:color w:val="auto"/>
              </w:rPr>
            </w:pPr>
            <w:r>
              <w:rPr>
                <w:rFonts w:ascii="Arial" w:cs="Arial" w:eastAsia="Arial" w:hAnsi="Arial"/>
                <w:sz w:val="16"/>
                <w:szCs w:val="16"/>
                <w:b w:val="1"/>
                <w:bCs w:val="1"/>
                <w:color w:val="auto"/>
              </w:rPr>
              <w:t>ended March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Interest and similar income</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w:t>
            </w:r>
          </w:p>
        </w:tc>
        <w:tc>
          <w:tcPr>
            <w:tcW w:w="146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3,163,609</w:t>
            </w:r>
          </w:p>
        </w:tc>
        <w:tc>
          <w:tcPr>
            <w:tcW w:w="13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3,001,674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Interest and similar expenses</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1460" w:type="dxa"/>
            <w:vAlign w:val="bottom"/>
            <w:gridSpan w:val="2"/>
          </w:tcPr>
          <w:p>
            <w:pPr>
              <w:jc w:val="right"/>
              <w:ind w:right="98"/>
              <w:spacing w:after="0"/>
              <w:rPr>
                <w:sz w:val="20"/>
                <w:szCs w:val="20"/>
                <w:color w:val="auto"/>
              </w:rPr>
            </w:pPr>
            <w:r>
              <w:rPr>
                <w:rFonts w:ascii="Arial" w:cs="Arial" w:eastAsia="Arial" w:hAnsi="Arial"/>
                <w:sz w:val="16"/>
                <w:szCs w:val="16"/>
                <w:color w:val="auto"/>
              </w:rPr>
              <w:t>(784,309)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(804,506)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interest, similar income and expenses</w:t>
            </w:r>
          </w:p>
        </w:tc>
        <w:tc>
          <w:tcPr>
            <w:tcW w:w="15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2,379,300</w:t>
            </w:r>
          </w:p>
        </w:tc>
        <w:tc>
          <w:tcPr>
            <w:tcW w:w="2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2,197,168</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Provision for credit losses on loan portfolio</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7(c)</w:t>
            </w:r>
          </w:p>
        </w:tc>
        <w:tc>
          <w:tcPr>
            <w:tcW w:w="146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(1,388,711)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(453,285)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Recoveries of written-off loans</w:t>
            </w:r>
          </w:p>
        </w:tc>
        <w:tc>
          <w:tcPr>
            <w:tcW w:w="1520" w:type="dxa"/>
            <w:vAlign w:val="bottom"/>
          </w:tcPr>
          <w:p>
            <w:pPr>
              <w:spacing w:after="0"/>
              <w:rPr>
                <w:sz w:val="18"/>
                <w:szCs w:val="18"/>
                <w:color w:val="auto"/>
              </w:rPr>
            </w:pPr>
          </w:p>
        </w:tc>
        <w:tc>
          <w:tcPr>
            <w:tcW w:w="1460" w:type="dxa"/>
            <w:vAlign w:val="bottom"/>
            <w:gridSpan w:val="2"/>
          </w:tcPr>
          <w:p>
            <w:pPr>
              <w:jc w:val="right"/>
              <w:ind w:right="138"/>
              <w:spacing w:after="0"/>
              <w:rPr>
                <w:sz w:val="20"/>
                <w:szCs w:val="20"/>
                <w:color w:val="auto"/>
              </w:rPr>
            </w:pPr>
            <w:r>
              <w:rPr>
                <w:rFonts w:ascii="Arial" w:cs="Arial" w:eastAsia="Arial" w:hAnsi="Arial"/>
                <w:sz w:val="16"/>
                <w:szCs w:val="16"/>
                <w:color w:val="auto"/>
              </w:rPr>
              <w:t>47,230</w:t>
            </w:r>
          </w:p>
        </w:tc>
        <w:tc>
          <w:tcPr>
            <w:tcW w:w="1320" w:type="dxa"/>
            <w:vAlign w:val="bottom"/>
            <w:gridSpan w:val="2"/>
          </w:tcPr>
          <w:p>
            <w:pPr>
              <w:jc w:val="right"/>
              <w:ind w:right="18"/>
              <w:spacing w:after="0"/>
              <w:rPr>
                <w:sz w:val="20"/>
                <w:szCs w:val="20"/>
                <w:color w:val="auto"/>
              </w:rPr>
            </w:pPr>
            <w:r>
              <w:rPr>
                <w:rFonts w:ascii="Arial" w:cs="Arial" w:eastAsia="Arial" w:hAnsi="Arial"/>
                <w:sz w:val="16"/>
                <w:szCs w:val="16"/>
                <w:color w:val="auto"/>
              </w:rPr>
              <w:t>70,074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Provision for credit losses on loan portfolio, net of recoveries</w:t>
            </w:r>
          </w:p>
        </w:tc>
        <w:tc>
          <w:tcPr>
            <w:tcW w:w="15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(1,341,481</w:t>
            </w:r>
          </w:p>
        </w:tc>
        <w:tc>
          <w:tcPr>
            <w:tcW w:w="24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(383,211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9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8"/>
              </w:rPr>
              <w:t>Net interest, similar income and expenses, after provision for credit losses on loan portfolio</w:t>
            </w:r>
          </w:p>
        </w:tc>
        <w:tc>
          <w:tcPr>
            <w:tcW w:w="15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1,037,819</w:t>
            </w:r>
          </w:p>
        </w:tc>
        <w:tc>
          <w:tcPr>
            <w:tcW w:w="13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1,813,957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9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w:t>
            </w:r>
          </w:p>
        </w:tc>
        <w:tc>
          <w:tcPr>
            <w:tcW w:w="15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Commissions and fees</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23</w:t>
            </w:r>
          </w:p>
        </w:tc>
        <w:tc>
          <w:tcPr>
            <w:tcW w:w="1460" w:type="dxa"/>
            <w:vAlign w:val="bottom"/>
            <w:gridSpan w:val="2"/>
          </w:tcPr>
          <w:p>
            <w:pPr>
              <w:jc w:val="right"/>
              <w:ind w:right="158"/>
              <w:spacing w:after="0"/>
              <w:rPr>
                <w:sz w:val="20"/>
                <w:szCs w:val="20"/>
                <w:color w:val="auto"/>
              </w:rPr>
            </w:pPr>
            <w:r>
              <w:rPr>
                <w:rFonts w:ascii="Arial" w:cs="Arial" w:eastAsia="Arial" w:hAnsi="Arial"/>
                <w:sz w:val="16"/>
                <w:szCs w:val="16"/>
                <w:color w:val="auto"/>
              </w:rPr>
              <w:t>760,329</w:t>
            </w:r>
          </w:p>
        </w:tc>
        <w:tc>
          <w:tcPr>
            <w:tcW w:w="1320" w:type="dxa"/>
            <w:vAlign w:val="bottom"/>
            <w:gridSpan w:val="2"/>
          </w:tcPr>
          <w:p>
            <w:pPr>
              <w:jc w:val="right"/>
              <w:ind w:right="18"/>
              <w:spacing w:after="0"/>
              <w:rPr>
                <w:sz w:val="20"/>
                <w:szCs w:val="20"/>
                <w:color w:val="auto"/>
              </w:rPr>
            </w:pPr>
            <w:r>
              <w:rPr>
                <w:rFonts w:ascii="Arial" w:cs="Arial" w:eastAsia="Arial" w:hAnsi="Arial"/>
                <w:sz w:val="16"/>
                <w:szCs w:val="16"/>
                <w:color w:val="auto"/>
              </w:rPr>
              <w:t>782,922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Net gain on foreign exchange transactions</w:t>
            </w:r>
          </w:p>
        </w:tc>
        <w:tc>
          <w:tcPr>
            <w:tcW w:w="15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166,983</w:t>
            </w:r>
          </w:p>
        </w:tc>
        <w:tc>
          <w:tcPr>
            <w:tcW w:w="13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178,423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Net (loss) gain on securities</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24</w:t>
            </w:r>
          </w:p>
        </w:tc>
        <w:tc>
          <w:tcPr>
            <w:tcW w:w="1460" w:type="dxa"/>
            <w:vAlign w:val="bottom"/>
            <w:gridSpan w:val="2"/>
          </w:tcPr>
          <w:p>
            <w:pPr>
              <w:jc w:val="right"/>
              <w:ind w:right="98"/>
              <w:spacing w:after="0"/>
              <w:rPr>
                <w:sz w:val="20"/>
                <w:szCs w:val="20"/>
                <w:color w:val="auto"/>
              </w:rPr>
            </w:pPr>
            <w:r>
              <w:rPr>
                <w:rFonts w:ascii="Arial" w:cs="Arial" w:eastAsia="Arial" w:hAnsi="Arial"/>
                <w:sz w:val="16"/>
                <w:szCs w:val="16"/>
                <w:color w:val="auto"/>
              </w:rPr>
              <w:t>(101,408)</w:t>
            </w:r>
          </w:p>
        </w:tc>
        <w:tc>
          <w:tcPr>
            <w:tcW w:w="1320" w:type="dxa"/>
            <w:vAlign w:val="bottom"/>
            <w:gridSpan w:val="2"/>
          </w:tcPr>
          <w:p>
            <w:pPr>
              <w:jc w:val="right"/>
              <w:ind w:right="18"/>
              <w:spacing w:after="0"/>
              <w:rPr>
                <w:sz w:val="20"/>
                <w:szCs w:val="20"/>
                <w:color w:val="auto"/>
              </w:rPr>
            </w:pPr>
            <w:r>
              <w:rPr>
                <w:rFonts w:ascii="Arial" w:cs="Arial" w:eastAsia="Arial" w:hAnsi="Arial"/>
                <w:sz w:val="16"/>
                <w:szCs w:val="16"/>
                <w:color w:val="auto"/>
              </w:rPr>
              <w:t>128,331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Net gain (loss) on derivatives held for trading</w:t>
            </w:r>
          </w:p>
        </w:tc>
        <w:tc>
          <w:tcPr>
            <w:tcW w:w="15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35,430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(2,434)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Net (loss) gain from exchange differences</w:t>
            </w:r>
          </w:p>
        </w:tc>
        <w:tc>
          <w:tcPr>
            <w:tcW w:w="1520" w:type="dxa"/>
            <w:vAlign w:val="bottom"/>
          </w:tcPr>
          <w:p>
            <w:pPr>
              <w:spacing w:after="0"/>
              <w:rPr>
                <w:sz w:val="17"/>
                <w:szCs w:val="17"/>
                <w:color w:val="auto"/>
              </w:rPr>
            </w:pPr>
          </w:p>
        </w:tc>
        <w:tc>
          <w:tcPr>
            <w:tcW w:w="1460" w:type="dxa"/>
            <w:vAlign w:val="bottom"/>
            <w:gridSpan w:val="2"/>
          </w:tcPr>
          <w:p>
            <w:pPr>
              <w:jc w:val="right"/>
              <w:ind w:right="98"/>
              <w:spacing w:after="0"/>
              <w:rPr>
                <w:sz w:val="20"/>
                <w:szCs w:val="20"/>
                <w:color w:val="auto"/>
              </w:rPr>
            </w:pPr>
            <w:r>
              <w:rPr>
                <w:rFonts w:ascii="Arial" w:cs="Arial" w:eastAsia="Arial" w:hAnsi="Arial"/>
                <w:sz w:val="16"/>
                <w:szCs w:val="16"/>
                <w:color w:val="auto"/>
              </w:rPr>
              <w:t>(21,240)</w:t>
            </w:r>
          </w:p>
        </w:tc>
        <w:tc>
          <w:tcPr>
            <w:tcW w:w="1320" w:type="dxa"/>
            <w:vAlign w:val="bottom"/>
            <w:gridSpan w:val="2"/>
          </w:tcPr>
          <w:p>
            <w:pPr>
              <w:jc w:val="right"/>
              <w:ind w:right="18"/>
              <w:spacing w:after="0"/>
              <w:rPr>
                <w:sz w:val="20"/>
                <w:szCs w:val="20"/>
                <w:color w:val="auto"/>
              </w:rPr>
            </w:pPr>
            <w:r>
              <w:rPr>
                <w:rFonts w:ascii="Arial" w:cs="Arial" w:eastAsia="Arial" w:hAnsi="Arial"/>
                <w:sz w:val="16"/>
                <w:szCs w:val="16"/>
                <w:color w:val="auto"/>
              </w:rPr>
              <w:t>13,490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c>
          <w:tcPr>
            <w:tcW w:w="146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117,770</w:t>
            </w:r>
          </w:p>
        </w:tc>
        <w:tc>
          <w:tcPr>
            <w:tcW w:w="13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75,605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other income</w:t>
            </w:r>
          </w:p>
        </w:tc>
        <w:tc>
          <w:tcPr>
            <w:tcW w:w="152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957,864</w:t>
            </w:r>
          </w:p>
        </w:tc>
        <w:tc>
          <w:tcPr>
            <w:tcW w:w="24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1,176,337</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9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b w:val="1"/>
                <w:bCs w:val="1"/>
                <w:color w:val="auto"/>
              </w:rPr>
              <w:t>Insurance underwriting result</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Net premiums earned</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w:t>
            </w:r>
          </w:p>
        </w:tc>
        <w:tc>
          <w:tcPr>
            <w:tcW w:w="146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627,935</w:t>
            </w:r>
          </w:p>
        </w:tc>
        <w:tc>
          <w:tcPr>
            <w:tcW w:w="13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584,209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Net claims incurred for life, general and health</w:t>
            </w: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940" w:type="dxa"/>
            <w:vAlign w:val="bottom"/>
            <w:gridSpan w:val="2"/>
          </w:tcPr>
          <w:p>
            <w:pPr>
              <w:spacing w:after="0"/>
              <w:rPr>
                <w:sz w:val="20"/>
                <w:szCs w:val="20"/>
                <w:color w:val="auto"/>
              </w:rPr>
            </w:pPr>
            <w:r>
              <w:rPr>
                <w:rFonts w:ascii="Arial" w:cs="Arial" w:eastAsia="Arial" w:hAnsi="Arial"/>
                <w:sz w:val="16"/>
                <w:szCs w:val="16"/>
                <w:color w:val="auto"/>
              </w:rPr>
              <w:t>insurance contracts</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26</w:t>
            </w:r>
          </w:p>
        </w:tc>
        <w:tc>
          <w:tcPr>
            <w:tcW w:w="1460" w:type="dxa"/>
            <w:vAlign w:val="bottom"/>
            <w:gridSpan w:val="2"/>
          </w:tcPr>
          <w:p>
            <w:pPr>
              <w:jc w:val="right"/>
              <w:ind w:right="98"/>
              <w:spacing w:after="0"/>
              <w:rPr>
                <w:sz w:val="20"/>
                <w:szCs w:val="20"/>
                <w:color w:val="auto"/>
              </w:rPr>
            </w:pPr>
            <w:r>
              <w:rPr>
                <w:rFonts w:ascii="Arial" w:cs="Arial" w:eastAsia="Arial" w:hAnsi="Arial"/>
                <w:sz w:val="16"/>
                <w:szCs w:val="16"/>
                <w:color w:val="auto"/>
              </w:rPr>
              <w:t>(373,502)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(383,817)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Acquisition cost</w:t>
            </w:r>
          </w:p>
        </w:tc>
        <w:tc>
          <w:tcPr>
            <w:tcW w:w="15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(112,507)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(91,281)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6"/>
                <w:szCs w:val="16"/>
                <w:b w:val="1"/>
                <w:bCs w:val="1"/>
                <w:color w:val="auto"/>
              </w:rPr>
              <w:t>Total insurance underwriting result</w:t>
            </w:r>
          </w:p>
        </w:tc>
        <w:tc>
          <w:tcPr>
            <w:tcW w:w="152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141,926</w:t>
            </w:r>
          </w:p>
        </w:tc>
        <w:tc>
          <w:tcPr>
            <w:tcW w:w="24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109,111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b w:val="1"/>
                <w:bCs w:val="1"/>
                <w:color w:val="auto"/>
              </w:rPr>
              <w:t>Other expenses</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Salaries and employee benefits</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w:t>
            </w:r>
          </w:p>
        </w:tc>
        <w:tc>
          <w:tcPr>
            <w:tcW w:w="146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(891,183)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(834,317)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Administrative expenses</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28</w:t>
            </w:r>
          </w:p>
        </w:tc>
        <w:tc>
          <w:tcPr>
            <w:tcW w:w="1460" w:type="dxa"/>
            <w:vAlign w:val="bottom"/>
            <w:gridSpan w:val="2"/>
          </w:tcPr>
          <w:p>
            <w:pPr>
              <w:jc w:val="right"/>
              <w:ind w:right="98"/>
              <w:spacing w:after="0"/>
              <w:rPr>
                <w:sz w:val="20"/>
                <w:szCs w:val="20"/>
                <w:color w:val="auto"/>
              </w:rPr>
            </w:pPr>
            <w:r>
              <w:rPr>
                <w:rFonts w:ascii="Arial" w:cs="Arial" w:eastAsia="Arial" w:hAnsi="Arial"/>
                <w:sz w:val="16"/>
                <w:szCs w:val="16"/>
                <w:color w:val="auto"/>
              </w:rPr>
              <w:t>(539,644)</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(538,157)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5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(125,150)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(105,643)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Depreciation for right-of-use assets</w:t>
            </w:r>
          </w:p>
        </w:tc>
        <w:tc>
          <w:tcPr>
            <w:tcW w:w="1520" w:type="dxa"/>
            <w:vAlign w:val="bottom"/>
          </w:tcPr>
          <w:p>
            <w:pPr>
              <w:spacing w:after="0"/>
              <w:rPr>
                <w:sz w:val="17"/>
                <w:szCs w:val="17"/>
                <w:color w:val="auto"/>
              </w:rPr>
            </w:pPr>
          </w:p>
        </w:tc>
        <w:tc>
          <w:tcPr>
            <w:tcW w:w="1460" w:type="dxa"/>
            <w:vAlign w:val="bottom"/>
            <w:gridSpan w:val="2"/>
          </w:tcPr>
          <w:p>
            <w:pPr>
              <w:jc w:val="right"/>
              <w:ind w:right="98"/>
              <w:spacing w:after="0"/>
              <w:rPr>
                <w:sz w:val="20"/>
                <w:szCs w:val="20"/>
                <w:color w:val="auto"/>
              </w:rPr>
            </w:pPr>
            <w:r>
              <w:rPr>
                <w:rFonts w:ascii="Arial" w:cs="Arial" w:eastAsia="Arial" w:hAnsi="Arial"/>
                <w:sz w:val="16"/>
                <w:szCs w:val="16"/>
                <w:color w:val="auto"/>
              </w:rPr>
              <w:t>(46,598)</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(25,682)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c>
          <w:tcPr>
            <w:tcW w:w="146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(176,060)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(50,177)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6"/>
                <w:szCs w:val="16"/>
                <w:b w:val="1"/>
                <w:bCs w:val="1"/>
                <w:color w:val="auto"/>
              </w:rPr>
              <w:t>Total other expenses</w:t>
            </w:r>
          </w:p>
        </w:tc>
        <w:tc>
          <w:tcPr>
            <w:tcW w:w="152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(1,778,635</w:t>
            </w:r>
          </w:p>
        </w:tc>
        <w:tc>
          <w:tcPr>
            <w:tcW w:w="240" w:type="dxa"/>
            <w:vAlign w:val="bottom"/>
          </w:tcPr>
          <w:p>
            <w:pPr>
              <w:jc w:val="right"/>
              <w:ind w:right="98"/>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(1,553,976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6920" w:type="dxa"/>
            <w:vAlign w:val="bottom"/>
            <w:tcBorders>
              <w:bottom w:val="single" w:sz="8" w:color="auto"/>
            </w:tcBorders>
          </w:tcPr>
          <w:p>
            <w:pPr>
              <w:jc w:val="right"/>
              <w:ind w:right="1098"/>
              <w:spacing w:after="0"/>
              <w:rPr>
                <w:sz w:val="20"/>
                <w:szCs w:val="20"/>
                <w:color w:val="auto"/>
              </w:rPr>
            </w:pPr>
            <w:r>
              <w:rPr>
                <w:rFonts w:ascii="Arial" w:cs="Arial" w:eastAsia="Arial" w:hAnsi="Arial"/>
                <w:sz w:val="16"/>
                <w:szCs w:val="16"/>
                <w:color w:val="auto"/>
              </w:rPr>
              <w:t>- 2 -</w:t>
            </w:r>
          </w:p>
        </w:tc>
        <w:tc>
          <w:tcPr>
            <w:tcW w:w="1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35"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080" w:type="dxa"/>
            <w:vAlign w:val="bottom"/>
            <w:gridSpan w:val="2"/>
          </w:tcPr>
          <w:p>
            <w:pPr>
              <w:spacing w:after="0"/>
              <w:rPr>
                <w:sz w:val="20"/>
                <w:szCs w:val="20"/>
                <w:color w:val="auto"/>
              </w:rPr>
            </w:pPr>
            <w:r>
              <w:rPr>
                <w:rFonts w:ascii="Arial" w:cs="Arial" w:eastAsia="Arial" w:hAnsi="Arial"/>
                <w:sz w:val="16"/>
                <w:szCs w:val="16"/>
                <w:color w:val="auto"/>
              </w:rPr>
              <w:t>Interim condensed consolidated statement of income (continued)</w:t>
            </w: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780" w:type="dxa"/>
            <w:vAlign w:val="bottom"/>
            <w:gridSpan w:val="4"/>
          </w:tcPr>
          <w:p>
            <w:pPr>
              <w:jc w:val="right"/>
              <w:ind w:right="460"/>
              <w:spacing w:after="0"/>
              <w:rPr>
                <w:sz w:val="20"/>
                <w:szCs w:val="20"/>
                <w:color w:val="auto"/>
              </w:rPr>
            </w:pPr>
            <w:r>
              <w:rPr>
                <w:rFonts w:ascii="Arial" w:cs="Arial" w:eastAsia="Arial" w:hAnsi="Arial"/>
                <w:sz w:val="16"/>
                <w:szCs w:val="16"/>
                <w:b w:val="1"/>
                <w:bCs w:val="1"/>
                <w:color w:val="auto"/>
              </w:rPr>
              <w:t>For the three-month periods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780" w:type="dxa"/>
            <w:vAlign w:val="bottom"/>
            <w:gridSpan w:val="4"/>
          </w:tcPr>
          <w:p>
            <w:pPr>
              <w:jc w:val="right"/>
              <w:ind w:right="860"/>
              <w:spacing w:after="0"/>
              <w:rPr>
                <w:sz w:val="20"/>
                <w:szCs w:val="20"/>
                <w:color w:val="auto"/>
              </w:rPr>
            </w:pPr>
            <w:r>
              <w:rPr>
                <w:rFonts w:ascii="Arial" w:cs="Arial" w:eastAsia="Arial" w:hAnsi="Arial"/>
                <w:sz w:val="16"/>
                <w:szCs w:val="16"/>
                <w:b w:val="1"/>
                <w:bCs w:val="1"/>
                <w:color w:val="auto"/>
              </w:rPr>
              <w:t>ended March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Profit before income tax</w:t>
            </w:r>
          </w:p>
        </w:tc>
        <w:tc>
          <w:tcPr>
            <w:tcW w:w="13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358,974</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1,545,429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6"/>
                <w:szCs w:val="16"/>
                <w:color w:val="auto"/>
              </w:rPr>
              <w:t>Income tax</w:t>
            </w:r>
          </w:p>
        </w:tc>
        <w:tc>
          <w:tcPr>
            <w:tcW w:w="13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(145,799)</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(422,165)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profit</w:t>
            </w:r>
          </w:p>
        </w:tc>
        <w:tc>
          <w:tcPr>
            <w:tcW w:w="13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213,175</w:t>
            </w:r>
          </w:p>
        </w:tc>
        <w:tc>
          <w:tcPr>
            <w:tcW w:w="2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1,123,264</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Attributable to:</w:t>
            </w:r>
          </w:p>
        </w:tc>
        <w:tc>
          <w:tcPr>
            <w:tcW w:w="1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60" w:type="dxa"/>
            <w:vAlign w:val="bottom"/>
          </w:tcPr>
          <w:p>
            <w:pPr>
              <w:spacing w:after="0"/>
              <w:rPr>
                <w:sz w:val="20"/>
                <w:szCs w:val="20"/>
                <w:color w:val="auto"/>
              </w:rPr>
            </w:pPr>
            <w:r>
              <w:rPr>
                <w:rFonts w:ascii="Arial" w:cs="Arial" w:eastAsia="Arial" w:hAnsi="Arial"/>
                <w:sz w:val="16"/>
                <w:szCs w:val="16"/>
                <w:color w:val="auto"/>
              </w:rPr>
              <w:t>Credicorp’s equity holders</w:t>
            </w:r>
          </w:p>
        </w:tc>
        <w:tc>
          <w:tcPr>
            <w:tcW w:w="138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209,274</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1,100,867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1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3,901</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22,397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213,175</w:t>
            </w:r>
          </w:p>
        </w:tc>
        <w:tc>
          <w:tcPr>
            <w:tcW w:w="24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1,123,264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060" w:type="dxa"/>
            <w:vAlign w:val="bottom"/>
          </w:tcPr>
          <w:p>
            <w:pPr>
              <w:spacing w:after="0"/>
              <w:rPr>
                <w:sz w:val="20"/>
                <w:szCs w:val="20"/>
                <w:color w:val="auto"/>
              </w:rPr>
            </w:pPr>
            <w:r>
              <w:rPr>
                <w:rFonts w:ascii="Arial" w:cs="Arial" w:eastAsia="Arial" w:hAnsi="Arial"/>
                <w:sz w:val="16"/>
                <w:szCs w:val="16"/>
                <w:b w:val="1"/>
                <w:bCs w:val="1"/>
                <w:color w:val="auto"/>
                <w:w w:val="98"/>
              </w:rPr>
              <w:t>Net basic and dilutive earnings per share attributable to Credicorp's equity holders (in Soles):</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060" w:type="dxa"/>
            <w:vAlign w:val="bottom"/>
          </w:tcPr>
          <w:p>
            <w:pPr>
              <w:spacing w:after="0"/>
              <w:rPr>
                <w:sz w:val="20"/>
                <w:szCs w:val="20"/>
                <w:color w:val="auto"/>
              </w:rPr>
            </w:pPr>
            <w:r>
              <w:rPr>
                <w:rFonts w:ascii="Arial" w:cs="Arial" w:eastAsia="Arial" w:hAnsi="Arial"/>
                <w:sz w:val="16"/>
                <w:szCs w:val="16"/>
                <w:color w:val="auto"/>
              </w:rPr>
              <w:t>Basic</w:t>
            </w:r>
          </w:p>
        </w:tc>
        <w:tc>
          <w:tcPr>
            <w:tcW w:w="1380" w:type="dxa"/>
            <w:vAlign w:val="bottom"/>
          </w:tcPr>
          <w:p>
            <w:pPr>
              <w:jc w:val="right"/>
              <w:ind w:right="618"/>
              <w:spacing w:after="0"/>
              <w:rPr>
                <w:sz w:val="20"/>
                <w:szCs w:val="20"/>
                <w:color w:val="auto"/>
              </w:rPr>
            </w:pPr>
            <w:r>
              <w:rPr>
                <w:rFonts w:ascii="Arial" w:cs="Arial" w:eastAsia="Arial" w:hAnsi="Arial"/>
                <w:sz w:val="16"/>
                <w:szCs w:val="16"/>
                <w:color w:val="auto"/>
              </w:rPr>
              <w:t>30</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2.64</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13.86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Diluted</w:t>
            </w:r>
          </w:p>
        </w:tc>
        <w:tc>
          <w:tcPr>
            <w:tcW w:w="1380" w:type="dxa"/>
            <w:vAlign w:val="bottom"/>
            <w:shd w:val="clear" w:color="auto" w:fill="CCEEFF"/>
          </w:tcPr>
          <w:p>
            <w:pPr>
              <w:jc w:val="right"/>
              <w:ind w:right="618"/>
              <w:spacing w:after="0"/>
              <w:rPr>
                <w:sz w:val="20"/>
                <w:szCs w:val="20"/>
                <w:color w:val="auto"/>
              </w:rPr>
            </w:pPr>
            <w:r>
              <w:rPr>
                <w:rFonts w:ascii="Arial" w:cs="Arial" w:eastAsia="Arial" w:hAnsi="Arial"/>
                <w:sz w:val="16"/>
                <w:szCs w:val="16"/>
                <w:color w:val="auto"/>
              </w:rPr>
              <w:t>30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2.63</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13.84</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2"/>
        </w:trPr>
        <w:tc>
          <w:tcPr>
            <w:tcW w:w="8440" w:type="dxa"/>
            <w:vAlign w:val="bottom"/>
          </w:tcPr>
          <w:p>
            <w:pPr>
              <w:spacing w:after="0"/>
              <w:rPr>
                <w:sz w:val="20"/>
                <w:szCs w:val="20"/>
                <w:color w:val="auto"/>
              </w:rPr>
            </w:pPr>
            <w:r>
              <w:rPr>
                <w:rFonts w:ascii="Arial" w:cs="Arial" w:eastAsia="Arial" w:hAnsi="Arial"/>
                <w:sz w:val="16"/>
                <w:szCs w:val="16"/>
                <w:b w:val="1"/>
                <w:bCs w:val="1"/>
                <w:color w:val="auto"/>
              </w:rPr>
              <w:t>CREDICORP LTD. AND SUBSIDIARIES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2"/>
        </w:trPr>
        <w:tc>
          <w:tcPr>
            <w:tcW w:w="8440" w:type="dxa"/>
            <w:vAlign w:val="bottom"/>
          </w:tcPr>
          <w:p>
            <w:pPr>
              <w:spacing w:after="0"/>
              <w:rPr>
                <w:sz w:val="20"/>
                <w:szCs w:val="20"/>
                <w:color w:val="auto"/>
              </w:rPr>
            </w:pPr>
            <w:r>
              <w:rPr>
                <w:rFonts w:ascii="Arial" w:cs="Arial" w:eastAsia="Arial" w:hAnsi="Arial"/>
                <w:sz w:val="16"/>
                <w:szCs w:val="16"/>
                <w:color w:val="auto"/>
              </w:rPr>
              <w:t>Interim condensed consolidated statement of comprehensive income</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8440" w:type="dxa"/>
            <w:vAlign w:val="bottom"/>
          </w:tcPr>
          <w:p>
            <w:pPr>
              <w:spacing w:after="0"/>
              <w:rPr>
                <w:sz w:val="20"/>
                <w:szCs w:val="20"/>
                <w:color w:val="auto"/>
              </w:rPr>
            </w:pPr>
            <w:r>
              <w:rPr>
                <w:rFonts w:ascii="Arial" w:cs="Arial" w:eastAsia="Arial" w:hAnsi="Arial"/>
                <w:sz w:val="16"/>
                <w:szCs w:val="16"/>
                <w:color w:val="auto"/>
              </w:rPr>
              <w:t>For the three-month periods ended March 31, 2020 and 2019 (unaudited)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8"/>
        </w:trPr>
        <w:tc>
          <w:tcPr>
            <w:tcW w:w="8440" w:type="dxa"/>
            <w:vAlign w:val="bottom"/>
          </w:tcPr>
          <w:p>
            <w:pPr>
              <w:spacing w:after="0"/>
              <w:rPr>
                <w:sz w:val="24"/>
                <w:szCs w:val="24"/>
                <w:color w:val="auto"/>
              </w:rPr>
            </w:pPr>
          </w:p>
        </w:tc>
        <w:tc>
          <w:tcPr>
            <w:tcW w:w="28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2"/>
              </w:rPr>
              <w:t>For the three-month periods</w:t>
            </w:r>
          </w:p>
        </w:tc>
      </w:tr>
      <w:tr>
        <w:trPr>
          <w:trHeight w:val="212"/>
        </w:trPr>
        <w:tc>
          <w:tcPr>
            <w:tcW w:w="8440" w:type="dxa"/>
            <w:vAlign w:val="bottom"/>
          </w:tcPr>
          <w:p>
            <w:pPr>
              <w:spacing w:after="0"/>
              <w:rPr>
                <w:sz w:val="18"/>
                <w:szCs w:val="18"/>
                <w:color w:val="auto"/>
              </w:rPr>
            </w:pPr>
          </w:p>
        </w:tc>
        <w:tc>
          <w:tcPr>
            <w:tcW w:w="28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4"/>
              </w:rPr>
              <w:t>ended March 31,</w:t>
            </w:r>
          </w:p>
        </w:tc>
      </w:tr>
      <w:tr>
        <w:trPr>
          <w:trHeight w:val="202"/>
        </w:trPr>
        <w:tc>
          <w:tcPr>
            <w:tcW w:w="844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r>
      <w:tr>
        <w:trPr>
          <w:trHeight w:val="189"/>
        </w:trPr>
        <w:tc>
          <w:tcPr>
            <w:tcW w:w="844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2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100" w:type="dxa"/>
            <w:vAlign w:val="bottom"/>
          </w:tcPr>
          <w:p>
            <w:pPr>
              <w:spacing w:after="0"/>
              <w:rPr>
                <w:sz w:val="16"/>
                <w:szCs w:val="16"/>
                <w:color w:val="auto"/>
              </w:rPr>
            </w:pPr>
          </w:p>
        </w:tc>
      </w:tr>
      <w:tr>
        <w:trPr>
          <w:trHeight w:val="197"/>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profit for the period</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213,175</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1,123,264</w:t>
            </w:r>
          </w:p>
        </w:tc>
      </w:tr>
      <w:tr>
        <w:trPr>
          <w:trHeight w:val="197"/>
        </w:trPr>
        <w:tc>
          <w:tcPr>
            <w:tcW w:w="844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 be reclassified to profit or loss in subsequent periods:</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sectPr>
          <w:pgSz w:w="11900" w:h="16838" w:orient="portrait"/>
          <w:cols w:equalWidth="0" w:num="1">
            <w:col w:w="11240"/>
          </w:cols>
          <w:pgMar w:left="320" w:top="1032" w:right="339" w:bottom="1440" w:gutter="0" w:footer="0" w:header="0"/>
        </w:sectPr>
      </w:pPr>
    </w:p>
    <w:p>
      <w:pPr>
        <w:ind w:left="140" w:right="2280"/>
        <w:spacing w:after="0" w:line="287" w:lineRule="auto"/>
        <w:rPr>
          <w:sz w:val="20"/>
          <w:szCs w:val="20"/>
          <w:color w:val="auto"/>
        </w:rPr>
      </w:pPr>
      <w:r>
        <w:rPr>
          <w:rFonts w:ascii="Arial" w:cs="Arial" w:eastAsia="Arial" w:hAnsi="Arial"/>
          <w:sz w:val="16"/>
          <w:szCs w:val="16"/>
          <w:color w:val="auto"/>
        </w:rPr>
        <w:t>Net (loss) gain on investments at fair value through other comprehensive income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-271145</wp:posOffset>
            </wp:positionV>
            <wp:extent cx="7144385" cy="125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-13335</wp:posOffset>
            </wp:positionV>
            <wp:extent cx="7144385" cy="132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4385" cy="132715"/>
                    </a:xfrm>
                    <a:prstGeom prst="rect">
                      <a:avLst/>
                    </a:prstGeom>
                    <a:noFill/>
                  </pic:spPr>
                </pic:pic>
              </a:graphicData>
            </a:graphic>
          </wp:anchor>
        </w:drawing>
      </w:r>
    </w:p>
    <w:p>
      <w:pPr>
        <w:spacing w:after="0" w:line="35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movement on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144385" cy="125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7144385" cy="132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4385" cy="132715"/>
                    </a:xfrm>
                    <a:prstGeom prst="rect">
                      <a:avLst/>
                    </a:prstGeom>
                    <a:noFill/>
                  </pic:spPr>
                </pic:pic>
              </a:graphicData>
            </a:graphic>
          </wp:anchor>
        </w:drawing>
      </w:r>
    </w:p>
    <w:p>
      <w:pPr>
        <w:spacing w:after="0" w:line="39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144385" cy="132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4385" cy="1327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156210</wp:posOffset>
            </wp:positionV>
            <wp:extent cx="7144385" cy="125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Exchange differences on translation of foreign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4385" cy="132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4385" cy="13271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144385" cy="132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4385" cy="132715"/>
                    </a:xfrm>
                    <a:prstGeom prst="rect">
                      <a:avLst/>
                    </a:prstGeom>
                    <a:noFill/>
                  </pic:spPr>
                </pic:pic>
              </a:graphicData>
            </a:graphic>
          </wp:anchor>
        </w:drawing>
      </w:r>
    </w:p>
    <w:p>
      <w:pPr>
        <w:spacing w:after="0" w:line="21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Not to be reclassified to profit or loss in subsequent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144385" cy="125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480" w:type="dxa"/>
            <w:vAlign w:val="bottom"/>
            <w:gridSpan w:val="2"/>
          </w:tcPr>
          <w:p>
            <w:pPr>
              <w:jc w:val="right"/>
              <w:ind w:right="98"/>
              <w:spacing w:after="0"/>
              <w:rPr>
                <w:sz w:val="20"/>
                <w:szCs w:val="20"/>
                <w:color w:val="auto"/>
              </w:rPr>
            </w:pPr>
            <w:r>
              <w:rPr>
                <w:rFonts w:ascii="Arial" w:cs="Arial" w:eastAsia="Arial" w:hAnsi="Arial"/>
                <w:sz w:val="16"/>
                <w:szCs w:val="16"/>
                <w:color w:val="auto"/>
              </w:rPr>
              <w:t>(990,349)</w:t>
            </w:r>
          </w:p>
        </w:tc>
        <w:tc>
          <w:tcPr>
            <w:tcW w:w="1220" w:type="dxa"/>
            <w:vAlign w:val="bottom"/>
          </w:tcPr>
          <w:p>
            <w:pPr>
              <w:jc w:val="right"/>
              <w:spacing w:after="0"/>
              <w:rPr>
                <w:sz w:val="20"/>
                <w:szCs w:val="20"/>
                <w:color w:val="auto"/>
              </w:rPr>
            </w:pPr>
            <w:r>
              <w:rPr>
                <w:rFonts w:ascii="Arial" w:cs="Arial" w:eastAsia="Arial" w:hAnsi="Arial"/>
                <w:sz w:val="16"/>
                <w:szCs w:val="16"/>
                <w:color w:val="auto"/>
              </w:rPr>
              <w:t>308,328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80" w:type="dxa"/>
            <w:vAlign w:val="bottom"/>
            <w:gridSpan w:val="2"/>
          </w:tcPr>
          <w:p>
            <w:pPr>
              <w:jc w:val="right"/>
              <w:ind w:right="138"/>
              <w:spacing w:after="0"/>
              <w:rPr>
                <w:sz w:val="20"/>
                <w:szCs w:val="20"/>
                <w:color w:val="auto"/>
              </w:rPr>
            </w:pPr>
            <w:r>
              <w:rPr>
                <w:rFonts w:ascii="Arial" w:cs="Arial" w:eastAsia="Arial" w:hAnsi="Arial"/>
                <w:sz w:val="16"/>
                <w:szCs w:val="16"/>
                <w:color w:val="auto"/>
              </w:rPr>
              <w:t>56,367</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(11,008)</w:t>
            </w:r>
          </w:p>
        </w:tc>
        <w:tc>
          <w:tcPr>
            <w:tcW w:w="0" w:type="dxa"/>
            <w:vAlign w:val="bottom"/>
          </w:tcPr>
          <w:p>
            <w:pPr>
              <w:spacing w:after="0"/>
              <w:rPr>
                <w:sz w:val="1"/>
                <w:szCs w:val="1"/>
                <w:color w:val="auto"/>
              </w:rPr>
            </w:pPr>
          </w:p>
        </w:tc>
      </w:tr>
      <w:tr>
        <w:trPr>
          <w:trHeight w:val="201"/>
        </w:trPr>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(933,982)</w:t>
            </w:r>
          </w:p>
        </w:tc>
        <w:tc>
          <w:tcPr>
            <w:tcW w:w="24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297,320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1480" w:type="dxa"/>
            <w:vAlign w:val="bottom"/>
            <w:gridSpan w:val="2"/>
          </w:tcPr>
          <w:p>
            <w:pPr>
              <w:jc w:val="right"/>
              <w:ind w:right="98"/>
              <w:spacing w:after="0"/>
              <w:rPr>
                <w:sz w:val="20"/>
                <w:szCs w:val="20"/>
                <w:color w:val="auto"/>
              </w:rPr>
            </w:pPr>
            <w:r>
              <w:rPr>
                <w:rFonts w:ascii="Arial" w:cs="Arial" w:eastAsia="Arial" w:hAnsi="Arial"/>
                <w:sz w:val="16"/>
                <w:szCs w:val="16"/>
                <w:color w:val="auto"/>
              </w:rPr>
              <w:t>(18,718)</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(11,077)</w:t>
            </w:r>
          </w:p>
        </w:tc>
        <w:tc>
          <w:tcPr>
            <w:tcW w:w="0" w:type="dxa"/>
            <w:vAlign w:val="bottom"/>
          </w:tcPr>
          <w:p>
            <w:pPr>
              <w:spacing w:after="0"/>
              <w:rPr>
                <w:sz w:val="1"/>
                <w:szCs w:val="1"/>
                <w:color w:val="auto"/>
              </w:rPr>
            </w:pPr>
          </w:p>
        </w:tc>
      </w:tr>
      <w:tr>
        <w:trPr>
          <w:trHeight w:val="209"/>
        </w:trPr>
        <w:tc>
          <w:tcPr>
            <w:tcW w:w="1480" w:type="dxa"/>
            <w:vAlign w:val="bottom"/>
            <w:gridSpan w:val="2"/>
          </w:tcPr>
          <w:p>
            <w:pPr>
              <w:jc w:val="right"/>
              <w:ind w:right="158"/>
              <w:spacing w:after="0"/>
              <w:rPr>
                <w:sz w:val="20"/>
                <w:szCs w:val="20"/>
                <w:color w:val="auto"/>
              </w:rPr>
            </w:pPr>
            <w:r>
              <w:rPr>
                <w:rFonts w:ascii="Arial" w:cs="Arial" w:eastAsia="Arial" w:hAnsi="Arial"/>
                <w:sz w:val="16"/>
                <w:szCs w:val="16"/>
                <w:color w:val="auto"/>
              </w:rPr>
              <w:t>5,229</w:t>
            </w:r>
          </w:p>
        </w:tc>
        <w:tc>
          <w:tcPr>
            <w:tcW w:w="1220" w:type="dxa"/>
            <w:vAlign w:val="bottom"/>
          </w:tcPr>
          <w:p>
            <w:pPr>
              <w:jc w:val="right"/>
              <w:spacing w:after="0"/>
              <w:rPr>
                <w:sz w:val="20"/>
                <w:szCs w:val="20"/>
                <w:color w:val="auto"/>
              </w:rPr>
            </w:pPr>
            <w:r>
              <w:rPr>
                <w:rFonts w:ascii="Arial" w:cs="Arial" w:eastAsia="Arial" w:hAnsi="Arial"/>
                <w:sz w:val="16"/>
                <w:szCs w:val="16"/>
                <w:color w:val="auto"/>
              </w:rPr>
              <w:t>3,066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(13,489)</w:t>
            </w:r>
          </w:p>
        </w:tc>
        <w:tc>
          <w:tcPr>
            <w:tcW w:w="24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(8,011)</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1480" w:type="dxa"/>
            <w:vAlign w:val="bottom"/>
            <w:gridSpan w:val="2"/>
          </w:tcPr>
          <w:p>
            <w:pPr>
              <w:jc w:val="right"/>
              <w:ind w:right="158"/>
              <w:spacing w:after="0"/>
              <w:rPr>
                <w:sz w:val="20"/>
                <w:szCs w:val="20"/>
                <w:color w:val="auto"/>
              </w:rPr>
            </w:pPr>
            <w:r>
              <w:rPr>
                <w:rFonts w:ascii="Arial" w:cs="Arial" w:eastAsia="Arial" w:hAnsi="Arial"/>
                <w:sz w:val="16"/>
                <w:szCs w:val="16"/>
                <w:color w:val="auto"/>
              </w:rPr>
              <w:t>168,315</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168,315</w:t>
            </w:r>
          </w:p>
        </w:tc>
        <w:tc>
          <w:tcPr>
            <w:tcW w:w="24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1480" w:type="dxa"/>
            <w:vAlign w:val="bottom"/>
            <w:gridSpan w:val="2"/>
          </w:tcPr>
          <w:p>
            <w:pPr>
              <w:jc w:val="right"/>
              <w:ind w:right="98"/>
              <w:spacing w:after="0"/>
              <w:rPr>
                <w:sz w:val="20"/>
                <w:szCs w:val="20"/>
                <w:color w:val="auto"/>
              </w:rPr>
            </w:pPr>
            <w:r>
              <w:rPr>
                <w:rFonts w:ascii="Arial" w:cs="Arial" w:eastAsia="Arial" w:hAnsi="Arial"/>
                <w:sz w:val="16"/>
                <w:szCs w:val="16"/>
                <w:color w:val="auto"/>
              </w:rPr>
              <w:t>(60,068)</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(30,614)</w:t>
            </w:r>
          </w:p>
        </w:tc>
        <w:tc>
          <w:tcPr>
            <w:tcW w:w="0" w:type="dxa"/>
            <w:vAlign w:val="bottom"/>
          </w:tcPr>
          <w:p>
            <w:pPr>
              <w:spacing w:after="0"/>
              <w:rPr>
                <w:sz w:val="1"/>
                <w:szCs w:val="1"/>
                <w:color w:val="auto"/>
              </w:rPr>
            </w:pPr>
          </w:p>
        </w:tc>
      </w:tr>
      <w:tr>
        <w:trPr>
          <w:trHeight w:val="201"/>
        </w:trPr>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(60,068)</w:t>
            </w:r>
          </w:p>
        </w:tc>
        <w:tc>
          <w:tcPr>
            <w:tcW w:w="240" w:type="dxa"/>
            <w:vAlign w:val="bottom"/>
          </w:tcPr>
          <w:p>
            <w:pPr>
              <w:spacing w:after="0"/>
              <w:rPr>
                <w:sz w:val="17"/>
                <w:szCs w:val="17"/>
                <w:color w:val="auto"/>
              </w:rPr>
            </w:pPr>
          </w:p>
        </w:tc>
        <w:tc>
          <w:tcPr>
            <w:tcW w:w="1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(30,614)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40" w:type="dxa"/>
            <w:vAlign w:val="bottom"/>
            <w:tcBorders>
              <w:bottom w:val="single" w:sz="8" w:color="auto"/>
            </w:tcBorders>
          </w:tcPr>
          <w:p>
            <w:pPr>
              <w:spacing w:after="0"/>
              <w:rPr>
                <w:sz w:val="17"/>
                <w:szCs w:val="17"/>
                <w:color w:val="auto"/>
              </w:rPr>
            </w:pPr>
          </w:p>
        </w:tc>
        <w:tc>
          <w:tcPr>
            <w:tcW w:w="240" w:type="dxa"/>
            <w:vAlign w:val="bottom"/>
            <w:vMerge w:val="restart"/>
          </w:tcPr>
          <w:p>
            <w:pPr>
              <w:jc w:val="right"/>
              <w:ind w:right="98"/>
              <w:spacing w:after="0"/>
              <w:rPr>
                <w:sz w:val="20"/>
                <w:szCs w:val="20"/>
                <w:color w:val="auto"/>
              </w:rPr>
            </w:pPr>
            <w:r>
              <w:rPr>
                <w:rFonts w:ascii="Arial" w:cs="Arial" w:eastAsia="Arial" w:hAnsi="Arial"/>
                <w:sz w:val="16"/>
                <w:szCs w:val="16"/>
                <w:color w:val="auto"/>
                <w:w w:val="74"/>
              </w:rPr>
              <w:t>)</w:t>
            </w:r>
          </w:p>
        </w:tc>
        <w:tc>
          <w:tcPr>
            <w:tcW w:w="12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(839,224</w:t>
            </w:r>
          </w:p>
        </w:tc>
        <w:tc>
          <w:tcPr>
            <w:tcW w:w="240" w:type="dxa"/>
            <w:vAlign w:val="bottom"/>
            <w:vMerge w:val="continue"/>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258,695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64" w:lineRule="exact"/>
        <w:rPr>
          <w:sz w:val="20"/>
          <w:szCs w:val="20"/>
          <w:color w:val="auto"/>
        </w:rPr>
      </w:pPr>
    </w:p>
    <w:p>
      <w:pPr>
        <w:sectPr>
          <w:pgSz w:w="11900" w:h="16838" w:orient="portrait"/>
          <w:cols w:equalWidth="0" w:num="2">
            <w:col w:w="7720" w:space="720"/>
            <w:col w:w="2800"/>
          </w:cols>
          <w:pgMar w:left="320" w:top="1032" w:right="339" w:bottom="1440" w:gutter="0" w:footer="0" w:header="0"/>
          <w:type w:val="continuous"/>
        </w:sectPr>
      </w:pP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8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gain in equity instruments designated at fair value through other comprehensive income</w:t>
            </w:r>
          </w:p>
        </w:tc>
        <w:tc>
          <w:tcPr>
            <w:tcW w:w="14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96,090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167,607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tcPr>
          <w:p>
            <w:pPr>
              <w:ind w:left="120"/>
              <w:spacing w:after="0"/>
              <w:rPr>
                <w:sz w:val="20"/>
                <w:szCs w:val="20"/>
                <w:color w:val="auto"/>
              </w:rPr>
            </w:pPr>
            <w:r>
              <w:rPr>
                <w:rFonts w:ascii="Arial" w:cs="Arial" w:eastAsia="Arial" w:hAnsi="Arial"/>
                <w:sz w:val="16"/>
                <w:szCs w:val="16"/>
                <w:color w:val="auto"/>
              </w:rPr>
              <w:t>Income tax</w:t>
            </w:r>
          </w:p>
        </w:tc>
        <w:tc>
          <w:tcPr>
            <w:tcW w:w="1480" w:type="dxa"/>
            <w:vAlign w:val="bottom"/>
            <w:gridSpan w:val="2"/>
          </w:tcPr>
          <w:p>
            <w:pPr>
              <w:jc w:val="right"/>
              <w:ind w:right="158"/>
              <w:spacing w:after="0"/>
              <w:rPr>
                <w:sz w:val="20"/>
                <w:szCs w:val="20"/>
                <w:color w:val="auto"/>
              </w:rPr>
            </w:pPr>
            <w:r>
              <w:rPr>
                <w:rFonts w:ascii="Arial" w:cs="Arial" w:eastAsia="Arial" w:hAnsi="Arial"/>
                <w:sz w:val="16"/>
                <w:szCs w:val="16"/>
                <w:color w:val="auto"/>
              </w:rPr>
              <w:t>4,402</w:t>
            </w:r>
          </w:p>
        </w:tc>
        <w:tc>
          <w:tcPr>
            <w:tcW w:w="1320" w:type="dxa"/>
            <w:vAlign w:val="bottom"/>
            <w:gridSpan w:val="3"/>
          </w:tcPr>
          <w:p>
            <w:pPr>
              <w:jc w:val="right"/>
              <w:ind w:right="40"/>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100,492</w:t>
            </w:r>
          </w:p>
        </w:tc>
        <w:tc>
          <w:tcPr>
            <w:tcW w:w="2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167,037</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2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Total</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100,492</w:t>
            </w:r>
          </w:p>
        </w:tc>
        <w:tc>
          <w:tcPr>
            <w:tcW w:w="24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167,037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other comprehensive income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(738,732</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425,732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restart"/>
          </w:tcPr>
          <w:p>
            <w:pPr>
              <w:spacing w:after="0"/>
              <w:rPr>
                <w:sz w:val="15"/>
                <w:szCs w:val="15"/>
                <w:color w:val="auto"/>
              </w:rPr>
            </w:pPr>
          </w:p>
        </w:tc>
        <w:tc>
          <w:tcPr>
            <w:tcW w:w="8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comprehensive income for the period, net of income tax</w:t>
            </w:r>
          </w:p>
        </w:tc>
        <w:tc>
          <w:tcPr>
            <w:tcW w:w="148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(525,557)</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1,548,996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Attributable to:</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Credicorp's equity holders</w:t>
            </w:r>
          </w:p>
        </w:tc>
        <w:tc>
          <w:tcPr>
            <w:tcW w:w="1480" w:type="dxa"/>
            <w:vAlign w:val="bottom"/>
            <w:gridSpan w:val="2"/>
          </w:tcPr>
          <w:p>
            <w:pPr>
              <w:jc w:val="right"/>
              <w:ind w:right="98"/>
              <w:spacing w:after="0"/>
              <w:rPr>
                <w:sz w:val="20"/>
                <w:szCs w:val="20"/>
                <w:color w:val="auto"/>
              </w:rPr>
            </w:pPr>
            <w:r>
              <w:rPr>
                <w:rFonts w:ascii="Arial" w:cs="Arial" w:eastAsia="Arial" w:hAnsi="Arial"/>
                <w:sz w:val="16"/>
                <w:szCs w:val="16"/>
                <w:color w:val="auto"/>
              </w:rPr>
              <w:t>(519,350)</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1,521,298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148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(6,207)</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27,698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4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(525,557</w:t>
            </w:r>
          </w:p>
        </w:tc>
        <w:tc>
          <w:tcPr>
            <w:tcW w:w="240" w:type="dxa"/>
            <w:vAlign w:val="bottom"/>
          </w:tcPr>
          <w:p>
            <w:pPr>
              <w:jc w:val="right"/>
              <w:ind w:right="98"/>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1,548,996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CREDICORP LTD.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Interim condensed consolidated statement of changes in net equity</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For the three-month periods ended March 31, 2020 and 2019 (unaudited)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1"/>
                <w:szCs w:val="11"/>
                <w:b w:val="1"/>
                <w:bCs w:val="1"/>
                <w:color w:val="auto"/>
              </w:rPr>
              <w:t>Attributable to Credicorp's equity holders</w:t>
            </w: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1"/>
                <w:szCs w:val="11"/>
                <w:b w:val="1"/>
                <w:bCs w:val="1"/>
                <w:color w:val="auto"/>
              </w:rPr>
              <w:t>Other reserves</w:t>
            </w:r>
          </w:p>
        </w:tc>
        <w:tc>
          <w:tcPr>
            <w:tcW w:w="5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gridSpan w:val="2"/>
          </w:tcPr>
          <w:p>
            <w:pPr>
              <w:jc w:val="center"/>
              <w:ind w:right="160"/>
              <w:spacing w:after="0" w:line="100" w:lineRule="exact"/>
              <w:rPr>
                <w:sz w:val="20"/>
                <w:szCs w:val="20"/>
                <w:color w:val="auto"/>
              </w:rPr>
            </w:pPr>
            <w:r>
              <w:rPr>
                <w:rFonts w:ascii="Arial" w:cs="Arial" w:eastAsia="Arial" w:hAnsi="Arial"/>
                <w:sz w:val="11"/>
                <w:szCs w:val="11"/>
                <w:b w:val="1"/>
                <w:bCs w:val="1"/>
                <w:color w:val="auto"/>
                <w:w w:val="95"/>
              </w:rPr>
              <w:t>Instruments</w:t>
            </w: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200"/>
              <w:spacing w:after="0" w:line="123" w:lineRule="exact"/>
              <w:rPr>
                <w:sz w:val="20"/>
                <w:szCs w:val="20"/>
                <w:color w:val="auto"/>
              </w:rPr>
            </w:pPr>
            <w:r>
              <w:rPr>
                <w:rFonts w:ascii="Arial" w:cs="Arial" w:eastAsia="Arial" w:hAnsi="Arial"/>
                <w:sz w:val="11"/>
                <w:szCs w:val="11"/>
                <w:b w:val="1"/>
                <w:bCs w:val="1"/>
                <w:color w:val="auto"/>
                <w:w w:val="97"/>
              </w:rPr>
              <w:t>that will</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gridSpan w:val="5"/>
          </w:tcPr>
          <w:p>
            <w:pPr>
              <w:jc w:val="center"/>
              <w:ind w:right="160"/>
              <w:spacing w:after="0" w:line="123" w:lineRule="exact"/>
              <w:rPr>
                <w:sz w:val="20"/>
                <w:szCs w:val="20"/>
                <w:color w:val="auto"/>
              </w:rPr>
            </w:pPr>
            <w:r>
              <w:rPr>
                <w:rFonts w:ascii="Arial" w:cs="Arial" w:eastAsia="Arial" w:hAnsi="Arial"/>
                <w:sz w:val="11"/>
                <w:szCs w:val="11"/>
                <w:b w:val="1"/>
                <w:bCs w:val="1"/>
                <w:color w:val="auto"/>
                <w:w w:val="94"/>
              </w:rPr>
              <w:t>Instruments that will be</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180"/>
              <w:spacing w:after="0" w:line="123" w:lineRule="exact"/>
              <w:rPr>
                <w:sz w:val="20"/>
                <w:szCs w:val="20"/>
                <w:color w:val="auto"/>
              </w:rPr>
            </w:pPr>
            <w:r>
              <w:rPr>
                <w:rFonts w:ascii="Arial" w:cs="Arial" w:eastAsia="Arial" w:hAnsi="Arial"/>
                <w:sz w:val="11"/>
                <w:szCs w:val="11"/>
                <w:b w:val="1"/>
                <w:bCs w:val="1"/>
                <w:color w:val="auto"/>
                <w:w w:val="90"/>
              </w:rPr>
              <w:t>not be</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gridSpan w:val="5"/>
          </w:tcPr>
          <w:p>
            <w:pPr>
              <w:jc w:val="center"/>
              <w:ind w:right="160"/>
              <w:spacing w:after="0" w:line="123" w:lineRule="exact"/>
              <w:rPr>
                <w:sz w:val="20"/>
                <w:szCs w:val="20"/>
                <w:color w:val="auto"/>
              </w:rPr>
            </w:pPr>
            <w:r>
              <w:rPr>
                <w:rFonts w:ascii="Arial" w:cs="Arial" w:eastAsia="Arial" w:hAnsi="Arial"/>
                <w:sz w:val="11"/>
                <w:szCs w:val="11"/>
                <w:b w:val="1"/>
                <w:bCs w:val="1"/>
                <w:color w:val="auto"/>
                <w:w w:val="93"/>
              </w:rPr>
              <w:t>reclassified to the interim</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160"/>
              <w:spacing w:after="0" w:line="123" w:lineRule="exact"/>
              <w:rPr>
                <w:sz w:val="20"/>
                <w:szCs w:val="20"/>
                <w:color w:val="auto"/>
              </w:rPr>
            </w:pPr>
            <w:r>
              <w:rPr>
                <w:rFonts w:ascii="Arial" w:cs="Arial" w:eastAsia="Arial" w:hAnsi="Arial"/>
                <w:sz w:val="11"/>
                <w:szCs w:val="11"/>
                <w:b w:val="1"/>
                <w:bCs w:val="1"/>
                <w:color w:val="auto"/>
                <w:w w:val="92"/>
              </w:rPr>
              <w:t>reclassified</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gridSpan w:val="5"/>
          </w:tcPr>
          <w:p>
            <w:pPr>
              <w:jc w:val="center"/>
              <w:ind w:right="160"/>
              <w:spacing w:after="0" w:line="123" w:lineRule="exact"/>
              <w:rPr>
                <w:sz w:val="20"/>
                <w:szCs w:val="20"/>
                <w:color w:val="auto"/>
              </w:rPr>
            </w:pPr>
            <w:r>
              <w:rPr>
                <w:rFonts w:ascii="Arial" w:cs="Arial" w:eastAsia="Arial" w:hAnsi="Arial"/>
                <w:sz w:val="11"/>
                <w:szCs w:val="11"/>
                <w:b w:val="1"/>
                <w:bCs w:val="1"/>
                <w:color w:val="auto"/>
                <w:w w:val="89"/>
              </w:rPr>
              <w:t>condensed consolidated</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jc w:val="right"/>
              <w:ind w:right="320"/>
              <w:spacing w:after="0"/>
              <w:rPr>
                <w:sz w:val="20"/>
                <w:szCs w:val="20"/>
                <w:color w:val="auto"/>
              </w:rPr>
            </w:pPr>
            <w:r>
              <w:rPr>
                <w:rFonts w:ascii="Arial" w:cs="Arial" w:eastAsia="Arial" w:hAnsi="Arial"/>
                <w:sz w:val="11"/>
                <w:szCs w:val="11"/>
                <w:b w:val="1"/>
                <w:bCs w:val="1"/>
                <w:color w:val="auto"/>
              </w:rPr>
              <w:t>Treasury stock</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to income</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4"/>
          </w:tcPr>
          <w:p>
            <w:pPr>
              <w:jc w:val="right"/>
              <w:ind w:right="300"/>
              <w:spacing w:after="0"/>
              <w:rPr>
                <w:sz w:val="20"/>
                <w:szCs w:val="20"/>
                <w:color w:val="auto"/>
              </w:rPr>
            </w:pPr>
            <w:r>
              <w:rPr>
                <w:rFonts w:ascii="Arial" w:cs="Arial" w:eastAsia="Arial" w:hAnsi="Arial"/>
                <w:sz w:val="11"/>
                <w:szCs w:val="11"/>
                <w:b w:val="1"/>
                <w:bCs w:val="1"/>
                <w:color w:val="auto"/>
                <w:w w:val="93"/>
              </w:rPr>
              <w:t>statement of income</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2"/>
          </w:tcPr>
          <w:p>
            <w:pPr>
              <w:jc w:val="center"/>
              <w:ind w:right="160"/>
              <w:spacing w:after="0" w:line="100" w:lineRule="exact"/>
              <w:rPr>
                <w:sz w:val="20"/>
                <w:szCs w:val="20"/>
                <w:color w:val="auto"/>
              </w:rPr>
            </w:pPr>
            <w:r>
              <w:rPr>
                <w:rFonts w:ascii="Arial" w:cs="Arial" w:eastAsia="Arial" w:hAnsi="Arial"/>
                <w:sz w:val="11"/>
                <w:szCs w:val="11"/>
                <w:b w:val="1"/>
                <w:bCs w:val="1"/>
                <w:color w:val="auto"/>
                <w:w w:val="89"/>
              </w:rPr>
              <w:t>Cash</w:t>
            </w:r>
          </w:p>
        </w:tc>
        <w:tc>
          <w:tcPr>
            <w:tcW w:w="5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4"/>
              </w:rPr>
              <w:t>Foreign</w:t>
            </w: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80"/>
              <w:spacing w:after="0" w:line="123" w:lineRule="exact"/>
              <w:rPr>
                <w:sz w:val="20"/>
                <w:szCs w:val="20"/>
                <w:color w:val="auto"/>
              </w:rPr>
            </w:pPr>
            <w:r>
              <w:rPr>
                <w:rFonts w:ascii="Arial" w:cs="Arial" w:eastAsia="Arial" w:hAnsi="Arial"/>
                <w:sz w:val="11"/>
                <w:szCs w:val="11"/>
                <w:b w:val="1"/>
                <w:bCs w:val="1"/>
                <w:color w:val="auto"/>
              </w:rPr>
              <w:t>Shares</w:t>
            </w:r>
          </w:p>
        </w:tc>
        <w:tc>
          <w:tcPr>
            <w:tcW w:w="620" w:type="dxa"/>
            <w:vAlign w:val="bottom"/>
            <w:gridSpan w:val="2"/>
          </w:tcPr>
          <w:p>
            <w:pPr>
              <w:jc w:val="center"/>
              <w:ind w:right="180"/>
              <w:spacing w:after="0" w:line="123" w:lineRule="exact"/>
              <w:rPr>
                <w:sz w:val="20"/>
                <w:szCs w:val="20"/>
                <w:color w:val="auto"/>
              </w:rPr>
            </w:pPr>
            <w:r>
              <w:rPr>
                <w:rFonts w:ascii="Arial" w:cs="Arial" w:eastAsia="Arial" w:hAnsi="Arial"/>
                <w:sz w:val="11"/>
                <w:szCs w:val="11"/>
                <w:b w:val="1"/>
                <w:bCs w:val="1"/>
                <w:color w:val="auto"/>
                <w:w w:val="93"/>
              </w:rPr>
              <w:t>Share-</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160"/>
              <w:spacing w:after="0" w:line="123" w:lineRule="exact"/>
              <w:rPr>
                <w:sz w:val="20"/>
                <w:szCs w:val="20"/>
                <w:color w:val="auto"/>
              </w:rPr>
            </w:pPr>
            <w:r>
              <w:rPr>
                <w:rFonts w:ascii="Arial" w:cs="Arial" w:eastAsia="Arial" w:hAnsi="Arial"/>
                <w:sz w:val="11"/>
                <w:szCs w:val="11"/>
                <w:b w:val="1"/>
                <w:bCs w:val="1"/>
                <w:color w:val="auto"/>
                <w:w w:val="93"/>
              </w:rPr>
              <w:t>Investments</w:t>
            </w:r>
          </w:p>
        </w:tc>
        <w:tc>
          <w:tcPr>
            <w:tcW w:w="680" w:type="dxa"/>
            <w:vAlign w:val="bottom"/>
            <w:gridSpan w:val="2"/>
          </w:tcPr>
          <w:p>
            <w:pPr>
              <w:jc w:val="center"/>
              <w:ind w:right="40"/>
              <w:spacing w:after="0" w:line="123" w:lineRule="exact"/>
              <w:rPr>
                <w:sz w:val="20"/>
                <w:szCs w:val="20"/>
                <w:color w:val="auto"/>
              </w:rPr>
            </w:pPr>
            <w:r>
              <w:rPr>
                <w:rFonts w:ascii="Arial" w:cs="Arial" w:eastAsia="Arial" w:hAnsi="Arial"/>
                <w:sz w:val="11"/>
                <w:szCs w:val="11"/>
                <w:b w:val="1"/>
                <w:bCs w:val="1"/>
                <w:color w:val="auto"/>
                <w:w w:val="93"/>
              </w:rPr>
              <w:t>Investments</w:t>
            </w:r>
          </w:p>
        </w:tc>
        <w:tc>
          <w:tcPr>
            <w:tcW w:w="120" w:type="dxa"/>
            <w:vAlign w:val="bottom"/>
          </w:tcPr>
          <w:p>
            <w:pPr>
              <w:spacing w:after="0"/>
              <w:rPr>
                <w:sz w:val="10"/>
                <w:szCs w:val="10"/>
                <w:color w:val="auto"/>
              </w:rPr>
            </w:pPr>
          </w:p>
        </w:tc>
        <w:tc>
          <w:tcPr>
            <w:tcW w:w="600" w:type="dxa"/>
            <w:vAlign w:val="bottom"/>
            <w:gridSpan w:val="2"/>
          </w:tcPr>
          <w:p>
            <w:pPr>
              <w:jc w:val="center"/>
              <w:ind w:right="160"/>
              <w:spacing w:after="0" w:line="123" w:lineRule="exact"/>
              <w:rPr>
                <w:sz w:val="20"/>
                <w:szCs w:val="20"/>
                <w:color w:val="auto"/>
              </w:rPr>
            </w:pPr>
            <w:r>
              <w:rPr>
                <w:rFonts w:ascii="Arial" w:cs="Arial" w:eastAsia="Arial" w:hAnsi="Arial"/>
                <w:sz w:val="11"/>
                <w:szCs w:val="11"/>
                <w:b w:val="1"/>
                <w:bCs w:val="1"/>
                <w:color w:val="auto"/>
                <w:w w:val="90"/>
              </w:rPr>
              <w:t>flow</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tcPr>
          <w:p>
            <w:pPr>
              <w:jc w:val="center"/>
              <w:ind w:right="160"/>
              <w:spacing w:after="0" w:line="123" w:lineRule="exact"/>
              <w:rPr>
                <w:sz w:val="20"/>
                <w:szCs w:val="20"/>
                <w:color w:val="auto"/>
              </w:rPr>
            </w:pPr>
            <w:r>
              <w:rPr>
                <w:rFonts w:ascii="Arial" w:cs="Arial" w:eastAsia="Arial" w:hAnsi="Arial"/>
                <w:sz w:val="11"/>
                <w:szCs w:val="11"/>
                <w:b w:val="1"/>
                <w:bCs w:val="1"/>
                <w:color w:val="auto"/>
                <w:w w:val="94"/>
              </w:rPr>
              <w:t>currency</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160"/>
              <w:spacing w:after="0" w:line="123" w:lineRule="exact"/>
              <w:rPr>
                <w:sz w:val="20"/>
                <w:szCs w:val="20"/>
                <w:color w:val="auto"/>
              </w:rPr>
            </w:pPr>
            <w:r>
              <w:rPr>
                <w:rFonts w:ascii="Arial" w:cs="Arial" w:eastAsia="Arial" w:hAnsi="Arial"/>
                <w:sz w:val="11"/>
                <w:szCs w:val="11"/>
                <w:b w:val="1"/>
                <w:bCs w:val="1"/>
                <w:color w:val="auto"/>
                <w:w w:val="95"/>
              </w:rPr>
              <w:t>Non-</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4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98"/>
              </w:rPr>
              <w:t>Capital</w:t>
            </w:r>
          </w:p>
        </w:tc>
        <w:tc>
          <w:tcPr>
            <w:tcW w:w="58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3"/>
              </w:rPr>
              <w:t>of the</w:t>
            </w:r>
          </w:p>
        </w:tc>
        <w:tc>
          <w:tcPr>
            <w:tcW w:w="620" w:type="dxa"/>
            <w:vAlign w:val="bottom"/>
            <w:gridSpan w:val="2"/>
          </w:tcPr>
          <w:p>
            <w:pPr>
              <w:jc w:val="center"/>
              <w:ind w:right="180"/>
              <w:spacing w:after="0" w:line="123" w:lineRule="exact"/>
              <w:rPr>
                <w:sz w:val="20"/>
                <w:szCs w:val="20"/>
                <w:color w:val="auto"/>
              </w:rPr>
            </w:pPr>
            <w:r>
              <w:rPr>
                <w:rFonts w:ascii="Arial" w:cs="Arial" w:eastAsia="Arial" w:hAnsi="Arial"/>
                <w:sz w:val="11"/>
                <w:szCs w:val="11"/>
                <w:b w:val="1"/>
                <w:bCs w:val="1"/>
                <w:color w:val="auto"/>
                <w:w w:val="87"/>
              </w:rPr>
              <w:t>based</w:t>
            </w:r>
          </w:p>
        </w:tc>
        <w:tc>
          <w:tcPr>
            <w:tcW w:w="6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Capital</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160"/>
              <w:spacing w:after="0" w:line="123" w:lineRule="exact"/>
              <w:rPr>
                <w:sz w:val="20"/>
                <w:szCs w:val="20"/>
                <w:color w:val="auto"/>
              </w:rPr>
            </w:pPr>
            <w:r>
              <w:rPr>
                <w:rFonts w:ascii="Arial" w:cs="Arial" w:eastAsia="Arial" w:hAnsi="Arial"/>
                <w:sz w:val="11"/>
                <w:szCs w:val="11"/>
                <w:b w:val="1"/>
                <w:bCs w:val="1"/>
                <w:color w:val="auto"/>
                <w:w w:val="97"/>
              </w:rPr>
              <w:t>in equity</w:t>
            </w:r>
          </w:p>
        </w:tc>
        <w:tc>
          <w:tcPr>
            <w:tcW w:w="68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w w:val="94"/>
              </w:rPr>
              <w:t>in debt</w:t>
            </w:r>
          </w:p>
        </w:tc>
        <w:tc>
          <w:tcPr>
            <w:tcW w:w="120" w:type="dxa"/>
            <w:vAlign w:val="bottom"/>
          </w:tcPr>
          <w:p>
            <w:pPr>
              <w:spacing w:after="0"/>
              <w:rPr>
                <w:sz w:val="10"/>
                <w:szCs w:val="10"/>
                <w:color w:val="auto"/>
              </w:rPr>
            </w:pPr>
          </w:p>
        </w:tc>
        <w:tc>
          <w:tcPr>
            <w:tcW w:w="600" w:type="dxa"/>
            <w:vAlign w:val="bottom"/>
            <w:gridSpan w:val="2"/>
          </w:tcPr>
          <w:p>
            <w:pPr>
              <w:jc w:val="center"/>
              <w:ind w:right="160"/>
              <w:spacing w:after="0" w:line="123" w:lineRule="exact"/>
              <w:rPr>
                <w:sz w:val="20"/>
                <w:szCs w:val="20"/>
                <w:color w:val="auto"/>
              </w:rPr>
            </w:pPr>
            <w:r>
              <w:rPr>
                <w:rFonts w:ascii="Arial" w:cs="Arial" w:eastAsia="Arial" w:hAnsi="Arial"/>
                <w:sz w:val="11"/>
                <w:szCs w:val="11"/>
                <w:b w:val="1"/>
                <w:bCs w:val="1"/>
                <w:color w:val="auto"/>
                <w:w w:val="86"/>
              </w:rPr>
              <w:t>hedge</w:t>
            </w:r>
          </w:p>
        </w:tc>
        <w:tc>
          <w:tcPr>
            <w:tcW w:w="720" w:type="dxa"/>
            <w:vAlign w:val="bottom"/>
            <w:gridSpan w:val="2"/>
          </w:tcPr>
          <w:p>
            <w:pPr>
              <w:jc w:val="center"/>
              <w:ind w:right="160"/>
              <w:spacing w:after="0" w:line="123" w:lineRule="exact"/>
              <w:rPr>
                <w:sz w:val="20"/>
                <w:szCs w:val="20"/>
                <w:color w:val="auto"/>
              </w:rPr>
            </w:pPr>
            <w:r>
              <w:rPr>
                <w:rFonts w:ascii="Arial" w:cs="Arial" w:eastAsia="Arial" w:hAnsi="Arial"/>
                <w:sz w:val="11"/>
                <w:szCs w:val="11"/>
                <w:b w:val="1"/>
                <w:bCs w:val="1"/>
                <w:color w:val="auto"/>
                <w:w w:val="92"/>
              </w:rPr>
              <w:t>Insurance</w:t>
            </w:r>
          </w:p>
        </w:tc>
        <w:tc>
          <w:tcPr>
            <w:tcW w:w="720" w:type="dxa"/>
            <w:vAlign w:val="bottom"/>
            <w:gridSpan w:val="2"/>
          </w:tcPr>
          <w:p>
            <w:pPr>
              <w:jc w:val="center"/>
              <w:ind w:right="180"/>
              <w:spacing w:after="0" w:line="123" w:lineRule="exact"/>
              <w:rPr>
                <w:sz w:val="20"/>
                <w:szCs w:val="20"/>
                <w:color w:val="auto"/>
              </w:rPr>
            </w:pPr>
            <w:r>
              <w:rPr>
                <w:rFonts w:ascii="Arial" w:cs="Arial" w:eastAsia="Arial" w:hAnsi="Arial"/>
                <w:sz w:val="11"/>
                <w:szCs w:val="11"/>
                <w:b w:val="1"/>
                <w:bCs w:val="1"/>
                <w:color w:val="auto"/>
                <w:w w:val="95"/>
              </w:rPr>
              <w:t>translation</w:t>
            </w:r>
          </w:p>
        </w:tc>
        <w:tc>
          <w:tcPr>
            <w:tcW w:w="760" w:type="dxa"/>
            <w:vAlign w:val="bottom"/>
            <w:gridSpan w:val="2"/>
          </w:tcPr>
          <w:p>
            <w:pPr>
              <w:jc w:val="center"/>
              <w:ind w:right="200"/>
              <w:spacing w:after="0" w:line="123" w:lineRule="exact"/>
              <w:rPr>
                <w:sz w:val="20"/>
                <w:szCs w:val="20"/>
                <w:color w:val="auto"/>
              </w:rPr>
            </w:pPr>
            <w:r>
              <w:rPr>
                <w:rFonts w:ascii="Arial" w:cs="Arial" w:eastAsia="Arial" w:hAnsi="Arial"/>
                <w:sz w:val="11"/>
                <w:szCs w:val="11"/>
                <w:b w:val="1"/>
                <w:bCs w:val="1"/>
                <w:color w:val="auto"/>
                <w:w w:val="94"/>
              </w:rPr>
              <w:t>Retained</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160"/>
              <w:spacing w:after="0" w:line="123" w:lineRule="exact"/>
              <w:rPr>
                <w:sz w:val="20"/>
                <w:szCs w:val="20"/>
                <w:color w:val="auto"/>
              </w:rPr>
            </w:pPr>
            <w:r>
              <w:rPr>
                <w:rFonts w:ascii="Arial" w:cs="Arial" w:eastAsia="Arial" w:hAnsi="Arial"/>
                <w:sz w:val="11"/>
                <w:szCs w:val="11"/>
                <w:b w:val="1"/>
                <w:bCs w:val="1"/>
                <w:color w:val="auto"/>
                <w:w w:val="91"/>
              </w:rPr>
              <w:t>controlling</w:t>
            </w:r>
          </w:p>
        </w:tc>
        <w:tc>
          <w:tcPr>
            <w:tcW w:w="68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95"/>
              </w:rPr>
              <w:t>Total net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stock</w:t>
            </w:r>
          </w:p>
        </w:tc>
        <w:tc>
          <w:tcPr>
            <w:tcW w:w="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Group</w:t>
            </w:r>
          </w:p>
        </w:tc>
        <w:tc>
          <w:tcPr>
            <w:tcW w:w="6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payment</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surplus</w:t>
            </w:r>
          </w:p>
        </w:tc>
        <w:tc>
          <w:tcPr>
            <w:tcW w:w="76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Reserves</w:t>
            </w:r>
          </w:p>
        </w:tc>
        <w:tc>
          <w:tcPr>
            <w:tcW w:w="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instruments</w:t>
            </w:r>
          </w:p>
        </w:tc>
        <w:tc>
          <w:tcPr>
            <w:tcW w:w="6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instruments</w:t>
            </w:r>
          </w:p>
        </w:tc>
        <w:tc>
          <w:tcPr>
            <w:tcW w:w="120" w:type="dxa"/>
            <w:vAlign w:val="bottom"/>
          </w:tcPr>
          <w:p>
            <w:pPr>
              <w:spacing w:after="0"/>
              <w:rPr>
                <w:sz w:val="12"/>
                <w:szCs w:val="12"/>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reserve</w:t>
            </w:r>
          </w:p>
        </w:tc>
        <w:tc>
          <w:tcPr>
            <w:tcW w:w="7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reserves</w:t>
            </w:r>
          </w:p>
        </w:tc>
        <w:tc>
          <w:tcPr>
            <w:tcW w:w="7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reserve</w:t>
            </w: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earnings</w:t>
            </w:r>
          </w:p>
        </w:tc>
        <w:tc>
          <w:tcPr>
            <w:tcW w:w="7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Total</w:t>
            </w:r>
          </w:p>
        </w:tc>
        <w:tc>
          <w:tcPr>
            <w:tcW w:w="7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0"/>
              </w:rPr>
              <w:t>interest</w:t>
            </w:r>
          </w:p>
        </w:tc>
        <w:tc>
          <w:tcPr>
            <w:tcW w:w="6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equity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5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00" w:type="dxa"/>
            <w:vAlign w:val="bottom"/>
          </w:tcPr>
          <w:p>
            <w:pPr>
              <w:spacing w:after="0"/>
              <w:rPr>
                <w:sz w:val="10"/>
                <w:szCs w:val="10"/>
                <w:color w:val="auto"/>
              </w:rPr>
            </w:pPr>
          </w:p>
        </w:tc>
        <w:tc>
          <w:tcPr>
            <w:tcW w:w="5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80" w:type="dxa"/>
            <w:vAlign w:val="bottom"/>
          </w:tcPr>
          <w:p>
            <w:pPr>
              <w:spacing w:after="0"/>
              <w:rPr>
                <w:sz w:val="10"/>
                <w:szCs w:val="10"/>
                <w:color w:val="auto"/>
              </w:rPr>
            </w:pPr>
          </w:p>
        </w:tc>
        <w:tc>
          <w:tcPr>
            <w:tcW w:w="4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80" w:type="dxa"/>
            <w:vAlign w:val="bottom"/>
          </w:tcPr>
          <w:p>
            <w:pPr>
              <w:spacing w:after="0"/>
              <w:rPr>
                <w:sz w:val="10"/>
                <w:szCs w:val="10"/>
                <w:color w:val="auto"/>
              </w:rPr>
            </w:pPr>
          </w:p>
        </w:tc>
        <w:tc>
          <w:tcPr>
            <w:tcW w:w="500" w:type="dxa"/>
            <w:vAlign w:val="bottom"/>
            <w:tcBorders>
              <w:top w:val="single" w:sz="8" w:color="auto"/>
            </w:tcBorders>
          </w:tcPr>
          <w:p>
            <w:pPr>
              <w:ind w:left="80"/>
              <w:spacing w:after="0" w:line="115" w:lineRule="exact"/>
              <w:rPr>
                <w:sz w:val="20"/>
                <w:szCs w:val="20"/>
                <w:color w:val="auto"/>
              </w:rPr>
            </w:pPr>
            <w:r>
              <w:rPr>
                <w:rFonts w:ascii="Arial" w:cs="Arial" w:eastAsia="Arial" w:hAnsi="Arial"/>
                <w:sz w:val="11"/>
                <w:szCs w:val="11"/>
                <w:b w:val="1"/>
                <w:bCs w:val="1"/>
                <w:color w:val="auto"/>
              </w:rPr>
              <w:t>S/(000)</w:t>
            </w:r>
          </w:p>
        </w:tc>
        <w:tc>
          <w:tcPr>
            <w:tcW w:w="180" w:type="dxa"/>
            <w:vAlign w:val="bottom"/>
          </w:tcPr>
          <w:p>
            <w:pPr>
              <w:spacing w:after="0"/>
              <w:rPr>
                <w:sz w:val="10"/>
                <w:szCs w:val="10"/>
                <w:color w:val="auto"/>
              </w:rPr>
            </w:pPr>
          </w:p>
        </w:tc>
        <w:tc>
          <w:tcPr>
            <w:tcW w:w="600" w:type="dxa"/>
            <w:vAlign w:val="bottom"/>
            <w:tcBorders>
              <w:top w:val="single" w:sz="8" w:color="auto"/>
            </w:tcBorders>
          </w:tcPr>
          <w:p>
            <w:pPr>
              <w:jc w:val="right"/>
              <w:ind w:right="83"/>
              <w:spacing w:after="0" w:line="115" w:lineRule="exact"/>
              <w:rPr>
                <w:sz w:val="20"/>
                <w:szCs w:val="20"/>
                <w:color w:val="auto"/>
              </w:rPr>
            </w:pPr>
            <w:r>
              <w:rPr>
                <w:rFonts w:ascii="Arial" w:cs="Arial" w:eastAsia="Arial" w:hAnsi="Arial"/>
                <w:sz w:val="11"/>
                <w:szCs w:val="11"/>
                <w:b w:val="1"/>
                <w:bCs w:val="1"/>
                <w:color w:val="auto"/>
              </w:rPr>
              <w:t>S/(000)</w:t>
            </w:r>
          </w:p>
        </w:tc>
        <w:tc>
          <w:tcPr>
            <w:tcW w:w="160" w:type="dxa"/>
            <w:vAlign w:val="bottom"/>
          </w:tcPr>
          <w:p>
            <w:pPr>
              <w:spacing w:after="0"/>
              <w:rPr>
                <w:sz w:val="10"/>
                <w:szCs w:val="10"/>
                <w:color w:val="auto"/>
              </w:rPr>
            </w:pPr>
          </w:p>
        </w:tc>
        <w:tc>
          <w:tcPr>
            <w:tcW w:w="6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60" w:type="dxa"/>
            <w:vAlign w:val="bottom"/>
          </w:tcPr>
          <w:p>
            <w:pPr>
              <w:spacing w:after="0"/>
              <w:rPr>
                <w:sz w:val="10"/>
                <w:szCs w:val="10"/>
                <w:color w:val="auto"/>
              </w:rPr>
            </w:pPr>
          </w:p>
        </w:tc>
        <w:tc>
          <w:tcPr>
            <w:tcW w:w="6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60" w:type="dxa"/>
            <w:vAlign w:val="bottom"/>
          </w:tcPr>
          <w:p>
            <w:pPr>
              <w:spacing w:after="0"/>
              <w:rPr>
                <w:sz w:val="10"/>
                <w:szCs w:val="10"/>
                <w:color w:val="auto"/>
              </w:rPr>
            </w:pPr>
          </w:p>
        </w:tc>
        <w:tc>
          <w:tcPr>
            <w:tcW w:w="5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9"/>
              </w:rPr>
              <w:t>S/(000)</w:t>
            </w:r>
          </w:p>
        </w:tc>
        <w:tc>
          <w:tcPr>
            <w:tcW w:w="180" w:type="dxa"/>
            <w:vAlign w:val="bottom"/>
          </w:tcPr>
          <w:p>
            <w:pPr>
              <w:spacing w:after="0"/>
              <w:rPr>
                <w:sz w:val="10"/>
                <w:szCs w:val="10"/>
                <w:color w:val="auto"/>
              </w:rPr>
            </w:pPr>
          </w:p>
        </w:tc>
        <w:tc>
          <w:tcPr>
            <w:tcW w:w="5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80" w:type="dxa"/>
            <w:vAlign w:val="bottom"/>
          </w:tcPr>
          <w:p>
            <w:pPr>
              <w:spacing w:after="0"/>
              <w:rPr>
                <w:sz w:val="10"/>
                <w:szCs w:val="10"/>
                <w:color w:val="auto"/>
              </w:rPr>
            </w:pPr>
          </w:p>
        </w:tc>
        <w:tc>
          <w:tcPr>
            <w:tcW w:w="5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80" w:type="dxa"/>
            <w:vAlign w:val="bottom"/>
          </w:tcPr>
          <w:p>
            <w:pPr>
              <w:spacing w:after="0"/>
              <w:rPr>
                <w:sz w:val="10"/>
                <w:szCs w:val="10"/>
                <w:color w:val="auto"/>
              </w:rPr>
            </w:pPr>
          </w:p>
        </w:tc>
        <w:tc>
          <w:tcPr>
            <w:tcW w:w="600" w:type="dxa"/>
            <w:vAlign w:val="bottom"/>
            <w:tcBorders>
              <w:top w:val="single" w:sz="8" w:color="auto"/>
            </w:tcBorders>
          </w:tcPr>
          <w:p>
            <w:pPr>
              <w:jc w:val="right"/>
              <w:ind w:right="83"/>
              <w:spacing w:after="0" w:line="115" w:lineRule="exact"/>
              <w:rPr>
                <w:sz w:val="20"/>
                <w:szCs w:val="20"/>
                <w:color w:val="auto"/>
              </w:rPr>
            </w:pPr>
            <w:r>
              <w:rPr>
                <w:rFonts w:ascii="Arial" w:cs="Arial" w:eastAsia="Arial" w:hAnsi="Arial"/>
                <w:sz w:val="11"/>
                <w:szCs w:val="11"/>
                <w:b w:val="1"/>
                <w:bCs w:val="1"/>
                <w:color w:val="auto"/>
              </w:rPr>
              <w:t>S/(000)</w:t>
            </w:r>
          </w:p>
        </w:tc>
        <w:tc>
          <w:tcPr>
            <w:tcW w:w="160" w:type="dxa"/>
            <w:vAlign w:val="bottom"/>
          </w:tcPr>
          <w:p>
            <w:pPr>
              <w:spacing w:after="0"/>
              <w:rPr>
                <w:sz w:val="10"/>
                <w:szCs w:val="10"/>
                <w:color w:val="auto"/>
              </w:rPr>
            </w:pPr>
          </w:p>
        </w:tc>
        <w:tc>
          <w:tcPr>
            <w:tcW w:w="5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9"/>
              </w:rPr>
              <w:t>S/(000)</w:t>
            </w:r>
          </w:p>
        </w:tc>
        <w:tc>
          <w:tcPr>
            <w:tcW w:w="180" w:type="dxa"/>
            <w:vAlign w:val="bottom"/>
          </w:tcPr>
          <w:p>
            <w:pPr>
              <w:spacing w:after="0"/>
              <w:rPr>
                <w:sz w:val="10"/>
                <w:szCs w:val="10"/>
                <w:color w:val="auto"/>
              </w:rPr>
            </w:pPr>
          </w:p>
        </w:tc>
        <w:tc>
          <w:tcPr>
            <w:tcW w:w="6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20" w:type="dxa"/>
            <w:vAlign w:val="bottom"/>
            <w:shd w:val="clear" w:color="auto" w:fill="CCEEFF"/>
          </w:tcPr>
          <w:p>
            <w:pPr>
              <w:spacing w:after="0" w:line="107" w:lineRule="exact"/>
              <w:rPr>
                <w:sz w:val="20"/>
                <w:szCs w:val="20"/>
                <w:color w:val="auto"/>
              </w:rPr>
            </w:pPr>
            <w:r>
              <w:rPr>
                <w:rFonts w:ascii="Arial" w:cs="Arial" w:eastAsia="Arial" w:hAnsi="Arial"/>
                <w:sz w:val="11"/>
                <w:szCs w:val="11"/>
                <w:b w:val="1"/>
                <w:bCs w:val="1"/>
                <w:color w:val="auto"/>
              </w:rPr>
              <w:t>Balances as of January 1,</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20" w:type="dxa"/>
            <w:vAlign w:val="bottom"/>
            <w:shd w:val="clear" w:color="auto" w:fill="CCEEFF"/>
          </w:tcPr>
          <w:p>
            <w:pPr>
              <w:ind w:left="120"/>
              <w:spacing w:after="0"/>
              <w:rPr>
                <w:sz w:val="20"/>
                <w:szCs w:val="20"/>
                <w:color w:val="auto"/>
              </w:rPr>
            </w:pPr>
            <w:r>
              <w:rPr>
                <w:rFonts w:ascii="Arial" w:cs="Arial" w:eastAsia="Arial" w:hAnsi="Arial"/>
                <w:sz w:val="11"/>
                <w:szCs w:val="11"/>
                <w:b w:val="1"/>
                <w:bCs w:val="1"/>
                <w:color w:val="auto"/>
              </w:rPr>
              <w:t>2019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1,318,993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(204,353)</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(3,641)</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246,194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17,598,556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452,551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229,470</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(3,161)</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29,593</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4,175,041</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23,839,243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426,833</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24,266,076</w:t>
            </w: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1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14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Changes in equity in 2019 -</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tcPr>
          <w:p>
            <w:pPr>
              <w:spacing w:after="0" w:line="123" w:lineRule="exact"/>
              <w:rPr>
                <w:sz w:val="20"/>
                <w:szCs w:val="20"/>
                <w:color w:val="auto"/>
              </w:rPr>
            </w:pPr>
            <w:r>
              <w:rPr>
                <w:rFonts w:ascii="Arial" w:cs="Arial" w:eastAsia="Arial" w:hAnsi="Arial"/>
                <w:sz w:val="11"/>
                <w:szCs w:val="11"/>
                <w:color w:val="auto"/>
              </w:rPr>
              <w:t>Net profit for the period</w:t>
            </w:r>
          </w:p>
        </w:tc>
        <w:tc>
          <w:tcPr>
            <w:tcW w:w="640" w:type="dxa"/>
            <w:vAlign w:val="bottom"/>
            <w:gridSpan w:val="2"/>
          </w:tcPr>
          <w:p>
            <w:pPr>
              <w:jc w:val="right"/>
              <w:ind w:right="100"/>
              <w:spacing w:after="0" w:line="123"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3"/>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3" w:lineRule="exact"/>
              <w:rPr>
                <w:sz w:val="20"/>
                <w:szCs w:val="20"/>
                <w:color w:val="auto"/>
              </w:rPr>
            </w:pPr>
            <w:r>
              <w:rPr>
                <w:rFonts w:ascii="Arial" w:cs="Arial" w:eastAsia="Arial" w:hAnsi="Arial"/>
                <w:sz w:val="11"/>
                <w:szCs w:val="11"/>
                <w:color w:val="auto"/>
              </w:rPr>
              <w:t>1,100,867</w:t>
            </w:r>
          </w:p>
        </w:tc>
        <w:tc>
          <w:tcPr>
            <w:tcW w:w="18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1,100,867</w:t>
            </w:r>
          </w:p>
        </w:tc>
        <w:tc>
          <w:tcPr>
            <w:tcW w:w="160" w:type="dxa"/>
            <w:vAlign w:val="bottom"/>
          </w:tcPr>
          <w:p>
            <w:pPr>
              <w:spacing w:after="0"/>
              <w:rPr>
                <w:sz w:val="10"/>
                <w:szCs w:val="10"/>
                <w:color w:val="auto"/>
              </w:rPr>
            </w:pPr>
          </w:p>
        </w:tc>
        <w:tc>
          <w:tcPr>
            <w:tcW w:w="72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22,397</w:t>
            </w:r>
          </w:p>
        </w:tc>
        <w:tc>
          <w:tcPr>
            <w:tcW w:w="68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1,123,264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1"/>
                <w:szCs w:val="11"/>
                <w:color w:val="auto"/>
                <w:w w:val="97"/>
              </w:rPr>
              <w:t>Other comprehensive income</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167,034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291,839</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(7,831)</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(30,611)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420,431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5,301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425,732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20" w:type="dxa"/>
            <w:vAlign w:val="bottom"/>
          </w:tcPr>
          <w:p>
            <w:pPr>
              <w:spacing w:after="0" w:line="115" w:lineRule="exact"/>
              <w:rPr>
                <w:sz w:val="20"/>
                <w:szCs w:val="20"/>
                <w:color w:val="auto"/>
              </w:rPr>
            </w:pPr>
            <w:r>
              <w:rPr>
                <w:rFonts w:ascii="Arial" w:cs="Arial" w:eastAsia="Arial" w:hAnsi="Arial"/>
                <w:sz w:val="11"/>
                <w:szCs w:val="11"/>
                <w:color w:val="auto"/>
                <w:w w:val="99"/>
              </w:rPr>
              <w:t>Total comprehensive income</w:t>
            </w:r>
          </w:p>
        </w:tc>
        <w:tc>
          <w:tcPr>
            <w:tcW w:w="5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167,034</w:t>
            </w:r>
          </w:p>
        </w:tc>
        <w:tc>
          <w:tcPr>
            <w:tcW w:w="160" w:type="dxa"/>
            <w:vAlign w:val="bottom"/>
          </w:tcPr>
          <w:p>
            <w:pPr>
              <w:spacing w:after="0"/>
              <w:rPr>
                <w:sz w:val="10"/>
                <w:szCs w:val="10"/>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291,839</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(7,831)</w:t>
            </w:r>
          </w:p>
        </w:tc>
        <w:tc>
          <w:tcPr>
            <w:tcW w:w="160" w:type="dxa"/>
            <w:vAlign w:val="bottom"/>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(30,611)</w:t>
            </w:r>
          </w:p>
        </w:tc>
        <w:tc>
          <w:tcPr>
            <w:tcW w:w="180" w:type="dxa"/>
            <w:vAlign w:val="bottom"/>
          </w:tcPr>
          <w:p>
            <w:pPr>
              <w:spacing w:after="0"/>
              <w:rPr>
                <w:sz w:val="10"/>
                <w:szCs w:val="10"/>
                <w:color w:val="auto"/>
              </w:rPr>
            </w:pPr>
          </w:p>
        </w:tc>
        <w:tc>
          <w:tcPr>
            <w:tcW w:w="5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1,100,867</w:t>
            </w:r>
          </w:p>
        </w:tc>
        <w:tc>
          <w:tcPr>
            <w:tcW w:w="180" w:type="dxa"/>
            <w:vAlign w:val="bottom"/>
          </w:tcPr>
          <w:p>
            <w:pPr>
              <w:spacing w:after="0"/>
              <w:rPr>
                <w:sz w:val="10"/>
                <w:szCs w:val="10"/>
                <w:color w:val="auto"/>
              </w:rPr>
            </w:pPr>
          </w:p>
        </w:tc>
        <w:tc>
          <w:tcPr>
            <w:tcW w:w="6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1,521,298</w:t>
            </w:r>
          </w:p>
        </w:tc>
        <w:tc>
          <w:tcPr>
            <w:tcW w:w="160" w:type="dxa"/>
            <w:vAlign w:val="bottom"/>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27,698</w:t>
            </w:r>
          </w:p>
        </w:tc>
        <w:tc>
          <w:tcPr>
            <w:tcW w:w="180" w:type="dxa"/>
            <w:vAlign w:val="bottom"/>
          </w:tcPr>
          <w:p>
            <w:pPr>
              <w:spacing w:after="0"/>
              <w:rPr>
                <w:sz w:val="10"/>
                <w:szCs w:val="10"/>
                <w:color w:val="auto"/>
              </w:rPr>
            </w:pPr>
          </w:p>
        </w:tc>
        <w:tc>
          <w:tcPr>
            <w:tcW w:w="6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1,548,996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42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w w:val="99"/>
              </w:rPr>
              <w:t>Transfer of retained earnings</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 reserves, Note 18(c)</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1,858,811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(1,858,811)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420" w:type="dxa"/>
            <w:vAlign w:val="bottom"/>
          </w:tcPr>
          <w:p>
            <w:pPr>
              <w:spacing w:after="0" w:line="109" w:lineRule="exact"/>
              <w:rPr>
                <w:sz w:val="20"/>
                <w:szCs w:val="20"/>
                <w:color w:val="auto"/>
              </w:rPr>
            </w:pPr>
            <w:r>
              <w:rPr>
                <w:rFonts w:ascii="Arial" w:cs="Arial" w:eastAsia="Arial" w:hAnsi="Arial"/>
                <w:sz w:val="11"/>
                <w:szCs w:val="11"/>
                <w:color w:val="auto"/>
              </w:rPr>
              <w:t>Dividend distribution, Note</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440" w:type="dxa"/>
            <w:vAlign w:val="bottom"/>
            <w:gridSpan w:val="2"/>
          </w:tcPr>
          <w:p>
            <w:pPr>
              <w:spacing w:after="0"/>
              <w:rPr>
                <w:sz w:val="20"/>
                <w:szCs w:val="20"/>
                <w:color w:val="auto"/>
              </w:rPr>
            </w:pPr>
            <w:r>
              <w:rPr>
                <w:rFonts w:ascii="Arial" w:cs="Arial" w:eastAsia="Arial" w:hAnsi="Arial"/>
                <w:sz w:val="11"/>
                <w:szCs w:val="11"/>
                <w:color w:val="auto"/>
              </w:rPr>
              <w:t>18(d)</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(1,595,229)</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(1,595,229)</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(1,595,229)</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42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w w:val="94"/>
              </w:rPr>
              <w:t>Dividends paid to interest non-</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controlling of subsidiaries</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(40,519)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(40,519)</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420" w:type="dxa"/>
            <w:vAlign w:val="bottom"/>
          </w:tcPr>
          <w:p>
            <w:pPr>
              <w:spacing w:after="0" w:line="109" w:lineRule="exact"/>
              <w:rPr>
                <w:sz w:val="20"/>
                <w:szCs w:val="20"/>
                <w:color w:val="auto"/>
              </w:rPr>
            </w:pPr>
            <w:r>
              <w:rPr>
                <w:rFonts w:ascii="Arial" w:cs="Arial" w:eastAsia="Arial" w:hAnsi="Arial"/>
                <w:sz w:val="11"/>
                <w:szCs w:val="11"/>
                <w:color w:val="auto"/>
              </w:rPr>
              <w:t>Purchase of treasury stock,</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20" w:type="dxa"/>
            <w:vAlign w:val="bottom"/>
          </w:tcPr>
          <w:p>
            <w:pPr>
              <w:ind w:left="120"/>
              <w:spacing w:after="0"/>
              <w:rPr>
                <w:sz w:val="20"/>
                <w:szCs w:val="20"/>
                <w:color w:val="auto"/>
              </w:rPr>
            </w:pPr>
            <w:r>
              <w:rPr>
                <w:rFonts w:ascii="Arial" w:cs="Arial" w:eastAsia="Arial" w:hAnsi="Arial"/>
                <w:sz w:val="11"/>
                <w:szCs w:val="11"/>
                <w:color w:val="auto"/>
              </w:rPr>
              <w:t>Note 18(b)</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(1,814)</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(101,411)</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(103,225)</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(103,225)</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42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Share-based payment</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transactions</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2,055</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77,566</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(48,491)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31,130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31,130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Arial" w:cs="Arial" w:eastAsia="Arial" w:hAnsi="Arial"/>
                <w:sz w:val="11"/>
                <w:szCs w:val="11"/>
                <w:color w:val="auto"/>
              </w:rPr>
              <w:t>Others</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(144)</w:t>
            </w: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(982)</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(1,126)</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1,884</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758</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420" w:type="dxa"/>
            <w:vAlign w:val="bottom"/>
            <w:tcBorders>
              <w:top w:val="single" w:sz="8" w:color="CCEEFF"/>
            </w:tcBorders>
            <w:shd w:val="clear" w:color="auto" w:fill="CCEEFF"/>
          </w:tcPr>
          <w:p>
            <w:pPr>
              <w:spacing w:after="0" w:line="87" w:lineRule="exact"/>
              <w:rPr>
                <w:sz w:val="20"/>
                <w:szCs w:val="20"/>
                <w:color w:val="auto"/>
              </w:rPr>
            </w:pPr>
            <w:r>
              <w:rPr>
                <w:rFonts w:ascii="Arial" w:cs="Arial" w:eastAsia="Arial" w:hAnsi="Arial"/>
                <w:sz w:val="10"/>
                <w:szCs w:val="10"/>
                <w:b w:val="1"/>
                <w:bCs w:val="1"/>
                <w:color w:val="auto"/>
              </w:rPr>
              <w:t>Balances as of March 31,</w:t>
            </w: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2019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1,318,993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(204,497)</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(3,400)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222,349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19,408,876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619,585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521,309</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(10,992)</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(1,018)</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1,820,886</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23,692,091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415,896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24,107,987</w:t>
            </w: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1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vMerge w:val="continue"/>
          </w:tcPr>
          <w:p>
            <w:pPr>
              <w:spacing w:after="0"/>
              <w:rPr>
                <w:sz w:val="9"/>
                <w:szCs w:val="9"/>
                <w:color w:val="auto"/>
              </w:rPr>
            </w:pPr>
          </w:p>
        </w:tc>
        <w:tc>
          <w:tcPr>
            <w:tcW w:w="1420" w:type="dxa"/>
            <w:vAlign w:val="bottom"/>
            <w:shd w:val="clear" w:color="auto" w:fill="CCEEFF"/>
          </w:tcPr>
          <w:p>
            <w:pPr>
              <w:spacing w:after="0" w:line="107" w:lineRule="exact"/>
              <w:rPr>
                <w:sz w:val="20"/>
                <w:szCs w:val="20"/>
                <w:color w:val="auto"/>
              </w:rPr>
            </w:pPr>
            <w:r>
              <w:rPr>
                <w:rFonts w:ascii="Arial" w:cs="Arial" w:eastAsia="Arial" w:hAnsi="Arial"/>
                <w:sz w:val="11"/>
                <w:szCs w:val="11"/>
                <w:b w:val="1"/>
                <w:bCs w:val="1"/>
                <w:color w:val="auto"/>
              </w:rPr>
              <w:t>Balances as of January 1,</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2020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1,318,993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(204,388)</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(3,451)</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226,037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19,437,645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550,065</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1,255,988</w:t>
            </w: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(30,104)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(658,491)</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(29,269)</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4,374,935</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26,237,960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508,350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26,746,310</w:t>
            </w: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1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14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Changes in equity in 2020 -</w:t>
            </w: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tcPr>
          <w:p>
            <w:pPr>
              <w:spacing w:after="0" w:line="123" w:lineRule="exact"/>
              <w:rPr>
                <w:sz w:val="20"/>
                <w:szCs w:val="20"/>
                <w:color w:val="auto"/>
              </w:rPr>
            </w:pPr>
            <w:r>
              <w:rPr>
                <w:rFonts w:ascii="Arial" w:cs="Arial" w:eastAsia="Arial" w:hAnsi="Arial"/>
                <w:sz w:val="11"/>
                <w:szCs w:val="11"/>
                <w:color w:val="auto"/>
              </w:rPr>
              <w:t>Net profit for the period</w:t>
            </w:r>
          </w:p>
        </w:tc>
        <w:tc>
          <w:tcPr>
            <w:tcW w:w="640" w:type="dxa"/>
            <w:vAlign w:val="bottom"/>
            <w:gridSpan w:val="2"/>
          </w:tcPr>
          <w:p>
            <w:pPr>
              <w:jc w:val="right"/>
              <w:ind w:right="100"/>
              <w:spacing w:after="0" w:line="123"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3"/>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3" w:lineRule="exact"/>
              <w:rPr>
                <w:sz w:val="20"/>
                <w:szCs w:val="20"/>
                <w:color w:val="auto"/>
              </w:rPr>
            </w:pPr>
            <w:r>
              <w:rPr>
                <w:rFonts w:ascii="Arial" w:cs="Arial" w:eastAsia="Arial" w:hAnsi="Arial"/>
                <w:sz w:val="11"/>
                <w:szCs w:val="11"/>
                <w:color w:val="auto"/>
              </w:rPr>
              <w:t>209,274</w:t>
            </w:r>
          </w:p>
        </w:tc>
        <w:tc>
          <w:tcPr>
            <w:tcW w:w="180" w:type="dxa"/>
            <w:vAlign w:val="bottom"/>
          </w:tcPr>
          <w:p>
            <w:pPr>
              <w:spacing w:after="0"/>
              <w:rPr>
                <w:sz w:val="10"/>
                <w:szCs w:val="10"/>
                <w:color w:val="auto"/>
              </w:rPr>
            </w:pPr>
          </w:p>
        </w:tc>
        <w:tc>
          <w:tcPr>
            <w:tcW w:w="76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209,274</w:t>
            </w:r>
          </w:p>
        </w:tc>
        <w:tc>
          <w:tcPr>
            <w:tcW w:w="72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3,901</w:t>
            </w:r>
          </w:p>
        </w:tc>
        <w:tc>
          <w:tcPr>
            <w:tcW w:w="68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213,175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1"/>
                <w:szCs w:val="11"/>
                <w:color w:val="auto"/>
                <w:w w:val="97"/>
              </w:rPr>
              <w:t>Other comprehensive income</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100,674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(922,718)</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(13,187)</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166,206</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(59,599)</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(728,624)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(10,108)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(738,732)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20" w:type="dxa"/>
            <w:vAlign w:val="bottom"/>
          </w:tcPr>
          <w:p>
            <w:pPr>
              <w:spacing w:after="0" w:line="115" w:lineRule="exact"/>
              <w:rPr>
                <w:sz w:val="20"/>
                <w:szCs w:val="20"/>
                <w:color w:val="auto"/>
              </w:rPr>
            </w:pPr>
            <w:r>
              <w:rPr>
                <w:rFonts w:ascii="Arial" w:cs="Arial" w:eastAsia="Arial" w:hAnsi="Arial"/>
                <w:sz w:val="11"/>
                <w:szCs w:val="11"/>
                <w:color w:val="auto"/>
                <w:w w:val="99"/>
              </w:rPr>
              <w:t>Total comprehensive income</w:t>
            </w:r>
          </w:p>
        </w:tc>
        <w:tc>
          <w:tcPr>
            <w:tcW w:w="5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100,674</w:t>
            </w:r>
          </w:p>
        </w:tc>
        <w:tc>
          <w:tcPr>
            <w:tcW w:w="160" w:type="dxa"/>
            <w:vAlign w:val="bottom"/>
          </w:tcPr>
          <w:p>
            <w:pPr>
              <w:spacing w:after="0"/>
              <w:rPr>
                <w:sz w:val="10"/>
                <w:szCs w:val="10"/>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(922,718)</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(13,187)</w:t>
            </w:r>
          </w:p>
        </w:tc>
        <w:tc>
          <w:tcPr>
            <w:tcW w:w="160" w:type="dxa"/>
            <w:vAlign w:val="bottom"/>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166,206</w:t>
            </w:r>
          </w:p>
        </w:tc>
        <w:tc>
          <w:tcPr>
            <w:tcW w:w="180" w:type="dxa"/>
            <w:vAlign w:val="bottom"/>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(59,599)</w:t>
            </w:r>
          </w:p>
        </w:tc>
        <w:tc>
          <w:tcPr>
            <w:tcW w:w="180" w:type="dxa"/>
            <w:vAlign w:val="bottom"/>
          </w:tcPr>
          <w:p>
            <w:pPr>
              <w:spacing w:after="0"/>
              <w:rPr>
                <w:sz w:val="10"/>
                <w:szCs w:val="10"/>
                <w:color w:val="auto"/>
              </w:rPr>
            </w:pPr>
          </w:p>
        </w:tc>
        <w:tc>
          <w:tcPr>
            <w:tcW w:w="5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209,274</w:t>
            </w:r>
          </w:p>
        </w:tc>
        <w:tc>
          <w:tcPr>
            <w:tcW w:w="180" w:type="dxa"/>
            <w:vAlign w:val="bottom"/>
          </w:tcPr>
          <w:p>
            <w:pPr>
              <w:spacing w:after="0"/>
              <w:rPr>
                <w:sz w:val="10"/>
                <w:szCs w:val="10"/>
                <w:color w:val="auto"/>
              </w:rPr>
            </w:pPr>
          </w:p>
        </w:tc>
        <w:tc>
          <w:tcPr>
            <w:tcW w:w="6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(519,350)</w:t>
            </w:r>
          </w:p>
        </w:tc>
        <w:tc>
          <w:tcPr>
            <w:tcW w:w="160" w:type="dxa"/>
            <w:vAlign w:val="bottom"/>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(6,207)</w:t>
            </w:r>
          </w:p>
        </w:tc>
        <w:tc>
          <w:tcPr>
            <w:tcW w:w="180" w:type="dxa"/>
            <w:vAlign w:val="bottom"/>
          </w:tcPr>
          <w:p>
            <w:pPr>
              <w:spacing w:after="0"/>
              <w:rPr>
                <w:sz w:val="10"/>
                <w:szCs w:val="10"/>
                <w:color w:val="auto"/>
              </w:rPr>
            </w:pPr>
          </w:p>
        </w:tc>
        <w:tc>
          <w:tcPr>
            <w:tcW w:w="6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(525,557)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42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w w:val="99"/>
              </w:rPr>
              <w:t>Transfer of retained earnings</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1"/>
                <w:szCs w:val="11"/>
                <w:color w:val="auto"/>
              </w:rPr>
              <w:t>to reserves, Note 18(c)</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1,977,091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(1,977,091)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420" w:type="dxa"/>
            <w:vAlign w:val="bottom"/>
          </w:tcPr>
          <w:p>
            <w:pPr>
              <w:spacing w:after="0" w:line="109" w:lineRule="exact"/>
              <w:rPr>
                <w:sz w:val="20"/>
                <w:szCs w:val="20"/>
                <w:color w:val="auto"/>
              </w:rPr>
            </w:pPr>
            <w:r>
              <w:rPr>
                <w:rFonts w:ascii="Arial" w:cs="Arial" w:eastAsia="Arial" w:hAnsi="Arial"/>
                <w:sz w:val="11"/>
                <w:szCs w:val="11"/>
                <w:color w:val="auto"/>
              </w:rPr>
              <w:t>Dividend distribution, Note</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20" w:type="dxa"/>
            <w:vAlign w:val="bottom"/>
          </w:tcPr>
          <w:p>
            <w:pPr>
              <w:ind w:left="120"/>
              <w:spacing w:after="0"/>
              <w:rPr>
                <w:sz w:val="20"/>
                <w:szCs w:val="20"/>
                <w:color w:val="auto"/>
              </w:rPr>
            </w:pPr>
            <w:r>
              <w:rPr>
                <w:rFonts w:ascii="Arial" w:cs="Arial" w:eastAsia="Arial" w:hAnsi="Arial"/>
                <w:sz w:val="11"/>
                <w:szCs w:val="11"/>
                <w:color w:val="auto"/>
              </w:rPr>
              <w:t>18(d)</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(2,392,844)</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(2,392,844)</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(2,392,844)</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42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w w:val="94"/>
              </w:rPr>
              <w:t>Dividends paid to interest non-</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controlling of subsidiaries</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(799)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(799)</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420" w:type="dxa"/>
            <w:vAlign w:val="bottom"/>
          </w:tcPr>
          <w:p>
            <w:pPr>
              <w:spacing w:after="0" w:line="109" w:lineRule="exact"/>
              <w:rPr>
                <w:sz w:val="20"/>
                <w:szCs w:val="20"/>
                <w:color w:val="auto"/>
              </w:rPr>
            </w:pPr>
            <w:r>
              <w:rPr>
                <w:rFonts w:ascii="Arial" w:cs="Arial" w:eastAsia="Arial" w:hAnsi="Arial"/>
                <w:sz w:val="11"/>
                <w:szCs w:val="11"/>
                <w:color w:val="auto"/>
              </w:rPr>
              <w:t>Purchase of treasury stock,</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20" w:type="dxa"/>
            <w:vAlign w:val="bottom"/>
          </w:tcPr>
          <w:p>
            <w:pPr>
              <w:ind w:left="120"/>
              <w:spacing w:after="0"/>
              <w:rPr>
                <w:sz w:val="20"/>
                <w:szCs w:val="20"/>
                <w:color w:val="auto"/>
              </w:rPr>
            </w:pPr>
            <w:r>
              <w:rPr>
                <w:rFonts w:ascii="Arial" w:cs="Arial" w:eastAsia="Arial" w:hAnsi="Arial"/>
                <w:sz w:val="11"/>
                <w:szCs w:val="11"/>
                <w:color w:val="auto"/>
              </w:rPr>
              <w:t>Note 18(b)</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(3,356)</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(148,543)</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(151,899)</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(151,899)</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42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Share-based payment</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transactions</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2,709</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87,694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(54,464)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35,939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35,939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Arial" w:cs="Arial" w:eastAsia="Arial" w:hAnsi="Arial"/>
                <w:sz w:val="11"/>
                <w:szCs w:val="11"/>
                <w:color w:val="auto"/>
              </w:rPr>
              <w:t>Others</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(823)</w:t>
            </w: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(3,344)</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(4,167)</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15,828</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11,661</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420" w:type="dxa"/>
            <w:vAlign w:val="bottom"/>
            <w:tcBorders>
              <w:top w:val="single" w:sz="8" w:color="CCEEFF"/>
            </w:tcBorders>
            <w:shd w:val="clear" w:color="auto" w:fill="CCEEFF"/>
          </w:tcPr>
          <w:p>
            <w:pPr>
              <w:spacing w:after="0" w:line="87" w:lineRule="exact"/>
              <w:rPr>
                <w:sz w:val="20"/>
                <w:szCs w:val="20"/>
                <w:color w:val="auto"/>
              </w:rPr>
            </w:pPr>
            <w:r>
              <w:rPr>
                <w:rFonts w:ascii="Arial" w:cs="Arial" w:eastAsia="Arial" w:hAnsi="Arial"/>
                <w:sz w:val="10"/>
                <w:szCs w:val="10"/>
                <w:b w:val="1"/>
                <w:bCs w:val="1"/>
                <w:color w:val="auto"/>
              </w:rPr>
              <w:t>Balances as of March 31,</w:t>
            </w: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20" w:type="dxa"/>
            <w:vAlign w:val="bottom"/>
            <w:shd w:val="clear" w:color="auto" w:fill="CCEEFF"/>
          </w:tcPr>
          <w:p>
            <w:pPr>
              <w:ind w:left="120"/>
              <w:spacing w:after="0"/>
              <w:rPr>
                <w:sz w:val="20"/>
                <w:szCs w:val="20"/>
                <w:color w:val="auto"/>
              </w:rPr>
            </w:pPr>
            <w:r>
              <w:rPr>
                <w:rFonts w:ascii="Arial" w:cs="Arial" w:eastAsia="Arial" w:hAnsi="Arial"/>
                <w:sz w:val="11"/>
                <w:szCs w:val="11"/>
                <w:b w:val="1"/>
                <w:bCs w:val="1"/>
                <w:color w:val="auto"/>
              </w:rPr>
              <w:t>2020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1,318,993</w:t>
            </w:r>
          </w:p>
        </w:tc>
        <w:tc>
          <w:tcPr>
            <w:tcW w:w="580" w:type="dxa"/>
            <w:vAlign w:val="bottom"/>
            <w:gridSpan w:val="2"/>
            <w:shd w:val="clear" w:color="auto" w:fill="CCEEFF"/>
          </w:tcPr>
          <w:p>
            <w:pPr>
              <w:jc w:val="right"/>
              <w:ind w:right="40"/>
              <w:spacing w:after="0" w:line="163" w:lineRule="exact"/>
              <w:rPr>
                <w:sz w:val="20"/>
                <w:szCs w:val="20"/>
                <w:color w:val="auto"/>
              </w:rPr>
            </w:pPr>
            <w:r>
              <w:rPr>
                <w:rFonts w:ascii="Arial" w:cs="Arial" w:eastAsia="Arial" w:hAnsi="Arial"/>
                <w:sz w:val="10"/>
                <w:szCs w:val="10"/>
                <w:color w:val="auto"/>
              </w:rPr>
              <w:t>(205,211</w:t>
            </w:r>
            <w:r>
              <w:rPr>
                <w:rFonts w:ascii="Arial" w:cs="Arial" w:eastAsia="Arial" w:hAnsi="Arial"/>
                <w:sz w:val="18"/>
                <w:szCs w:val="18"/>
                <w:color w:val="auto"/>
                <w:vertAlign w:val="superscript"/>
              </w:rPr>
              <w:t>)</w:t>
            </w:r>
          </w:p>
        </w:tc>
        <w:tc>
          <w:tcPr>
            <w:tcW w:w="620" w:type="dxa"/>
            <w:vAlign w:val="bottom"/>
            <w:gridSpan w:val="2"/>
            <w:shd w:val="clear" w:color="auto" w:fill="CCEEFF"/>
          </w:tcPr>
          <w:p>
            <w:pPr>
              <w:jc w:val="right"/>
              <w:ind w:right="140"/>
              <w:spacing w:after="0" w:line="163" w:lineRule="exact"/>
              <w:rPr>
                <w:sz w:val="20"/>
                <w:szCs w:val="20"/>
                <w:color w:val="auto"/>
              </w:rPr>
            </w:pPr>
            <w:r>
              <w:rPr>
                <w:rFonts w:ascii="Arial" w:cs="Arial" w:eastAsia="Arial" w:hAnsi="Arial"/>
                <w:sz w:val="10"/>
                <w:szCs w:val="10"/>
                <w:color w:val="auto"/>
              </w:rPr>
              <w:t>(4,098</w:t>
            </w:r>
            <w:r>
              <w:rPr>
                <w:rFonts w:ascii="Arial" w:cs="Arial" w:eastAsia="Arial" w:hAnsi="Arial"/>
                <w:sz w:val="18"/>
                <w:szCs w:val="18"/>
                <w:color w:val="auto"/>
                <w:vertAlign w:val="superscript"/>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165,188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21,360,272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650,739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333,270</w:t>
            </w:r>
          </w:p>
        </w:tc>
        <w:tc>
          <w:tcPr>
            <w:tcW w:w="720" w:type="dxa"/>
            <w:vAlign w:val="bottom"/>
            <w:gridSpan w:val="3"/>
            <w:shd w:val="clear" w:color="auto" w:fill="CCEEFF"/>
          </w:tcPr>
          <w:p>
            <w:pPr>
              <w:jc w:val="right"/>
              <w:ind w:right="120"/>
              <w:spacing w:after="0" w:line="163" w:lineRule="exact"/>
              <w:rPr>
                <w:sz w:val="20"/>
                <w:szCs w:val="20"/>
                <w:color w:val="auto"/>
              </w:rPr>
            </w:pPr>
            <w:r>
              <w:rPr>
                <w:rFonts w:ascii="Arial" w:cs="Arial" w:eastAsia="Arial" w:hAnsi="Arial"/>
                <w:sz w:val="10"/>
                <w:szCs w:val="10"/>
                <w:color w:val="auto"/>
              </w:rPr>
              <w:t>(43,291</w:t>
            </w:r>
            <w:r>
              <w:rPr>
                <w:rFonts w:ascii="Arial" w:cs="Arial" w:eastAsia="Arial" w:hAnsi="Arial"/>
                <w:sz w:val="18"/>
                <w:szCs w:val="18"/>
                <w:color w:val="auto"/>
                <w:vertAlign w:val="superscript"/>
              </w:rPr>
              <w:t>)</w:t>
            </w:r>
          </w:p>
        </w:tc>
        <w:tc>
          <w:tcPr>
            <w:tcW w:w="720" w:type="dxa"/>
            <w:vAlign w:val="bottom"/>
            <w:gridSpan w:val="2"/>
            <w:shd w:val="clear" w:color="auto" w:fill="CCEEFF"/>
          </w:tcPr>
          <w:p>
            <w:pPr>
              <w:jc w:val="right"/>
              <w:ind w:right="140"/>
              <w:spacing w:after="0" w:line="163" w:lineRule="exact"/>
              <w:rPr>
                <w:sz w:val="20"/>
                <w:szCs w:val="20"/>
                <w:color w:val="auto"/>
              </w:rPr>
            </w:pPr>
            <w:r>
              <w:rPr>
                <w:rFonts w:ascii="Arial" w:cs="Arial" w:eastAsia="Arial" w:hAnsi="Arial"/>
                <w:sz w:val="10"/>
                <w:szCs w:val="10"/>
                <w:color w:val="auto"/>
              </w:rPr>
              <w:t>(492,285</w:t>
            </w:r>
            <w:r>
              <w:rPr>
                <w:rFonts w:ascii="Arial" w:cs="Arial" w:eastAsia="Arial" w:hAnsi="Arial"/>
                <w:sz w:val="18"/>
                <w:szCs w:val="18"/>
                <w:color w:val="auto"/>
                <w:vertAlign w:val="superscript"/>
              </w:rPr>
              <w:t>)</w:t>
            </w:r>
          </w:p>
        </w:tc>
        <w:tc>
          <w:tcPr>
            <w:tcW w:w="720" w:type="dxa"/>
            <w:vAlign w:val="bottom"/>
            <w:gridSpan w:val="2"/>
            <w:shd w:val="clear" w:color="auto" w:fill="CCEEFF"/>
          </w:tcPr>
          <w:p>
            <w:pPr>
              <w:jc w:val="right"/>
              <w:ind w:right="140"/>
              <w:spacing w:after="0" w:line="163" w:lineRule="exact"/>
              <w:rPr>
                <w:sz w:val="20"/>
                <w:szCs w:val="20"/>
                <w:color w:val="auto"/>
              </w:rPr>
            </w:pPr>
            <w:r>
              <w:rPr>
                <w:rFonts w:ascii="Arial" w:cs="Arial" w:eastAsia="Arial" w:hAnsi="Arial"/>
                <w:sz w:val="10"/>
                <w:szCs w:val="10"/>
                <w:color w:val="auto"/>
              </w:rPr>
              <w:t>(88,868</w:t>
            </w:r>
            <w:r>
              <w:rPr>
                <w:rFonts w:ascii="Arial" w:cs="Arial" w:eastAsia="Arial" w:hAnsi="Arial"/>
                <w:sz w:val="18"/>
                <w:szCs w:val="18"/>
                <w:color w:val="auto"/>
                <w:vertAlign w:val="superscript"/>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210,930</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23,205,639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517,172</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23,722,811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2"/>
        </w:trPr>
        <w:tc>
          <w:tcPr>
            <w:tcW w:w="5480" w:type="dxa"/>
            <w:vAlign w:val="bottom"/>
            <w:gridSpan w:val="2"/>
          </w:tcPr>
          <w:p>
            <w:pPr>
              <w:spacing w:after="0"/>
              <w:rPr>
                <w:sz w:val="20"/>
                <w:szCs w:val="20"/>
                <w:color w:val="auto"/>
              </w:rPr>
            </w:pPr>
            <w:r>
              <w:rPr>
                <w:rFonts w:ascii="Arial" w:cs="Arial" w:eastAsia="Arial" w:hAnsi="Arial"/>
                <w:sz w:val="16"/>
                <w:szCs w:val="16"/>
                <w:b w:val="1"/>
                <w:bCs w:val="1"/>
                <w:color w:val="auto"/>
              </w:rPr>
              <w:t>CREDICORP LTD. AND SUBSIDIARIES</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5480" w:type="dxa"/>
            <w:vAlign w:val="bottom"/>
            <w:gridSpan w:val="2"/>
          </w:tcPr>
          <w:p>
            <w:pPr>
              <w:spacing w:after="0"/>
              <w:rPr>
                <w:sz w:val="20"/>
                <w:szCs w:val="20"/>
                <w:color w:val="auto"/>
              </w:rPr>
            </w:pPr>
            <w:r>
              <w:rPr>
                <w:rFonts w:ascii="Arial" w:cs="Arial" w:eastAsia="Arial" w:hAnsi="Arial"/>
                <w:sz w:val="16"/>
                <w:szCs w:val="16"/>
                <w:color w:val="auto"/>
              </w:rPr>
              <w:t>Interim condensed consolidated statement of cash flows</w:t>
            </w: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480" w:type="dxa"/>
            <w:vAlign w:val="bottom"/>
            <w:gridSpan w:val="2"/>
          </w:tcPr>
          <w:p>
            <w:pPr>
              <w:spacing w:after="0"/>
              <w:rPr>
                <w:sz w:val="20"/>
                <w:szCs w:val="20"/>
                <w:color w:val="auto"/>
              </w:rPr>
            </w:pPr>
            <w:r>
              <w:rPr>
                <w:rFonts w:ascii="Arial" w:cs="Arial" w:eastAsia="Arial" w:hAnsi="Arial"/>
                <w:sz w:val="16"/>
                <w:szCs w:val="16"/>
                <w:color w:val="auto"/>
              </w:rPr>
              <w:t>For the three-month periods ended March 31, 2020 and 2019 (unaudited)</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4"/>
          </w:tcPr>
          <w:p>
            <w:pPr>
              <w:jc w:val="right"/>
              <w:ind w:right="440"/>
              <w:spacing w:after="0"/>
              <w:rPr>
                <w:sz w:val="20"/>
                <w:szCs w:val="20"/>
                <w:color w:val="auto"/>
              </w:rPr>
            </w:pPr>
            <w:r>
              <w:rPr>
                <w:rFonts w:ascii="Arial" w:cs="Arial" w:eastAsia="Arial" w:hAnsi="Arial"/>
                <w:sz w:val="16"/>
                <w:szCs w:val="16"/>
                <w:b w:val="1"/>
                <w:bCs w:val="1"/>
                <w:color w:val="auto"/>
              </w:rPr>
              <w:t>For the three-month periods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4"/>
          </w:tcPr>
          <w:p>
            <w:pPr>
              <w:jc w:val="right"/>
              <w:ind w:right="860"/>
              <w:spacing w:after="0"/>
              <w:rPr>
                <w:sz w:val="20"/>
                <w:szCs w:val="20"/>
                <w:color w:val="auto"/>
              </w:rPr>
            </w:pPr>
            <w:r>
              <w:rPr>
                <w:rFonts w:ascii="Arial" w:cs="Arial" w:eastAsia="Arial" w:hAnsi="Arial"/>
                <w:sz w:val="16"/>
                <w:szCs w:val="16"/>
                <w:b w:val="1"/>
                <w:bCs w:val="1"/>
                <w:color w:val="auto"/>
              </w:rPr>
              <w:t>ended March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40" w:type="dxa"/>
            <w:vAlign w:val="bottom"/>
            <w:gridSpan w:val="2"/>
          </w:tcPr>
          <w:p>
            <w:pPr>
              <w:ind w:left="400"/>
              <w:spacing w:after="0"/>
              <w:rPr>
                <w:sz w:val="20"/>
                <w:szCs w:val="20"/>
                <w:color w:val="auto"/>
              </w:rPr>
            </w:pPr>
            <w:r>
              <w:rPr>
                <w:rFonts w:ascii="Arial" w:cs="Arial" w:eastAsia="Arial" w:hAnsi="Arial"/>
                <w:sz w:val="16"/>
                <w:szCs w:val="16"/>
                <w:b w:val="1"/>
                <w:bCs w:val="1"/>
                <w:color w:val="auto"/>
              </w:rPr>
              <w:t>Note</w:t>
            </w:r>
          </w:p>
        </w:tc>
        <w:tc>
          <w:tcPr>
            <w:tcW w:w="1220" w:type="dxa"/>
            <w:vAlign w:val="bottom"/>
            <w:tcBorders>
              <w:top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S/000</w:t>
            </w:r>
          </w:p>
        </w:tc>
        <w:tc>
          <w:tcPr>
            <w:tcW w:w="240" w:type="dxa"/>
            <w:vAlign w:val="bottom"/>
          </w:tcPr>
          <w:p>
            <w:pPr>
              <w:spacing w:after="0"/>
              <w:rPr>
                <w:sz w:val="16"/>
                <w:szCs w:val="16"/>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FROM OPERATING ACTIVITIES</w:t>
            </w:r>
          </w:p>
        </w:tc>
        <w:tc>
          <w:tcPr>
            <w:tcW w:w="1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Net profit for the period</w:t>
            </w:r>
          </w:p>
        </w:tc>
        <w:tc>
          <w:tcPr>
            <w:tcW w:w="1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213,175</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1,123,264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b w:val="1"/>
                <w:bCs w:val="1"/>
                <w:color w:val="auto"/>
                <w:w w:val="91"/>
              </w:rPr>
              <w:t>Adjustment to reconcile net profit to net cash arising from operating activities:</w:t>
            </w:r>
          </w:p>
        </w:tc>
        <w:tc>
          <w:tcPr>
            <w:tcW w:w="1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Provision for credit losses on loan portfolio</w:t>
            </w:r>
          </w:p>
        </w:tc>
        <w:tc>
          <w:tcPr>
            <w:tcW w:w="17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7(c)</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1,388,711</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453,285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125,150</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105,643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Depreciation of right-of-use assets</w:t>
            </w:r>
          </w:p>
        </w:tc>
        <w:tc>
          <w:tcPr>
            <w:tcW w:w="1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46,598</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25,682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Depreciation of investment properties</w:t>
            </w:r>
          </w:p>
        </w:tc>
        <w:tc>
          <w:tcPr>
            <w:tcW w:w="174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13(e)</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1,682</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6,727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expense tax</w:t>
            </w:r>
          </w:p>
        </w:tc>
        <w:tc>
          <w:tcPr>
            <w:tcW w:w="17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19(b)</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(212,846)</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42,449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Adjustment of technical reserves</w:t>
            </w:r>
          </w:p>
        </w:tc>
        <w:tc>
          <w:tcPr>
            <w:tcW w:w="174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25(a)</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57,539</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246,699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Net loss (gain) on securities</w:t>
            </w:r>
          </w:p>
        </w:tc>
        <w:tc>
          <w:tcPr>
            <w:tcW w:w="2880" w:type="dxa"/>
            <w:vAlign w:val="bottom"/>
            <w:gridSpan w:val="2"/>
            <w:shd w:val="clear" w:color="auto" w:fill="CCEEFF"/>
          </w:tcPr>
          <w:p>
            <w:pPr>
              <w:jc w:val="center"/>
              <w:ind w:left="1638"/>
              <w:spacing w:after="0"/>
              <w:rPr>
                <w:sz w:val="20"/>
                <w:szCs w:val="20"/>
                <w:color w:val="auto"/>
              </w:rPr>
            </w:pPr>
            <w:r>
              <w:rPr>
                <w:rFonts w:ascii="Arial" w:cs="Arial" w:eastAsia="Arial" w:hAnsi="Arial"/>
                <w:sz w:val="16"/>
                <w:szCs w:val="16"/>
                <w:color w:val="auto"/>
                <w:w w:val="89"/>
              </w:rPr>
              <w:t>24</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101,408</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(128,331)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Provision for sundry risks</w:t>
            </w:r>
          </w:p>
        </w:tc>
        <w:tc>
          <w:tcPr>
            <w:tcW w:w="2880" w:type="dxa"/>
            <w:vAlign w:val="bottom"/>
            <w:gridSpan w:val="2"/>
          </w:tcPr>
          <w:p>
            <w:pPr>
              <w:jc w:val="center"/>
              <w:ind w:left="1638"/>
              <w:spacing w:after="0"/>
              <w:rPr>
                <w:sz w:val="20"/>
                <w:szCs w:val="20"/>
                <w:color w:val="auto"/>
              </w:rPr>
            </w:pPr>
            <w:r>
              <w:rPr>
                <w:rFonts w:ascii="Arial" w:cs="Arial" w:eastAsia="Arial" w:hAnsi="Arial"/>
                <w:sz w:val="16"/>
                <w:szCs w:val="16"/>
                <w:color w:val="auto"/>
                <w:w w:val="89"/>
              </w:rPr>
              <w:t>29</w:t>
            </w:r>
          </w:p>
        </w:tc>
        <w:tc>
          <w:tcPr>
            <w:tcW w:w="10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5,772</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6,195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w w:val="99"/>
              </w:rPr>
              <w:t>Loss (gain) on financial assets designated at fair value through profit and loss</w:t>
            </w:r>
          </w:p>
        </w:tc>
        <w:tc>
          <w:tcPr>
            <w:tcW w:w="17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25(a)</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98,243</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(47,242)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Net (gain) loss of trading derivatives</w:t>
            </w:r>
          </w:p>
        </w:tc>
        <w:tc>
          <w:tcPr>
            <w:tcW w:w="1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(35,430)</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2,434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Net income from sale of property, furniture and equipment</w:t>
            </w:r>
          </w:p>
        </w:tc>
        <w:tc>
          <w:tcPr>
            <w:tcW w:w="2880" w:type="dxa"/>
            <w:vAlign w:val="bottom"/>
            <w:gridSpan w:val="2"/>
            <w:shd w:val="clear" w:color="auto" w:fill="CCEEFF"/>
          </w:tcPr>
          <w:p>
            <w:pPr>
              <w:jc w:val="center"/>
              <w:ind w:left="1638"/>
              <w:spacing w:after="0"/>
              <w:rPr>
                <w:sz w:val="20"/>
                <w:szCs w:val="20"/>
                <w:color w:val="auto"/>
              </w:rPr>
            </w:pPr>
            <w:r>
              <w:rPr>
                <w:rFonts w:ascii="Arial" w:cs="Arial" w:eastAsia="Arial" w:hAnsi="Arial"/>
                <w:sz w:val="16"/>
                <w:szCs w:val="16"/>
                <w:color w:val="auto"/>
                <w:w w:val="89"/>
              </w:rPr>
              <w:t>29</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(10,319)</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Net (gain) loss from sale of seized and recovered assets</w:t>
            </w:r>
          </w:p>
        </w:tc>
        <w:tc>
          <w:tcPr>
            <w:tcW w:w="2880" w:type="dxa"/>
            <w:vAlign w:val="bottom"/>
            <w:gridSpan w:val="2"/>
          </w:tcPr>
          <w:p>
            <w:pPr>
              <w:jc w:val="center"/>
              <w:ind w:left="1638"/>
              <w:spacing w:after="0"/>
              <w:rPr>
                <w:sz w:val="20"/>
                <w:szCs w:val="20"/>
                <w:color w:val="auto"/>
              </w:rPr>
            </w:pPr>
            <w:r>
              <w:rPr>
                <w:rFonts w:ascii="Arial" w:cs="Arial" w:eastAsia="Arial" w:hAnsi="Arial"/>
                <w:sz w:val="16"/>
                <w:szCs w:val="16"/>
                <w:color w:val="auto"/>
                <w:w w:val="89"/>
              </w:rPr>
              <w:t>29</w:t>
            </w:r>
          </w:p>
        </w:tc>
        <w:tc>
          <w:tcPr>
            <w:tcW w:w="10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(1,312)</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5,533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Expense for share-based payment transactions</w:t>
            </w:r>
          </w:p>
        </w:tc>
        <w:tc>
          <w:tcPr>
            <w:tcW w:w="2880" w:type="dxa"/>
            <w:vAlign w:val="bottom"/>
            <w:gridSpan w:val="2"/>
            <w:shd w:val="clear" w:color="auto" w:fill="CCEEFF"/>
          </w:tcPr>
          <w:p>
            <w:pPr>
              <w:jc w:val="center"/>
              <w:ind w:left="1638"/>
              <w:spacing w:after="0"/>
              <w:rPr>
                <w:sz w:val="20"/>
                <w:szCs w:val="20"/>
                <w:color w:val="auto"/>
              </w:rPr>
            </w:pPr>
            <w:r>
              <w:rPr>
                <w:rFonts w:ascii="Arial" w:cs="Arial" w:eastAsia="Arial" w:hAnsi="Arial"/>
                <w:sz w:val="16"/>
                <w:szCs w:val="16"/>
                <w:color w:val="auto"/>
                <w:w w:val="89"/>
              </w:rPr>
              <w:t>27</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20,120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26,390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Others</w:t>
            </w:r>
          </w:p>
        </w:tc>
        <w:tc>
          <w:tcPr>
            <w:tcW w:w="1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21,240</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(13,490)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changes in assets and liabilities</w:t>
            </w:r>
          </w:p>
        </w:tc>
        <w:tc>
          <w:tcPr>
            <w:tcW w:w="1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b w:val="1"/>
                <w:bCs w:val="1"/>
                <w:color w:val="auto"/>
              </w:rPr>
              <w:t>Net (increase) decrease in assets:</w:t>
            </w:r>
          </w:p>
        </w:tc>
        <w:tc>
          <w:tcPr>
            <w:tcW w:w="1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Loans</w:t>
            </w:r>
          </w:p>
        </w:tc>
        <w:tc>
          <w:tcPr>
            <w:tcW w:w="1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(4,319,772)</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1,269,838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Investments at fair value through profit or loss</w:t>
            </w:r>
          </w:p>
        </w:tc>
        <w:tc>
          <w:tcPr>
            <w:tcW w:w="1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(374,935)</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(574,837)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Investments at fair value through other comprehensive income</w:t>
            </w:r>
          </w:p>
        </w:tc>
        <w:tc>
          <w:tcPr>
            <w:tcW w:w="1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(2,882,465)</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(1,499,324)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Cash collateral, reverse repurchase agreements and securities borrowings</w:t>
            </w:r>
          </w:p>
        </w:tc>
        <w:tc>
          <w:tcPr>
            <w:tcW w:w="1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(10,460)</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3,363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(696,212)</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(546,345)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b w:val="1"/>
                <w:bCs w:val="1"/>
                <w:color w:val="auto"/>
              </w:rPr>
              <w:t>Net increase (decrease) in liabilities</w:t>
            </w:r>
          </w:p>
        </w:tc>
        <w:tc>
          <w:tcPr>
            <w:tcW w:w="1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Deposits and obligations</w:t>
            </w:r>
          </w:p>
        </w:tc>
        <w:tc>
          <w:tcPr>
            <w:tcW w:w="1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5,812,631</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(114,193)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Due to Banks and correspondents</w:t>
            </w:r>
          </w:p>
        </w:tc>
        <w:tc>
          <w:tcPr>
            <w:tcW w:w="1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824,889</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(1,159,531)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Payables from repurchase agreements and securities lending</w:t>
            </w:r>
          </w:p>
        </w:tc>
        <w:tc>
          <w:tcPr>
            <w:tcW w:w="1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549,499</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(581,787)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Bonds and notes issued</w:t>
            </w:r>
          </w:p>
        </w:tc>
        <w:tc>
          <w:tcPr>
            <w:tcW w:w="1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(108,479)</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202,622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Short-term and low-value lease payments</w:t>
            </w:r>
          </w:p>
        </w:tc>
        <w:tc>
          <w:tcPr>
            <w:tcW w:w="1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(22,418)</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(18,843)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Other liabilities</w:t>
            </w:r>
          </w:p>
        </w:tc>
        <w:tc>
          <w:tcPr>
            <w:tcW w:w="1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3,051,336</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2,600,039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Income tax paid</w:t>
            </w:r>
          </w:p>
        </w:tc>
        <w:tc>
          <w:tcPr>
            <w:tcW w:w="1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(392,399)</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(393,582)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60" w:type="dxa"/>
            <w:vAlign w:val="bottom"/>
          </w:tcPr>
          <w:p>
            <w:pPr>
              <w:spacing w:after="0"/>
              <w:rPr>
                <w:sz w:val="20"/>
                <w:szCs w:val="20"/>
                <w:color w:val="auto"/>
              </w:rPr>
            </w:pPr>
            <w:r>
              <w:rPr>
                <w:rFonts w:ascii="Arial" w:cs="Arial" w:eastAsia="Arial" w:hAnsi="Arial"/>
                <w:sz w:val="16"/>
                <w:szCs w:val="16"/>
                <w:b w:val="1"/>
                <w:bCs w:val="1"/>
                <w:color w:val="auto"/>
              </w:rPr>
              <w:t>Net cash flow from operating activities</w:t>
            </w:r>
          </w:p>
        </w:tc>
        <w:tc>
          <w:tcPr>
            <w:tcW w:w="1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3,250,946</w:t>
            </w:r>
          </w:p>
        </w:tc>
        <w:tc>
          <w:tcPr>
            <w:tcW w:w="24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1,042,658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378"/>
              <w:spacing w:after="0"/>
              <w:rPr>
                <w:sz w:val="20"/>
                <w:szCs w:val="20"/>
                <w:color w:val="auto"/>
              </w:rPr>
            </w:pPr>
            <w:r>
              <w:rPr>
                <w:rFonts w:ascii="Arial" w:cs="Arial" w:eastAsia="Arial" w:hAnsi="Arial"/>
                <w:sz w:val="16"/>
                <w:szCs w:val="16"/>
                <w:color w:val="auto"/>
                <w:w w:val="91"/>
              </w:rPr>
              <w:t>- 6 -</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35"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20" w:type="dxa"/>
            <w:vAlign w:val="bottom"/>
            <w:gridSpan w:val="2"/>
          </w:tcPr>
          <w:p>
            <w:pPr>
              <w:spacing w:after="0"/>
              <w:rPr>
                <w:sz w:val="20"/>
                <w:szCs w:val="20"/>
                <w:color w:val="auto"/>
              </w:rPr>
            </w:pPr>
            <w:r>
              <w:rPr>
                <w:rFonts w:ascii="Arial" w:cs="Arial" w:eastAsia="Arial" w:hAnsi="Arial"/>
                <w:sz w:val="16"/>
                <w:szCs w:val="16"/>
                <w:color w:val="auto"/>
              </w:rPr>
              <w:t>Interim condensed consolidated statement of cash flows (continued)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4"/>
          </w:tcPr>
          <w:p>
            <w:pPr>
              <w:jc w:val="right"/>
              <w:ind w:right="358"/>
              <w:spacing w:after="0"/>
              <w:rPr>
                <w:sz w:val="20"/>
                <w:szCs w:val="20"/>
                <w:color w:val="auto"/>
              </w:rPr>
            </w:pPr>
            <w:r>
              <w:rPr>
                <w:rFonts w:ascii="Arial" w:cs="Arial" w:eastAsia="Arial" w:hAnsi="Arial"/>
                <w:sz w:val="16"/>
                <w:szCs w:val="16"/>
                <w:b w:val="1"/>
                <w:bCs w:val="1"/>
                <w:color w:val="auto"/>
              </w:rPr>
              <w:t>For the three-month periods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4"/>
          </w:tcPr>
          <w:p>
            <w:pPr>
              <w:jc w:val="right"/>
              <w:ind w:right="778"/>
              <w:spacing w:after="0"/>
              <w:rPr>
                <w:sz w:val="20"/>
                <w:szCs w:val="20"/>
                <w:color w:val="auto"/>
              </w:rPr>
            </w:pPr>
            <w:r>
              <w:rPr>
                <w:rFonts w:ascii="Arial" w:cs="Arial" w:eastAsia="Arial" w:hAnsi="Arial"/>
                <w:sz w:val="16"/>
                <w:szCs w:val="16"/>
                <w:b w:val="1"/>
                <w:bCs w:val="1"/>
                <w:color w:val="auto"/>
              </w:rPr>
              <w:t>ended March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1240" w:type="dxa"/>
            <w:vAlign w:val="bottom"/>
            <w:gridSpan w:val="2"/>
          </w:tcPr>
          <w:p>
            <w:pPr>
              <w:ind w:left="400"/>
              <w:spacing w:after="0"/>
              <w:rPr>
                <w:sz w:val="20"/>
                <w:szCs w:val="20"/>
                <w:color w:val="auto"/>
              </w:rPr>
            </w:pPr>
            <w:r>
              <w:rPr>
                <w:rFonts w:ascii="Arial" w:cs="Arial" w:eastAsia="Arial" w:hAnsi="Arial"/>
                <w:sz w:val="16"/>
                <w:szCs w:val="16"/>
                <w:b w:val="1"/>
                <w:bCs w:val="1"/>
                <w:color w:val="auto"/>
              </w:rPr>
              <w:t>Note</w:t>
            </w:r>
          </w:p>
        </w:tc>
        <w:tc>
          <w:tcPr>
            <w:tcW w:w="1220" w:type="dxa"/>
            <w:vAlign w:val="bottom"/>
            <w:tcBorders>
              <w:top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S/000</w:t>
            </w:r>
          </w:p>
        </w:tc>
        <w:tc>
          <w:tcPr>
            <w:tcW w:w="240" w:type="dxa"/>
            <w:vAlign w:val="bottom"/>
          </w:tcPr>
          <w:p>
            <w:pPr>
              <w:spacing w:after="0"/>
              <w:rPr>
                <w:sz w:val="16"/>
                <w:szCs w:val="16"/>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FLOWS FROM INVESTING ACTIVITIES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Proceeds from sale of property, furniture and equipment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138"/>
              <w:spacing w:after="0"/>
              <w:rPr>
                <w:sz w:val="20"/>
                <w:szCs w:val="20"/>
                <w:color w:val="auto"/>
              </w:rPr>
            </w:pPr>
            <w:r>
              <w:rPr>
                <w:rFonts w:ascii="Arial" w:cs="Arial" w:eastAsia="Arial" w:hAnsi="Arial"/>
                <w:sz w:val="16"/>
                <w:szCs w:val="16"/>
                <w:color w:val="auto"/>
              </w:rPr>
              <w:t>22,453</w:t>
            </w:r>
          </w:p>
        </w:tc>
        <w:tc>
          <w:tcPr>
            <w:tcW w:w="1320" w:type="dxa"/>
            <w:vAlign w:val="bottom"/>
            <w:gridSpan w:val="2"/>
          </w:tcPr>
          <w:p>
            <w:pPr>
              <w:jc w:val="right"/>
              <w:ind w:right="18"/>
              <w:spacing w:after="0"/>
              <w:rPr>
                <w:sz w:val="20"/>
                <w:szCs w:val="20"/>
                <w:color w:val="auto"/>
              </w:rPr>
            </w:pPr>
            <w:r>
              <w:rPr>
                <w:rFonts w:ascii="Arial" w:cs="Arial" w:eastAsia="Arial" w:hAnsi="Arial"/>
                <w:sz w:val="16"/>
                <w:szCs w:val="16"/>
                <w:color w:val="auto"/>
              </w:rPr>
              <w:t>2,197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Purchase of property, furniture and equipment</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(15,348)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(32,084)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Purchase of investment property</w:t>
            </w:r>
          </w:p>
        </w:tc>
        <w:tc>
          <w:tcPr>
            <w:tcW w:w="1240" w:type="dxa"/>
            <w:vAlign w:val="bottom"/>
            <w:gridSpan w:val="2"/>
          </w:tcPr>
          <w:p>
            <w:pPr>
              <w:ind w:left="400"/>
              <w:spacing w:after="0"/>
              <w:rPr>
                <w:sz w:val="20"/>
                <w:szCs w:val="20"/>
                <w:color w:val="auto"/>
              </w:rPr>
            </w:pPr>
            <w:r>
              <w:rPr>
                <w:rFonts w:ascii="Arial" w:cs="Arial" w:eastAsia="Arial" w:hAnsi="Arial"/>
                <w:sz w:val="16"/>
                <w:szCs w:val="16"/>
                <w:color w:val="auto"/>
              </w:rPr>
              <w:t>13(e)</w:t>
            </w:r>
          </w:p>
        </w:tc>
        <w:tc>
          <w:tcPr>
            <w:tcW w:w="1460" w:type="dxa"/>
            <w:vAlign w:val="bottom"/>
            <w:gridSpan w:val="2"/>
          </w:tcPr>
          <w:p>
            <w:pPr>
              <w:jc w:val="right"/>
              <w:ind w:right="98"/>
              <w:spacing w:after="0"/>
              <w:rPr>
                <w:sz w:val="20"/>
                <w:szCs w:val="20"/>
                <w:color w:val="auto"/>
              </w:rPr>
            </w:pPr>
            <w:r>
              <w:rPr>
                <w:rFonts w:ascii="Arial" w:cs="Arial" w:eastAsia="Arial" w:hAnsi="Arial"/>
                <w:sz w:val="16"/>
                <w:szCs w:val="16"/>
                <w:color w:val="auto"/>
              </w:rPr>
              <w:t>(6,595)</w:t>
            </w:r>
          </w:p>
        </w:tc>
        <w:tc>
          <w:tcPr>
            <w:tcW w:w="1320" w:type="dxa"/>
            <w:vAlign w:val="bottom"/>
            <w:gridSpan w:val="2"/>
          </w:tcPr>
          <w:p>
            <w:pPr>
              <w:jc w:val="right"/>
              <w:ind w:right="18"/>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Purchase of intangible assets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(79,958)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(54,298)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Purchase of investment at amortized cost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98"/>
              <w:spacing w:after="0"/>
              <w:rPr>
                <w:sz w:val="20"/>
                <w:szCs w:val="20"/>
                <w:color w:val="auto"/>
              </w:rPr>
            </w:pPr>
            <w:r>
              <w:rPr>
                <w:rFonts w:ascii="Arial" w:cs="Arial" w:eastAsia="Arial" w:hAnsi="Arial"/>
                <w:sz w:val="16"/>
                <w:szCs w:val="16"/>
                <w:color w:val="auto"/>
              </w:rPr>
              <w:t>(1,273,186)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(403,523)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and reimbursement of investment to amortized cost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338,099</w:t>
            </w:r>
          </w:p>
        </w:tc>
        <w:tc>
          <w:tcPr>
            <w:tcW w:w="13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1,439,604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flows from investing activities</w:t>
            </w: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(1,014,535</w:t>
            </w:r>
          </w:p>
        </w:tc>
        <w:tc>
          <w:tcPr>
            <w:tcW w:w="240" w:type="dxa"/>
            <w:vAlign w:val="bottom"/>
            <w:tcBorders>
              <w:bottom w:val="single" w:sz="8" w:color="CCEEFF"/>
            </w:tcBorders>
          </w:tcPr>
          <w:p>
            <w:pPr>
              <w:jc w:val="right"/>
              <w:ind w:right="98"/>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951,919</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200" w:type="dxa"/>
            <w:vAlign w:val="bottom"/>
          </w:tcPr>
          <w:p>
            <w:pPr>
              <w:spacing w:after="0"/>
              <w:rPr>
                <w:sz w:val="20"/>
                <w:szCs w:val="20"/>
                <w:color w:val="auto"/>
              </w:rPr>
            </w:pPr>
            <w:r>
              <w:rPr>
                <w:rFonts w:ascii="Arial" w:cs="Arial" w:eastAsia="Arial" w:hAnsi="Arial"/>
                <w:sz w:val="16"/>
                <w:szCs w:val="16"/>
                <w:b w:val="1"/>
                <w:bCs w:val="1"/>
                <w:color w:val="auto"/>
              </w:rPr>
              <w:t>NET CASH FLOWS FROM FINANCING ACTIVITIES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Dividends paid</w:t>
            </w: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18(d)</w:t>
            </w:r>
          </w:p>
        </w:tc>
        <w:tc>
          <w:tcPr>
            <w:tcW w:w="146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(2,392,844)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(1,595,229)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Dividends paid to non-controlling interest of subsidiaries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98"/>
              <w:spacing w:after="0"/>
              <w:rPr>
                <w:sz w:val="20"/>
                <w:szCs w:val="20"/>
                <w:color w:val="auto"/>
              </w:rPr>
            </w:pPr>
            <w:r>
              <w:rPr>
                <w:rFonts w:ascii="Arial" w:cs="Arial" w:eastAsia="Arial" w:hAnsi="Arial"/>
                <w:sz w:val="16"/>
                <w:szCs w:val="16"/>
                <w:color w:val="auto"/>
              </w:rPr>
              <w:t>(799)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(40,519)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Principal payments of leasing contracts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(42,282)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(40,335)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Interest payments of leasing contracts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98"/>
              <w:spacing w:after="0"/>
              <w:rPr>
                <w:sz w:val="20"/>
                <w:szCs w:val="20"/>
                <w:color w:val="auto"/>
              </w:rPr>
            </w:pPr>
            <w:r>
              <w:rPr>
                <w:rFonts w:ascii="Arial" w:cs="Arial" w:eastAsia="Arial" w:hAnsi="Arial"/>
                <w:sz w:val="16"/>
                <w:szCs w:val="16"/>
                <w:color w:val="auto"/>
              </w:rPr>
              <w:t>(7,803)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(5,985)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Purchase of treasury stock</w:t>
            </w: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18(b)</w:t>
            </w:r>
          </w:p>
        </w:tc>
        <w:tc>
          <w:tcPr>
            <w:tcW w:w="146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(151,899)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(103,225)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flows from financing activities</w:t>
            </w: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(2,595,627</w:t>
            </w:r>
          </w:p>
        </w:tc>
        <w:tc>
          <w:tcPr>
            <w:tcW w:w="240" w:type="dxa"/>
            <w:vAlign w:val="bottom"/>
            <w:tcBorders>
              <w:bottom w:val="single" w:sz="8" w:color="CCEEFF"/>
            </w:tcBorders>
          </w:tcPr>
          <w:p>
            <w:pPr>
              <w:jc w:val="right"/>
              <w:ind w:right="98"/>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(1,785,293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6"/>
                <w:szCs w:val="16"/>
                <w:b w:val="1"/>
                <w:bCs w:val="1"/>
                <w:color w:val="auto"/>
                <w:w w:val="98"/>
              </w:rPr>
              <w:t>Net (decrease) increase of cash and cash equivalents before effect of changes in exchange rate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98"/>
              <w:spacing w:after="0"/>
              <w:rPr>
                <w:sz w:val="20"/>
                <w:szCs w:val="20"/>
                <w:color w:val="auto"/>
              </w:rPr>
            </w:pPr>
            <w:r>
              <w:rPr>
                <w:rFonts w:ascii="Arial" w:cs="Arial" w:eastAsia="Arial" w:hAnsi="Arial"/>
                <w:sz w:val="16"/>
                <w:szCs w:val="16"/>
                <w:color w:val="auto"/>
              </w:rPr>
              <w:t>(359,216)</w:t>
            </w:r>
          </w:p>
        </w:tc>
        <w:tc>
          <w:tcPr>
            <w:tcW w:w="1320" w:type="dxa"/>
            <w:vAlign w:val="bottom"/>
            <w:gridSpan w:val="2"/>
          </w:tcPr>
          <w:p>
            <w:pPr>
              <w:jc w:val="right"/>
              <w:ind w:right="18"/>
              <w:spacing w:after="0"/>
              <w:rPr>
                <w:sz w:val="20"/>
                <w:szCs w:val="20"/>
                <w:color w:val="auto"/>
              </w:rPr>
            </w:pPr>
            <w:r>
              <w:rPr>
                <w:rFonts w:ascii="Arial" w:cs="Arial" w:eastAsia="Arial" w:hAnsi="Arial"/>
                <w:sz w:val="16"/>
                <w:szCs w:val="16"/>
                <w:color w:val="auto"/>
              </w:rPr>
              <w:t>209,284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Effect of changes in exchange rate of cash and cash equivalents</w:t>
            </w:r>
          </w:p>
        </w:tc>
        <w:tc>
          <w:tcPr>
            <w:tcW w:w="1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697,368</w:t>
            </w:r>
          </w:p>
        </w:tc>
        <w:tc>
          <w:tcPr>
            <w:tcW w:w="2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(257,967)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6"/>
                <w:szCs w:val="16"/>
                <w:b w:val="1"/>
                <w:bCs w:val="1"/>
                <w:color w:val="auto"/>
              </w:rPr>
              <w:t>Cash and cash equivalents at the beginning of the period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58"/>
              <w:spacing w:after="0"/>
              <w:rPr>
                <w:sz w:val="20"/>
                <w:szCs w:val="20"/>
                <w:color w:val="auto"/>
              </w:rPr>
            </w:pPr>
            <w:r>
              <w:rPr>
                <w:rFonts w:ascii="Arial" w:cs="Arial" w:eastAsia="Arial" w:hAnsi="Arial"/>
                <w:sz w:val="16"/>
                <w:szCs w:val="16"/>
                <w:color w:val="auto"/>
              </w:rPr>
              <w:t>25,974,042</w:t>
            </w:r>
          </w:p>
        </w:tc>
        <w:tc>
          <w:tcPr>
            <w:tcW w:w="1320" w:type="dxa"/>
            <w:vAlign w:val="bottom"/>
            <w:gridSpan w:val="2"/>
          </w:tcPr>
          <w:p>
            <w:pPr>
              <w:jc w:val="right"/>
              <w:ind w:right="18"/>
              <w:spacing w:after="0"/>
              <w:rPr>
                <w:sz w:val="20"/>
                <w:szCs w:val="20"/>
                <w:color w:val="auto"/>
              </w:rPr>
            </w:pPr>
            <w:r>
              <w:rPr>
                <w:rFonts w:ascii="Arial" w:cs="Arial" w:eastAsia="Arial" w:hAnsi="Arial"/>
                <w:sz w:val="16"/>
                <w:szCs w:val="16"/>
                <w:color w:val="auto"/>
              </w:rPr>
              <w:t>22,160,803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26,312,194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22,112,120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restart"/>
          </w:tcPr>
          <w:p>
            <w:pPr>
              <w:spacing w:after="0"/>
              <w:rPr>
                <w:sz w:val="15"/>
                <w:szCs w:val="15"/>
                <w:color w:val="auto"/>
              </w:rPr>
            </w:pPr>
          </w:p>
        </w:tc>
        <w:tc>
          <w:tcPr>
            <w:tcW w:w="7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Additional information from cash flows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Interest received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158"/>
              <w:spacing w:after="0"/>
              <w:rPr>
                <w:sz w:val="20"/>
                <w:szCs w:val="20"/>
                <w:color w:val="auto"/>
              </w:rPr>
            </w:pPr>
            <w:r>
              <w:rPr>
                <w:rFonts w:ascii="Arial" w:cs="Arial" w:eastAsia="Arial" w:hAnsi="Arial"/>
                <w:sz w:val="16"/>
                <w:szCs w:val="16"/>
                <w:color w:val="auto"/>
              </w:rPr>
              <w:t>3,196,720</w:t>
            </w:r>
          </w:p>
        </w:tc>
        <w:tc>
          <w:tcPr>
            <w:tcW w:w="1320" w:type="dxa"/>
            <w:vAlign w:val="bottom"/>
            <w:gridSpan w:val="2"/>
          </w:tcPr>
          <w:p>
            <w:pPr>
              <w:jc w:val="right"/>
              <w:ind w:right="18"/>
              <w:spacing w:after="0"/>
              <w:rPr>
                <w:sz w:val="20"/>
                <w:szCs w:val="20"/>
                <w:color w:val="auto"/>
              </w:rPr>
            </w:pPr>
            <w:r>
              <w:rPr>
                <w:rFonts w:ascii="Arial" w:cs="Arial" w:eastAsia="Arial" w:hAnsi="Arial"/>
                <w:sz w:val="16"/>
                <w:szCs w:val="16"/>
                <w:color w:val="auto"/>
              </w:rPr>
              <w:t>3,022,022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Interest paid</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(817,727)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(790,420)</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7200" w:type="dxa"/>
            <w:vAlign w:val="bottom"/>
            <w:tcBorders>
              <w:bottom w:val="single" w:sz="8" w:color="auto"/>
            </w:tcBorders>
          </w:tcPr>
          <w:p>
            <w:pPr>
              <w:jc w:val="right"/>
              <w:ind w:right="1378"/>
              <w:spacing w:after="0"/>
              <w:rPr>
                <w:sz w:val="20"/>
                <w:szCs w:val="20"/>
                <w:color w:val="auto"/>
              </w:rPr>
            </w:pPr>
            <w:r>
              <w:rPr>
                <w:rFonts w:ascii="Arial" w:cs="Arial" w:eastAsia="Arial" w:hAnsi="Arial"/>
                <w:sz w:val="16"/>
                <w:szCs w:val="16"/>
                <w:color w:val="auto"/>
              </w:rPr>
              <w:t>- 7 -</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39"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Interim condensed consolidated statement of cash flows (continued)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liabilities arising from financing activities: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5"/>
                <w:szCs w:val="15"/>
                <w:b w:val="1"/>
                <w:bCs w:val="1"/>
                <w:color w:val="auto"/>
                <w:w w:val="86"/>
              </w:rPr>
              <w:t>Changes that generate</w:t>
            </w:r>
          </w:p>
        </w:tc>
        <w:tc>
          <w:tcPr>
            <w:tcW w:w="246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86"/>
              </w:rPr>
              <w:t>Changes that do not generate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5"/>
                <w:szCs w:val="15"/>
                <w:b w:val="1"/>
                <w:bCs w:val="1"/>
                <w:color w:val="auto"/>
                <w:w w:val="83"/>
              </w:rPr>
              <w:t>cash flows</w:t>
            </w:r>
          </w:p>
        </w:tc>
        <w:tc>
          <w:tcPr>
            <w:tcW w:w="1480" w:type="dxa"/>
            <w:vAlign w:val="bottom"/>
            <w:gridSpan w:val="3"/>
          </w:tcPr>
          <w:p>
            <w:pPr>
              <w:jc w:val="center"/>
              <w:ind w:left="682"/>
              <w:spacing w:after="0"/>
              <w:rPr>
                <w:sz w:val="20"/>
                <w:szCs w:val="20"/>
                <w:color w:val="auto"/>
              </w:rPr>
            </w:pPr>
            <w:r>
              <w:rPr>
                <w:rFonts w:ascii="Arial" w:cs="Arial" w:eastAsia="Arial" w:hAnsi="Arial"/>
                <w:sz w:val="15"/>
                <w:szCs w:val="15"/>
                <w:b w:val="1"/>
                <w:bCs w:val="1"/>
                <w:color w:val="auto"/>
                <w:w w:val="83"/>
              </w:rPr>
              <w:t>cash flows</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6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For the three-month period</w:t>
            </w:r>
          </w:p>
        </w:tc>
        <w:tc>
          <w:tcPr>
            <w:tcW w:w="126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auto"/>
                <w:w w:val="90"/>
              </w:rPr>
              <w:t>As of January</w:t>
            </w:r>
          </w:p>
        </w:tc>
        <w:tc>
          <w:tcPr>
            <w:tcW w:w="1220" w:type="dxa"/>
            <w:vAlign w:val="bottom"/>
            <w:tcBorders>
              <w:top w:val="single" w:sz="8" w:color="auto"/>
            </w:tcBorders>
            <w:gridSpan w:val="2"/>
          </w:tcPr>
          <w:p>
            <w:pPr>
              <w:jc w:val="center"/>
              <w:ind w:right="220"/>
              <w:spacing w:after="0" w:line="169" w:lineRule="exact"/>
              <w:rPr>
                <w:sz w:val="20"/>
                <w:szCs w:val="20"/>
                <w:color w:val="auto"/>
              </w:rPr>
            </w:pPr>
            <w:r>
              <w:rPr>
                <w:rFonts w:ascii="Arial" w:cs="Arial" w:eastAsia="Arial" w:hAnsi="Arial"/>
                <w:sz w:val="15"/>
                <w:szCs w:val="15"/>
                <w:b w:val="1"/>
                <w:bCs w:val="1"/>
                <w:color w:val="auto"/>
                <w:w w:val="90"/>
              </w:rPr>
              <w:t>New</w:t>
            </w:r>
          </w:p>
        </w:tc>
        <w:tc>
          <w:tcPr>
            <w:tcW w:w="10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93"/>
              </w:rPr>
              <w:t>Amortization</w:t>
            </w:r>
          </w:p>
        </w:tc>
        <w:tc>
          <w:tcPr>
            <w:tcW w:w="220" w:type="dxa"/>
            <w:vAlign w:val="bottom"/>
          </w:tcPr>
          <w:p>
            <w:pPr>
              <w:spacing w:after="0"/>
              <w:rPr>
                <w:sz w:val="14"/>
                <w:szCs w:val="14"/>
                <w:color w:val="auto"/>
              </w:rPr>
            </w:pPr>
          </w:p>
        </w:tc>
        <w:tc>
          <w:tcPr>
            <w:tcW w:w="1480" w:type="dxa"/>
            <w:vAlign w:val="bottom"/>
            <w:tcBorders>
              <w:top w:val="single" w:sz="8" w:color="auto"/>
            </w:tcBorders>
            <w:gridSpan w:val="3"/>
          </w:tcPr>
          <w:p>
            <w:pPr>
              <w:jc w:val="center"/>
              <w:ind w:right="480"/>
              <w:spacing w:after="0" w:line="169" w:lineRule="exact"/>
              <w:rPr>
                <w:sz w:val="20"/>
                <w:szCs w:val="20"/>
                <w:color w:val="auto"/>
              </w:rPr>
            </w:pPr>
            <w:r>
              <w:rPr>
                <w:rFonts w:ascii="Arial" w:cs="Arial" w:eastAsia="Arial" w:hAnsi="Arial"/>
                <w:sz w:val="15"/>
                <w:szCs w:val="15"/>
                <w:b w:val="1"/>
                <w:bCs w:val="1"/>
                <w:color w:val="auto"/>
                <w:w w:val="84"/>
              </w:rPr>
              <w:t>Exchange</w:t>
            </w: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120"/>
              <w:spacing w:after="0" w:line="169" w:lineRule="exact"/>
              <w:rPr>
                <w:sz w:val="20"/>
                <w:szCs w:val="20"/>
                <w:color w:val="auto"/>
              </w:rPr>
            </w:pPr>
            <w:r>
              <w:rPr>
                <w:rFonts w:ascii="Arial" w:cs="Arial" w:eastAsia="Arial" w:hAnsi="Arial"/>
                <w:sz w:val="15"/>
                <w:szCs w:val="15"/>
                <w:b w:val="1"/>
                <w:bCs w:val="1"/>
                <w:color w:val="auto"/>
                <w:w w:val="90"/>
              </w:rPr>
              <w:t>As of March</w:t>
            </w:r>
          </w:p>
        </w:tc>
        <w:tc>
          <w:tcPr>
            <w:tcW w:w="0" w:type="dxa"/>
            <w:vAlign w:val="bottom"/>
          </w:tcPr>
          <w:p>
            <w:pPr>
              <w:spacing w:after="0"/>
              <w:rPr>
                <w:sz w:val="1"/>
                <w:szCs w:val="1"/>
                <w:color w:val="auto"/>
              </w:rPr>
            </w:pPr>
          </w:p>
        </w:tc>
      </w:tr>
      <w:tr>
        <w:trPr>
          <w:trHeight w:val="194"/>
        </w:trPr>
        <w:tc>
          <w:tcPr>
            <w:tcW w:w="3960" w:type="dxa"/>
            <w:vAlign w:val="bottom"/>
            <w:gridSpan w:val="2"/>
          </w:tcPr>
          <w:p>
            <w:pPr>
              <w:spacing w:after="0"/>
              <w:rPr>
                <w:sz w:val="20"/>
                <w:szCs w:val="20"/>
                <w:color w:val="auto"/>
              </w:rPr>
            </w:pPr>
            <w:r>
              <w:rPr>
                <w:rFonts w:ascii="Arial" w:cs="Arial" w:eastAsia="Arial" w:hAnsi="Arial"/>
                <w:sz w:val="15"/>
                <w:szCs w:val="15"/>
                <w:b w:val="1"/>
                <w:bCs w:val="1"/>
                <w:color w:val="auto"/>
              </w:rPr>
              <w:t>ended March 31, 2020</w:t>
            </w:r>
          </w:p>
        </w:tc>
        <w:tc>
          <w:tcPr>
            <w:tcW w:w="1020" w:type="dxa"/>
            <w:vAlign w:val="bottom"/>
          </w:tcPr>
          <w:p>
            <w:pPr>
              <w:jc w:val="right"/>
              <w:ind w:right="202"/>
              <w:spacing w:after="0"/>
              <w:rPr>
                <w:sz w:val="20"/>
                <w:szCs w:val="20"/>
                <w:color w:val="auto"/>
              </w:rPr>
            </w:pPr>
            <w:r>
              <w:rPr>
                <w:rFonts w:ascii="Arial" w:cs="Arial" w:eastAsia="Arial" w:hAnsi="Arial"/>
                <w:sz w:val="15"/>
                <w:szCs w:val="15"/>
                <w:b w:val="1"/>
                <w:bCs w:val="1"/>
                <w:color w:val="auto"/>
              </w:rPr>
              <w:t>1, 2020</w:t>
            </w:r>
          </w:p>
        </w:tc>
        <w:tc>
          <w:tcPr>
            <w:tcW w:w="24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76"/>
              </w:rPr>
              <w:t>issues</w:t>
            </w:r>
          </w:p>
        </w:tc>
        <w:tc>
          <w:tcPr>
            <w:tcW w:w="12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of principal</w:t>
            </w:r>
          </w:p>
        </w:tc>
        <w:tc>
          <w:tcPr>
            <w:tcW w:w="1480" w:type="dxa"/>
            <w:vAlign w:val="bottom"/>
            <w:gridSpan w:val="3"/>
          </w:tcPr>
          <w:p>
            <w:pPr>
              <w:jc w:val="center"/>
              <w:ind w:right="480"/>
              <w:spacing w:after="0"/>
              <w:rPr>
                <w:sz w:val="20"/>
                <w:szCs w:val="20"/>
                <w:color w:val="auto"/>
              </w:rPr>
            </w:pPr>
            <w:r>
              <w:rPr>
                <w:rFonts w:ascii="Arial" w:cs="Arial" w:eastAsia="Arial" w:hAnsi="Arial"/>
                <w:sz w:val="15"/>
                <w:szCs w:val="15"/>
                <w:b w:val="1"/>
                <w:bCs w:val="1"/>
                <w:color w:val="auto"/>
                <w:w w:val="89"/>
              </w:rPr>
              <w:t>difference</w:t>
            </w:r>
          </w:p>
        </w:tc>
        <w:tc>
          <w:tcPr>
            <w:tcW w:w="980" w:type="dxa"/>
            <w:vAlign w:val="bottom"/>
            <w:gridSpan w:val="2"/>
          </w:tcPr>
          <w:p>
            <w:pPr>
              <w:jc w:val="center"/>
              <w:ind w:right="480"/>
              <w:spacing w:after="0"/>
              <w:rPr>
                <w:sz w:val="20"/>
                <w:szCs w:val="20"/>
                <w:color w:val="auto"/>
              </w:rPr>
            </w:pPr>
            <w:r>
              <w:rPr>
                <w:rFonts w:ascii="Arial" w:cs="Arial" w:eastAsia="Arial" w:hAnsi="Arial"/>
                <w:sz w:val="15"/>
                <w:szCs w:val="15"/>
                <w:b w:val="1"/>
                <w:bCs w:val="1"/>
                <w:color w:val="auto"/>
                <w:w w:val="86"/>
              </w:rPr>
              <w:t>Others</w:t>
            </w:r>
          </w:p>
        </w:tc>
        <w:tc>
          <w:tcPr>
            <w:tcW w:w="1000" w:type="dxa"/>
            <w:vAlign w:val="bottom"/>
          </w:tcPr>
          <w:p>
            <w:pPr>
              <w:jc w:val="right"/>
              <w:ind w:right="162"/>
              <w:spacing w:after="0"/>
              <w:rPr>
                <w:sz w:val="20"/>
                <w:szCs w:val="20"/>
                <w:color w:val="auto"/>
              </w:rPr>
            </w:pPr>
            <w:r>
              <w:rPr>
                <w:rFonts w:ascii="Arial" w:cs="Arial" w:eastAsia="Arial" w:hAnsi="Arial"/>
                <w:sz w:val="15"/>
                <w:szCs w:val="15"/>
                <w:b w:val="1"/>
                <w:bCs w:val="1"/>
                <w:color w:val="auto"/>
              </w:rPr>
              <w:t>31, 2020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Subordinated bonds:</w:t>
            </w: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960" w:type="dxa"/>
            <w:vAlign w:val="bottom"/>
            <w:gridSpan w:val="2"/>
          </w:tcPr>
          <w:p>
            <w:pPr>
              <w:ind w:left="20"/>
              <w:spacing w:after="0"/>
              <w:rPr>
                <w:sz w:val="20"/>
                <w:szCs w:val="20"/>
                <w:color w:val="auto"/>
              </w:rPr>
            </w:pPr>
            <w:r>
              <w:rPr>
                <w:rFonts w:ascii="Arial" w:cs="Arial" w:eastAsia="Arial" w:hAnsi="Arial"/>
                <w:sz w:val="15"/>
                <w:szCs w:val="15"/>
                <w:color w:val="auto"/>
              </w:rPr>
              <w:t>Amortized cost</w:t>
            </w:r>
          </w:p>
        </w:tc>
        <w:tc>
          <w:tcPr>
            <w:tcW w:w="1020" w:type="dxa"/>
            <w:vAlign w:val="bottom"/>
          </w:tcPr>
          <w:p>
            <w:pPr>
              <w:jc w:val="right"/>
              <w:spacing w:after="0"/>
              <w:rPr>
                <w:sz w:val="20"/>
                <w:szCs w:val="20"/>
                <w:color w:val="auto"/>
              </w:rPr>
            </w:pPr>
            <w:r>
              <w:rPr>
                <w:rFonts w:ascii="Arial" w:cs="Arial" w:eastAsia="Arial" w:hAnsi="Arial"/>
                <w:sz w:val="15"/>
                <w:szCs w:val="15"/>
                <w:color w:val="auto"/>
              </w:rPr>
              <w:t>4,387,743</w:t>
            </w:r>
          </w:p>
        </w:tc>
        <w:tc>
          <w:tcPr>
            <w:tcW w:w="24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138"/>
              <w:spacing w:after="0"/>
              <w:rPr>
                <w:sz w:val="20"/>
                <w:szCs w:val="20"/>
                <w:color w:val="auto"/>
              </w:rPr>
            </w:pPr>
            <w:r>
              <w:rPr>
                <w:rFonts w:ascii="Arial" w:cs="Arial" w:eastAsia="Arial" w:hAnsi="Arial"/>
                <w:sz w:val="15"/>
                <w:szCs w:val="15"/>
                <w:color w:val="auto"/>
              </w:rPr>
              <w:t>149,395</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1,583</w:t>
            </w:r>
          </w:p>
        </w:tc>
        <w:tc>
          <w:tcPr>
            <w:tcW w:w="22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4,538,721</w:t>
            </w:r>
          </w:p>
        </w:tc>
        <w:tc>
          <w:tcPr>
            <w:tcW w:w="0" w:type="dxa"/>
            <w:vAlign w:val="bottom"/>
          </w:tcPr>
          <w:p>
            <w:pPr>
              <w:spacing w:after="0"/>
              <w:rPr>
                <w:sz w:val="1"/>
                <w:szCs w:val="1"/>
                <w:color w:val="auto"/>
              </w:rPr>
            </w:pPr>
          </w:p>
        </w:tc>
      </w:tr>
      <w:tr>
        <w:trPr>
          <w:trHeight w:val="179"/>
        </w:trPr>
        <w:tc>
          <w:tcPr>
            <w:tcW w:w="3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4,387,743</w:t>
            </w:r>
          </w:p>
        </w:tc>
        <w:tc>
          <w:tcPr>
            <w:tcW w:w="2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149,395</w:t>
            </w: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1,583</w:t>
            </w: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4,538,721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69"/>
        </w:trPr>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0"/>
              </w:rPr>
              <w:t>Changes that generate</w:t>
            </w:r>
          </w:p>
        </w:tc>
        <w:tc>
          <w:tcPr>
            <w:tcW w:w="246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0"/>
              </w:rPr>
              <w:t>Changes that do not generate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9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For the three-month period</w:t>
            </w: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As of January</w:t>
            </w:r>
          </w:p>
        </w:tc>
        <w:tc>
          <w:tcPr>
            <w:tcW w:w="246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7"/>
              </w:rPr>
              <w:t>cash flows</w:t>
            </w:r>
          </w:p>
        </w:tc>
        <w:tc>
          <w:tcPr>
            <w:tcW w:w="1480" w:type="dxa"/>
            <w:vAlign w:val="bottom"/>
            <w:gridSpan w:val="3"/>
          </w:tcPr>
          <w:p>
            <w:pPr>
              <w:jc w:val="center"/>
              <w:ind w:left="682"/>
              <w:spacing w:after="0"/>
              <w:rPr>
                <w:sz w:val="20"/>
                <w:szCs w:val="20"/>
                <w:color w:val="auto"/>
              </w:rPr>
            </w:pPr>
            <w:r>
              <w:rPr>
                <w:rFonts w:ascii="Arial" w:cs="Arial" w:eastAsia="Arial" w:hAnsi="Arial"/>
                <w:sz w:val="16"/>
                <w:szCs w:val="16"/>
                <w:b w:val="1"/>
                <w:bCs w:val="1"/>
                <w:color w:val="auto"/>
                <w:w w:val="87"/>
              </w:rPr>
              <w:t>cash flows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6"/>
              </w:rPr>
              <w:t>As of March</w:t>
            </w:r>
          </w:p>
        </w:tc>
        <w:tc>
          <w:tcPr>
            <w:tcW w:w="0" w:type="dxa"/>
            <w:vAlign w:val="bottom"/>
          </w:tcPr>
          <w:p>
            <w:pPr>
              <w:spacing w:after="0"/>
              <w:rPr>
                <w:sz w:val="1"/>
                <w:szCs w:val="1"/>
                <w:color w:val="auto"/>
              </w:rPr>
            </w:pPr>
          </w:p>
        </w:tc>
      </w:tr>
      <w:tr>
        <w:trPr>
          <w:trHeight w:val="173"/>
        </w:trPr>
        <w:tc>
          <w:tcPr>
            <w:tcW w:w="396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20" w:type="dxa"/>
            <w:vAlign w:val="bottom"/>
            <w:tcBorders>
              <w:top w:val="single" w:sz="8" w:color="auto"/>
            </w:tcBorders>
            <w:gridSpan w:val="2"/>
          </w:tcPr>
          <w:p>
            <w:pPr>
              <w:jc w:val="center"/>
              <w:ind w:right="220"/>
              <w:spacing w:after="0" w:line="174" w:lineRule="exact"/>
              <w:rPr>
                <w:sz w:val="20"/>
                <w:szCs w:val="20"/>
                <w:color w:val="auto"/>
              </w:rPr>
            </w:pPr>
            <w:r>
              <w:rPr>
                <w:rFonts w:ascii="Arial" w:cs="Arial" w:eastAsia="Arial" w:hAnsi="Arial"/>
                <w:sz w:val="16"/>
                <w:szCs w:val="16"/>
                <w:b w:val="1"/>
                <w:bCs w:val="1"/>
                <w:color w:val="auto"/>
                <w:w w:val="97"/>
              </w:rPr>
              <w:t>New</w:t>
            </w:r>
          </w:p>
        </w:tc>
        <w:tc>
          <w:tcPr>
            <w:tcW w:w="1020" w:type="dxa"/>
            <w:vAlign w:val="bottom"/>
            <w:tcBorders>
              <w:top w:val="single" w:sz="8" w:color="auto"/>
            </w:tcBorders>
          </w:tcPr>
          <w:p>
            <w:pPr>
              <w:jc w:val="center"/>
              <w:spacing w:after="0" w:line="174" w:lineRule="exact"/>
              <w:rPr>
                <w:sz w:val="20"/>
                <w:szCs w:val="20"/>
                <w:color w:val="auto"/>
              </w:rPr>
            </w:pPr>
            <w:r>
              <w:rPr>
                <w:rFonts w:ascii="Arial" w:cs="Arial" w:eastAsia="Arial" w:hAnsi="Arial"/>
                <w:sz w:val="16"/>
                <w:szCs w:val="16"/>
                <w:b w:val="1"/>
                <w:bCs w:val="1"/>
                <w:color w:val="auto"/>
                <w:w w:val="96"/>
              </w:rPr>
              <w:t>Amortization</w:t>
            </w:r>
          </w:p>
        </w:tc>
        <w:tc>
          <w:tcPr>
            <w:tcW w:w="220" w:type="dxa"/>
            <w:vAlign w:val="bottom"/>
          </w:tcPr>
          <w:p>
            <w:pPr>
              <w:spacing w:after="0"/>
              <w:rPr>
                <w:sz w:val="15"/>
                <w:szCs w:val="15"/>
                <w:color w:val="auto"/>
              </w:rPr>
            </w:pPr>
          </w:p>
        </w:tc>
        <w:tc>
          <w:tcPr>
            <w:tcW w:w="1480" w:type="dxa"/>
            <w:vAlign w:val="bottom"/>
            <w:tcBorders>
              <w:top w:val="single" w:sz="8" w:color="auto"/>
            </w:tcBorders>
            <w:gridSpan w:val="3"/>
          </w:tcPr>
          <w:p>
            <w:pPr>
              <w:jc w:val="center"/>
              <w:ind w:right="480"/>
              <w:spacing w:after="0" w:line="174" w:lineRule="exact"/>
              <w:rPr>
                <w:sz w:val="20"/>
                <w:szCs w:val="20"/>
                <w:color w:val="auto"/>
              </w:rPr>
            </w:pPr>
            <w:r>
              <w:rPr>
                <w:rFonts w:ascii="Arial" w:cs="Arial" w:eastAsia="Arial" w:hAnsi="Arial"/>
                <w:sz w:val="16"/>
                <w:szCs w:val="16"/>
                <w:b w:val="1"/>
                <w:bCs w:val="1"/>
                <w:color w:val="auto"/>
                <w:w w:val="89"/>
              </w:rPr>
              <w:t>Exchange</w:t>
            </w: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Arial" w:cs="Arial" w:eastAsia="Arial" w:hAnsi="Arial"/>
                <w:sz w:val="16"/>
                <w:szCs w:val="16"/>
                <w:b w:val="1"/>
                <w:bCs w:val="1"/>
                <w:color w:val="auto"/>
              </w:rPr>
              <w:t>ended March 31, 2019</w:t>
            </w:r>
          </w:p>
        </w:tc>
        <w:tc>
          <w:tcPr>
            <w:tcW w:w="1020" w:type="dxa"/>
            <w:vAlign w:val="bottom"/>
          </w:tcPr>
          <w:p>
            <w:pPr>
              <w:jc w:val="right"/>
              <w:ind w:right="182"/>
              <w:spacing w:after="0"/>
              <w:rPr>
                <w:sz w:val="20"/>
                <w:szCs w:val="20"/>
                <w:color w:val="auto"/>
              </w:rPr>
            </w:pPr>
            <w:r>
              <w:rPr>
                <w:rFonts w:ascii="Arial" w:cs="Arial" w:eastAsia="Arial" w:hAnsi="Arial"/>
                <w:sz w:val="16"/>
                <w:szCs w:val="16"/>
                <w:b w:val="1"/>
                <w:bCs w:val="1"/>
                <w:color w:val="auto"/>
              </w:rPr>
              <w:t>1, 2019</w:t>
            </w:r>
          </w:p>
        </w:tc>
        <w:tc>
          <w:tcPr>
            <w:tcW w:w="2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0"/>
              </w:rPr>
              <w:t>issues</w:t>
            </w: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of principal</w:t>
            </w:r>
          </w:p>
        </w:tc>
        <w:tc>
          <w:tcPr>
            <w:tcW w:w="14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8"/>
              </w:rPr>
              <w:t>difference</w:t>
            </w:r>
          </w:p>
        </w:tc>
        <w:tc>
          <w:tcPr>
            <w:tcW w:w="9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2"/>
              </w:rPr>
              <w:t>Others</w:t>
            </w:r>
          </w:p>
        </w:tc>
        <w:tc>
          <w:tcPr>
            <w:tcW w:w="1000" w:type="dxa"/>
            <w:vAlign w:val="bottom"/>
          </w:tcPr>
          <w:p>
            <w:pPr>
              <w:jc w:val="right"/>
              <w:ind w:right="142"/>
              <w:spacing w:after="0"/>
              <w:rPr>
                <w:sz w:val="20"/>
                <w:szCs w:val="20"/>
                <w:color w:val="auto"/>
              </w:rPr>
            </w:pPr>
            <w:r>
              <w:rPr>
                <w:rFonts w:ascii="Arial" w:cs="Arial" w:eastAsia="Arial" w:hAnsi="Arial"/>
                <w:sz w:val="16"/>
                <w:szCs w:val="16"/>
                <w:b w:val="1"/>
                <w:bCs w:val="1"/>
                <w:color w:val="auto"/>
              </w:rPr>
              <w:t>31, 2019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Subordinated bonds:</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Amortized cost</w:t>
            </w:r>
          </w:p>
        </w:tc>
        <w:tc>
          <w:tcPr>
            <w:tcW w:w="1020" w:type="dxa"/>
            <w:vAlign w:val="bottom"/>
          </w:tcPr>
          <w:p>
            <w:pPr>
              <w:jc w:val="right"/>
              <w:spacing w:after="0"/>
              <w:rPr>
                <w:sz w:val="20"/>
                <w:szCs w:val="20"/>
                <w:color w:val="auto"/>
              </w:rPr>
            </w:pPr>
            <w:r>
              <w:rPr>
                <w:rFonts w:ascii="Arial" w:cs="Arial" w:eastAsia="Arial" w:hAnsi="Arial"/>
                <w:sz w:val="16"/>
                <w:szCs w:val="16"/>
                <w:color w:val="auto"/>
              </w:rPr>
              <w:t>5,424,401</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(92,949)</w:t>
            </w:r>
          </w:p>
        </w:tc>
        <w:tc>
          <w:tcPr>
            <w:tcW w:w="2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3,649</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5,335,101</w:t>
            </w:r>
          </w:p>
        </w:tc>
        <w:tc>
          <w:tcPr>
            <w:tcW w:w="0" w:type="dxa"/>
            <w:vAlign w:val="bottom"/>
          </w:tcPr>
          <w:p>
            <w:pPr>
              <w:spacing w:after="0"/>
              <w:rPr>
                <w:sz w:val="1"/>
                <w:szCs w:val="1"/>
                <w:color w:val="auto"/>
              </w:rPr>
            </w:pPr>
          </w:p>
        </w:tc>
      </w:tr>
      <w:tr>
        <w:trPr>
          <w:trHeight w:val="189"/>
        </w:trPr>
        <w:tc>
          <w:tcPr>
            <w:tcW w:w="38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5,424,401</w:t>
            </w: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(92,949</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3,649</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5,335,101</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4" w:name="page15"/>
    <w:bookmarkEnd w:id="14"/>
    <w:p>
      <w:pPr>
        <w:ind w:left="582"/>
        <w:spacing w:after="0"/>
        <w:rPr>
          <w:sz w:val="20"/>
          <w:szCs w:val="20"/>
          <w:color w:val="auto"/>
        </w:rPr>
      </w:pPr>
      <w:r>
        <w:rPr>
          <w:rFonts w:ascii="Arial" w:cs="Arial" w:eastAsia="Arial" w:hAnsi="Arial"/>
          <w:sz w:val="16"/>
          <w:szCs w:val="16"/>
          <w:b w:val="1"/>
          <w:bCs w:val="1"/>
          <w:color w:val="auto"/>
        </w:rPr>
        <w:t>CREDICORP LTD. AND SUBSIDIARIES</w:t>
      </w:r>
    </w:p>
    <w:p>
      <w:pPr>
        <w:spacing w:after="0" w:line="213" w:lineRule="exact"/>
        <w:rPr>
          <w:sz w:val="20"/>
          <w:szCs w:val="20"/>
          <w:color w:val="auto"/>
        </w:rPr>
      </w:pPr>
    </w:p>
    <w:p>
      <w:pPr>
        <w:ind w:left="582"/>
        <w:spacing w:after="0"/>
        <w:rPr>
          <w:sz w:val="20"/>
          <w:szCs w:val="20"/>
          <w:color w:val="auto"/>
        </w:rPr>
      </w:pPr>
      <w:r>
        <w:rPr>
          <w:rFonts w:ascii="Arial" w:cs="Arial" w:eastAsia="Arial" w:hAnsi="Arial"/>
          <w:sz w:val="16"/>
          <w:szCs w:val="16"/>
          <w:color w:val="auto"/>
        </w:rPr>
        <w:t>Notes to the interim condensed consolidated financial statements</w:t>
      </w:r>
    </w:p>
    <w:p>
      <w:pPr>
        <w:spacing w:after="0" w:line="24" w:lineRule="exact"/>
        <w:rPr>
          <w:sz w:val="20"/>
          <w:szCs w:val="20"/>
          <w:color w:val="auto"/>
        </w:rPr>
      </w:pPr>
    </w:p>
    <w:p>
      <w:pPr>
        <w:ind w:left="582"/>
        <w:spacing w:after="0"/>
        <w:rPr>
          <w:sz w:val="20"/>
          <w:szCs w:val="20"/>
          <w:color w:val="auto"/>
        </w:rPr>
      </w:pPr>
      <w:r>
        <w:rPr>
          <w:rFonts w:ascii="Arial" w:cs="Arial" w:eastAsia="Arial" w:hAnsi="Arial"/>
          <w:sz w:val="16"/>
          <w:szCs w:val="16"/>
          <w:color w:val="auto"/>
        </w:rPr>
        <w:t>as of March 31, 2020 and December 31, 2019 and for the three-month</w:t>
      </w:r>
    </w:p>
    <w:p>
      <w:pPr>
        <w:spacing w:after="0" w:line="13" w:lineRule="exact"/>
        <w:rPr>
          <w:sz w:val="20"/>
          <w:szCs w:val="20"/>
          <w:color w:val="auto"/>
        </w:rPr>
      </w:pPr>
    </w:p>
    <w:p>
      <w:pPr>
        <w:ind w:left="582"/>
        <w:spacing w:after="0"/>
        <w:rPr>
          <w:sz w:val="20"/>
          <w:szCs w:val="20"/>
          <w:color w:val="auto"/>
        </w:rPr>
      </w:pPr>
      <w:r>
        <w:rPr>
          <w:rFonts w:ascii="Arial" w:cs="Arial" w:eastAsia="Arial" w:hAnsi="Arial"/>
          <w:sz w:val="16"/>
          <w:szCs w:val="16"/>
          <w:color w:val="auto"/>
        </w:rPr>
        <w:t>periods ended March 31, 2020 and 2019</w:t>
      </w:r>
    </w:p>
    <w:p>
      <w:pPr>
        <w:spacing w:after="0" w:line="194" w:lineRule="exact"/>
        <w:rPr>
          <w:sz w:val="20"/>
          <w:szCs w:val="20"/>
          <w:color w:val="auto"/>
        </w:rPr>
      </w:pPr>
    </w:p>
    <w:p>
      <w:pPr>
        <w:ind w:left="582" w:hanging="582"/>
        <w:spacing w:after="0"/>
        <w:tabs>
          <w:tab w:leader="none" w:pos="582"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OPERATIONS</w:t>
      </w:r>
    </w:p>
    <w:p>
      <w:pPr>
        <w:spacing w:after="0" w:line="213" w:lineRule="exact"/>
        <w:rPr>
          <w:rFonts w:ascii="Arial" w:cs="Arial" w:eastAsia="Arial" w:hAnsi="Arial"/>
          <w:sz w:val="16"/>
          <w:szCs w:val="16"/>
          <w:b w:val="1"/>
          <w:bCs w:val="1"/>
          <w:color w:val="auto"/>
        </w:rPr>
      </w:pPr>
    </w:p>
    <w:p>
      <w:pPr>
        <w:ind w:left="582" w:right="400"/>
        <w:spacing w:after="0" w:line="287" w:lineRule="auto"/>
        <w:rPr>
          <w:rFonts w:ascii="Arial" w:cs="Arial" w:eastAsia="Arial" w:hAnsi="Arial"/>
          <w:sz w:val="16"/>
          <w:szCs w:val="16"/>
          <w:b w:val="1"/>
          <w:bCs w:val="1"/>
          <w:color w:val="auto"/>
        </w:rPr>
      </w:pPr>
      <w:r>
        <w:rPr>
          <w:rFonts w:ascii="Arial" w:cs="Arial" w:eastAsia="Arial" w:hAnsi="Arial"/>
          <w:sz w:val="16"/>
          <w:szCs w:val="16"/>
          <w:color w:val="auto"/>
        </w:rPr>
        <w:t>Credicorp Ltd. (hereinafter “Credicorp” or “the Group”) is a limited liability company incorporated in Bermuda in 1995 to act as a holding company and to coordinate the policies and administration of its subsidiaries. It is also engaged in investing activities.</w:t>
      </w:r>
    </w:p>
    <w:p>
      <w:pPr>
        <w:spacing w:after="0" w:line="149" w:lineRule="exact"/>
        <w:rPr>
          <w:rFonts w:ascii="Arial" w:cs="Arial" w:eastAsia="Arial" w:hAnsi="Arial"/>
          <w:sz w:val="16"/>
          <w:szCs w:val="16"/>
          <w:b w:val="1"/>
          <w:bCs w:val="1"/>
          <w:color w:val="auto"/>
        </w:rPr>
      </w:pPr>
    </w:p>
    <w:p>
      <w:pPr>
        <w:ind w:left="582"/>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Credicorp Ltd., through its banking and non-banking subsidiaries and its associate Entidad Prestadora de Salud, provides a wide range of financial, insurance and health services and products mainly throughout Peru and in certain other countries (See Note 3(b)). Its major subsidiary is Banco de Crédito del Perú (hereinafter “BCP” or the “Bank”), a Peruvian universal bank. Credicorp’s address is Clarendon House 2 Church Street Hamilton, Bermuda; likewise, administration offices of its representative in Peru are located in Calle Centenario Nº156, La Molina, Lima, Peru.</w:t>
      </w:r>
    </w:p>
    <w:p>
      <w:pPr>
        <w:spacing w:after="0" w:line="166"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Credicorp is listed on the Lima and New York stock exchanges.</w:t>
      </w:r>
    </w:p>
    <w:p>
      <w:pPr>
        <w:spacing w:after="0" w:line="209" w:lineRule="exact"/>
        <w:rPr>
          <w:rFonts w:ascii="Arial" w:cs="Arial" w:eastAsia="Arial" w:hAnsi="Arial"/>
          <w:sz w:val="16"/>
          <w:szCs w:val="16"/>
          <w:b w:val="1"/>
          <w:bCs w:val="1"/>
          <w:color w:val="auto"/>
        </w:rPr>
      </w:pPr>
    </w:p>
    <w:p>
      <w:pPr>
        <w:ind w:left="582" w:right="80"/>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The consolidated financial statements as of December 31, 2019 and for the year then ended were approved by the Board of Directors on February 27, 2020. The interim condensed consolidated financial statements as of March 31, 2020 and for the three-month periods ended March 31, 2020 were approved by the Management on June 4, 2020 and will be submitted for their final approval by the Board of Directors; in Management’s opinion, these will be approved without modifications.</w:t>
      </w:r>
    </w:p>
    <w:p>
      <w:pPr>
        <w:spacing w:after="0" w:line="363" w:lineRule="exact"/>
        <w:rPr>
          <w:rFonts w:ascii="Arial" w:cs="Arial" w:eastAsia="Arial" w:hAnsi="Arial"/>
          <w:sz w:val="16"/>
          <w:szCs w:val="16"/>
          <w:b w:val="1"/>
          <w:bCs w:val="1"/>
          <w:color w:val="auto"/>
        </w:rPr>
      </w:pPr>
    </w:p>
    <w:p>
      <w:pPr>
        <w:ind w:left="5582" w:hanging="92"/>
        <w:spacing w:after="0"/>
        <w:tabs>
          <w:tab w:leader="none" w:pos="5582" w:val="left"/>
        </w:tabs>
        <w:numPr>
          <w:ilvl w:val="1"/>
          <w:numId w:val="1"/>
        </w:numPr>
        <w:rPr>
          <w:rFonts w:ascii="Arial" w:cs="Arial" w:eastAsia="Arial" w:hAnsi="Arial"/>
          <w:sz w:val="16"/>
          <w:szCs w:val="16"/>
          <w:color w:val="auto"/>
        </w:rPr>
      </w:pPr>
      <w:r>
        <w:rPr>
          <w:rFonts w:ascii="Arial" w:cs="Arial" w:eastAsia="Arial" w:hAnsi="Arial"/>
          <w:sz w:val="16"/>
          <w:szCs w:val="16"/>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162"/>
          </w:cols>
          <w:pgMar w:left="318" w:top="835" w:right="419" w:bottom="1440" w:gutter="0" w:footer="0" w:header="0"/>
        </w:sectPr>
      </w:pPr>
    </w:p>
    <w:bookmarkStart w:id="15" w:name="page16"/>
    <w:bookmarkEnd w:id="15"/>
    <w:p>
      <w:pPr>
        <w:ind w:left="582" w:hanging="582"/>
        <w:spacing w:after="0"/>
        <w:tabs>
          <w:tab w:leader="none" w:pos="582"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TRANSACTIONS</w:t>
      </w:r>
    </w:p>
    <w:p>
      <w:pPr>
        <w:spacing w:after="0" w:line="213" w:lineRule="exact"/>
        <w:rPr>
          <w:sz w:val="20"/>
          <w:szCs w:val="20"/>
          <w:color w:val="auto"/>
        </w:rPr>
      </w:pPr>
    </w:p>
    <w:p>
      <w:pPr>
        <w:ind w:left="882" w:hanging="292"/>
        <w:spacing w:after="0"/>
        <w:tabs>
          <w:tab w:leader="none" w:pos="882" w:val="left"/>
        </w:tabs>
        <w:numPr>
          <w:ilvl w:val="0"/>
          <w:numId w:val="3"/>
        </w:numPr>
        <w:rPr>
          <w:rFonts w:ascii="Arial" w:cs="Arial" w:eastAsia="Arial" w:hAnsi="Arial"/>
          <w:sz w:val="16"/>
          <w:szCs w:val="16"/>
          <w:color w:val="auto"/>
        </w:rPr>
      </w:pPr>
      <w:r>
        <w:rPr>
          <w:rFonts w:ascii="Arial" w:cs="Arial" w:eastAsia="Arial" w:hAnsi="Arial"/>
          <w:sz w:val="16"/>
          <w:szCs w:val="16"/>
          <w:color w:val="auto"/>
        </w:rPr>
        <w:t>Main acquisitions, incorporations and mergers</w:t>
      </w:r>
    </w:p>
    <w:p>
      <w:pPr>
        <w:spacing w:after="0" w:line="209" w:lineRule="exact"/>
        <w:rPr>
          <w:sz w:val="20"/>
          <w:szCs w:val="20"/>
          <w:color w:val="auto"/>
        </w:rPr>
      </w:pPr>
    </w:p>
    <w:p>
      <w:pPr>
        <w:ind w:left="582"/>
        <w:spacing w:after="0"/>
        <w:rPr>
          <w:sz w:val="20"/>
          <w:szCs w:val="20"/>
          <w:color w:val="auto"/>
        </w:rPr>
      </w:pPr>
      <w:r>
        <w:rPr>
          <w:rFonts w:ascii="Arial" w:cs="Arial" w:eastAsia="Arial" w:hAnsi="Arial"/>
          <w:sz w:val="16"/>
          <w:szCs w:val="16"/>
          <w:color w:val="auto"/>
        </w:rPr>
        <w:t>During the first quarter of 2020, the Group have not performed any significant transaction of acquisitions, incorporations and mergers.</w:t>
      </w:r>
    </w:p>
    <w:p>
      <w:pPr>
        <w:spacing w:after="0" w:line="209" w:lineRule="exact"/>
        <w:rPr>
          <w:sz w:val="20"/>
          <w:szCs w:val="20"/>
          <w:color w:val="auto"/>
        </w:rPr>
      </w:pPr>
    </w:p>
    <w:p>
      <w:pPr>
        <w:ind w:left="582"/>
        <w:spacing w:after="0"/>
        <w:tabs>
          <w:tab w:leader="none" w:pos="861"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5"/>
          <w:szCs w:val="15"/>
          <w:color w:val="auto"/>
        </w:rPr>
        <w:t>The outbreak of the new coronavirus (hereinafter “COVID-19”)</w:t>
      </w:r>
    </w:p>
    <w:p>
      <w:pPr>
        <w:spacing w:after="0" w:line="209" w:lineRule="exact"/>
        <w:rPr>
          <w:sz w:val="20"/>
          <w:szCs w:val="20"/>
          <w:color w:val="auto"/>
        </w:rPr>
      </w:pPr>
    </w:p>
    <w:p>
      <w:pPr>
        <w:ind w:left="582" w:right="160"/>
        <w:spacing w:after="0" w:line="264" w:lineRule="auto"/>
        <w:rPr>
          <w:sz w:val="20"/>
          <w:szCs w:val="20"/>
          <w:color w:val="auto"/>
        </w:rPr>
      </w:pPr>
      <w:r>
        <w:rPr>
          <w:rFonts w:ascii="Arial" w:cs="Arial" w:eastAsia="Arial" w:hAnsi="Arial"/>
          <w:sz w:val="16"/>
          <w:szCs w:val="16"/>
          <w:color w:val="auto"/>
        </w:rPr>
        <w:t>A more recent event that implies risks for the Peruvian economy and our result of operations is the ongoing outbreak of COVID-19, which was first reported in Wuhan, China, on December 31, 2019. Due to the nature of the outbreak, strong measures to mitigate COVID-19 contagion have been taken by governments all around the world, which include closed international borders and severe mobility restrictions (quarantines). As a result, global gross domestic product (GDP) is estimated to contract severely in 2020 (lowest since the Great Depression of 1929), which affects Peru’s main trade partners, including China and the U.S. Moreover, Peru’s exports prices will also be affected due to lower global demand.</w:t>
      </w:r>
    </w:p>
    <w:p>
      <w:pPr>
        <w:spacing w:after="0" w:line="167" w:lineRule="exact"/>
        <w:rPr>
          <w:sz w:val="20"/>
          <w:szCs w:val="20"/>
          <w:color w:val="auto"/>
        </w:rPr>
      </w:pPr>
    </w:p>
    <w:p>
      <w:pPr>
        <w:ind w:left="582" w:right="20"/>
        <w:spacing w:after="0" w:line="298" w:lineRule="auto"/>
        <w:rPr>
          <w:sz w:val="20"/>
          <w:szCs w:val="20"/>
          <w:color w:val="auto"/>
        </w:rPr>
      </w:pPr>
      <w:r>
        <w:rPr>
          <w:rFonts w:ascii="Arial" w:cs="Arial" w:eastAsia="Arial" w:hAnsi="Arial"/>
          <w:sz w:val="15"/>
          <w:szCs w:val="15"/>
          <w:color w:val="auto"/>
        </w:rPr>
        <w:t>As a result of COVID-19, the economies in which Credicorp operates (mainly Peru, Colombia and Bolivia) will be severely disrupted by two factors: (i) the effect on the global economy (economic growth of our main trade partners like China and the U.S., as well as lower commodity prices), and (ii) the local effect of government measures to stop the COVID-19 outbreak. Estimates suggest that around 60% of GDP growth volatility in Peru is explained by external factors.</w:t>
      </w:r>
    </w:p>
    <w:p>
      <w:pPr>
        <w:spacing w:after="0" w:line="144" w:lineRule="exact"/>
        <w:rPr>
          <w:sz w:val="20"/>
          <w:szCs w:val="20"/>
          <w:color w:val="auto"/>
        </w:rPr>
      </w:pPr>
    </w:p>
    <w:p>
      <w:pPr>
        <w:ind w:left="582"/>
        <w:spacing w:after="0" w:line="266" w:lineRule="auto"/>
        <w:rPr>
          <w:sz w:val="20"/>
          <w:szCs w:val="20"/>
          <w:color w:val="auto"/>
        </w:rPr>
      </w:pPr>
      <w:r>
        <w:rPr>
          <w:rFonts w:ascii="Arial" w:cs="Arial" w:eastAsia="Arial" w:hAnsi="Arial"/>
          <w:sz w:val="16"/>
          <w:szCs w:val="16"/>
          <w:color w:val="auto"/>
        </w:rPr>
        <w:t>In Bolivia, acting president established a state of emergency on March 21, 2020 ordering a nation-wide quarantine, in which the public and private activities were suspended until May 10, 2020. Later, the government resolved have a conditional and a dynamic regional quarantine based on the three risks levels (high, medium and low) until June 30, 2020. The low reproduction rate of COVID-19 in high altitude areas could be a positive factor helping Bolivia to maintain the cases at a low level.</w:t>
      </w:r>
    </w:p>
    <w:p>
      <w:pPr>
        <w:spacing w:after="0" w:line="167" w:lineRule="exact"/>
        <w:rPr>
          <w:sz w:val="20"/>
          <w:szCs w:val="20"/>
          <w:color w:val="auto"/>
        </w:rPr>
      </w:pPr>
    </w:p>
    <w:p>
      <w:pPr>
        <w:ind w:left="582" w:right="140"/>
        <w:spacing w:after="0" w:line="271" w:lineRule="auto"/>
        <w:rPr>
          <w:sz w:val="20"/>
          <w:szCs w:val="20"/>
          <w:color w:val="auto"/>
        </w:rPr>
      </w:pPr>
      <w:r>
        <w:rPr>
          <w:rFonts w:ascii="Arial" w:cs="Arial" w:eastAsia="Arial" w:hAnsi="Arial"/>
          <w:sz w:val="16"/>
          <w:szCs w:val="16"/>
          <w:color w:val="auto"/>
        </w:rPr>
        <w:t>To cope with the economic shock due to COVID-19, Bolivia’s government announced fiscal and monetary measures, including monetary transfers for the unemployed and for families with children, coverage of basic services, credits to companies to cover the payment of wages, and a Microcredit Support Program. In addition, the Central Bank injected liquidity into the local market.</w:t>
      </w:r>
    </w:p>
    <w:p>
      <w:pPr>
        <w:spacing w:after="0" w:line="163" w:lineRule="exact"/>
        <w:rPr>
          <w:sz w:val="20"/>
          <w:szCs w:val="20"/>
          <w:color w:val="auto"/>
        </w:rPr>
      </w:pPr>
    </w:p>
    <w:p>
      <w:pPr>
        <w:ind w:left="582" w:right="20"/>
        <w:spacing w:after="0" w:line="262" w:lineRule="auto"/>
        <w:rPr>
          <w:sz w:val="20"/>
          <w:szCs w:val="20"/>
          <w:color w:val="auto"/>
        </w:rPr>
      </w:pPr>
      <w:r>
        <w:rPr>
          <w:rFonts w:ascii="Arial" w:cs="Arial" w:eastAsia="Arial" w:hAnsi="Arial"/>
          <w:sz w:val="16"/>
          <w:szCs w:val="16"/>
          <w:color w:val="auto"/>
        </w:rPr>
        <w:t>In Colombia, the president established the state of emergency on March 23, 2020. The lockdown has been extended until July 1, 2020. However, sectors such as manufacturing and construction (which account for 10% of GDP) were recently reactivated to minimize the economic shock. The COVID-19 pandemic occurred while the economy was in a process of gradual recovery due to the drop in the price of oil. Further, Colombia has the highest level of current account deficit in the region (4.3% of GDP in 2019) while public debt has been expanding over the last years (50% of GDP in 2019). In addition, the government faces the potential loss of their investment grade rating after S&amp;P and Fitch gave the country a BBB- rating with a negative outlook. Finally, a decrease in exports due to the COVID-19 will be a significant challenge for Colombia to overcome this year.</w:t>
      </w:r>
    </w:p>
    <w:p>
      <w:pPr>
        <w:spacing w:after="0" w:line="171" w:lineRule="exact"/>
        <w:rPr>
          <w:sz w:val="20"/>
          <w:szCs w:val="20"/>
          <w:color w:val="auto"/>
        </w:rPr>
      </w:pPr>
    </w:p>
    <w:p>
      <w:pPr>
        <w:ind w:left="582" w:right="420"/>
        <w:spacing w:after="0" w:line="298" w:lineRule="auto"/>
        <w:rPr>
          <w:sz w:val="20"/>
          <w:szCs w:val="20"/>
          <w:color w:val="auto"/>
        </w:rPr>
      </w:pPr>
      <w:r>
        <w:rPr>
          <w:rFonts w:ascii="Arial" w:cs="Arial" w:eastAsia="Arial" w:hAnsi="Arial"/>
          <w:sz w:val="15"/>
          <w:szCs w:val="15"/>
          <w:color w:val="auto"/>
        </w:rPr>
        <w:t>To cope with the economic shock due to COVID-19, Colombia’s government gradually implemented fiscal measures such as wage subsidies, deferment of payment of corporate income taxes and social transfers. On the monetary side, the Central Bank has injected close to 1.4% of GDP in liquidity into the local market, and the Central Bank cut the reference rate by 100 basis points to 3.25%, the lowest rate since 2013 and the first cut in almost two years.</w:t>
      </w:r>
    </w:p>
    <w:p>
      <w:pPr>
        <w:spacing w:after="0" w:line="144" w:lineRule="exact"/>
        <w:rPr>
          <w:sz w:val="20"/>
          <w:szCs w:val="20"/>
          <w:color w:val="auto"/>
        </w:rPr>
      </w:pPr>
    </w:p>
    <w:p>
      <w:pPr>
        <w:jc w:val="both"/>
        <w:ind w:left="582" w:right="140"/>
        <w:spacing w:after="0" w:line="266" w:lineRule="auto"/>
        <w:rPr>
          <w:sz w:val="20"/>
          <w:szCs w:val="20"/>
          <w:color w:val="auto"/>
        </w:rPr>
      </w:pPr>
      <w:r>
        <w:rPr>
          <w:rFonts w:ascii="Arial" w:cs="Arial" w:eastAsia="Arial" w:hAnsi="Arial"/>
          <w:sz w:val="16"/>
          <w:szCs w:val="16"/>
          <w:color w:val="auto"/>
        </w:rPr>
        <w:t>In Peru, the president established a state of emergency on March 16, 2020, and ordered a general lockdown on the country. Minor exceptions were made for key sectors (food supply, health, and banking). The lockdown was initially established for 15 calendar days, but was extended on several occasions, to last until June 30, 2020, for a total of 107 calendar days. Even though the Peruvian economy has one of the strongest macroeconomic fundamentals among emerging markets, the quality of the health system in Peru stands below the region’s average.</w:t>
      </w:r>
    </w:p>
    <w:p>
      <w:pPr>
        <w:spacing w:after="0" w:line="364"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35" w:right="339" w:bottom="1440" w:gutter="0" w:footer="0" w:header="0"/>
        </w:sectPr>
      </w:pPr>
    </w:p>
    <w:bookmarkStart w:id="16" w:name="page17"/>
    <w:bookmarkEnd w:id="16"/>
    <w:p>
      <w:pPr>
        <w:ind w:right="60"/>
        <w:spacing w:after="0" w:line="289" w:lineRule="auto"/>
        <w:rPr>
          <w:sz w:val="20"/>
          <w:szCs w:val="20"/>
          <w:color w:val="auto"/>
        </w:rPr>
      </w:pPr>
      <w:r>
        <w:rPr>
          <w:rFonts w:ascii="Arial" w:cs="Arial" w:eastAsia="Arial" w:hAnsi="Arial"/>
          <w:sz w:val="15"/>
          <w:szCs w:val="15"/>
          <w:color w:val="auto"/>
        </w:rPr>
        <w:t>In response to the major sanitary and economic shock from COVID-19, the Ministry of Finance, the Central Bank and the Congress have announced and are implementing ample package of measures to mitigate and stimulate the economy for the equivalent of approximately 20% of GDP. The ability to implement measures of this magnitude stems from prudent macroeconomic policies that have been implemented for decades. The measures enacted include tax relief, public spending, access to private savings (pension fund accounts and severance indemnity deposits), and government-backed liquidity programs.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In particular, the government is supporting the business sector through two government-backed programs:</w:t>
      </w:r>
    </w:p>
    <w:p>
      <w:pPr>
        <w:spacing w:after="0" w:line="209" w:lineRule="exact"/>
        <w:rPr>
          <w:sz w:val="20"/>
          <w:szCs w:val="20"/>
          <w:color w:val="auto"/>
        </w:rPr>
      </w:pPr>
    </w:p>
    <w:p>
      <w:pPr>
        <w:ind w:left="300" w:hanging="292"/>
        <w:spacing w:after="0" w:line="262" w:lineRule="auto"/>
        <w:tabs>
          <w:tab w:leader="none" w:pos="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“Reactiva Peru” is a liquidity program, implemented through BCRP, that has resources of PEN 60 billion (8% of GDP) and will help mainly small and medium-size companies obtain new working capital and continue operating. The government guarantee coverage level for these loans varies between 80% and 98% for loans between PEN 30 thousand and PEN 10 million. The criteria to establish coverage limits the maximum between three times the contribution to social security during 2019 or one month of average sales in 2019, according to SUNAT. These new loans will have terms of up to 36 months, with up to a 12 month grace period. The interest rates for these loans will be capped according to the auction results published by the Central Bank, which charges a flat 0.5% to participating institutions for the transaction.</w:t>
      </w:r>
    </w:p>
    <w:p>
      <w:pPr>
        <w:spacing w:after="0" w:line="170" w:lineRule="exact"/>
        <w:rPr>
          <w:rFonts w:ascii="Arial" w:cs="Arial" w:eastAsia="Arial" w:hAnsi="Arial"/>
          <w:sz w:val="16"/>
          <w:szCs w:val="16"/>
          <w:color w:val="auto"/>
        </w:rPr>
      </w:pPr>
    </w:p>
    <w:p>
      <w:pPr>
        <w:ind w:left="300" w:right="80" w:hanging="292"/>
        <w:spacing w:after="0" w:line="271" w:lineRule="auto"/>
        <w:tabs>
          <w:tab w:leader="none" w:pos="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Enterprise Support Fund (FAE, by its Spanish initials) program enables banks and microfinance entities to provide Small and Micro businesses loans for up to S/4 billion with government guarantee coverage levels between 90%-98%. This amount represents about 9% of the loan portfolio for SMEs systemwide.</w:t>
      </w:r>
    </w:p>
    <w:p>
      <w:pPr>
        <w:spacing w:after="0" w:line="163" w:lineRule="exact"/>
        <w:rPr>
          <w:sz w:val="20"/>
          <w:szCs w:val="20"/>
          <w:color w:val="auto"/>
        </w:rPr>
      </w:pPr>
    </w:p>
    <w:p>
      <w:pPr>
        <w:jc w:val="both"/>
        <w:ind w:right="200"/>
        <w:spacing w:after="0" w:line="271" w:lineRule="auto"/>
        <w:rPr>
          <w:sz w:val="20"/>
          <w:szCs w:val="20"/>
          <w:color w:val="auto"/>
        </w:rPr>
      </w:pPr>
      <w:r>
        <w:rPr>
          <w:rFonts w:ascii="Arial" w:cs="Arial" w:eastAsia="Arial" w:hAnsi="Arial"/>
          <w:sz w:val="16"/>
          <w:szCs w:val="16"/>
          <w:color w:val="auto"/>
        </w:rPr>
        <w:t>Finally, the Central Bank has lowered its reference rate 200 basis points to 0.25%, a historic minimum, and has provided liquidity for 6 and 12 months through Repo operations since the beginning of March. BCRP has also implemented measures to mitigate exchange rate volatility. Additionally, the SBS has authorized credit extensions for up to 6 months with no effect on client credit ratings.</w:t>
      </w:r>
    </w:p>
    <w:p>
      <w:pPr>
        <w:spacing w:after="0" w:line="16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COVID-19 pandemic has caused disruptions in the world economy, which, in turn, could disrupt the business of both Credicorp and its customers. Due to the travel restrictions, closed international borders and prolonged lockdown periods decreed by governments around the world to manage the COVID-19 outbreak, Credicorp’s business may be affected.</w:t>
      </w:r>
    </w:p>
    <w:p>
      <w:pPr>
        <w:spacing w:after="0" w:line="163"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As of the first quarter of 2020 some of the impacts already generated by COVID-19 at Credicorp are: (i) about 70% of BCP Stand-alone and Mibanco branches are serving nationwide and work at 50% of their capacity; (ii) financial relief measures have been offered to clients, including debt and insurance premium reprograming, cost-free cash management services, COVID-19 health and life insurance coverage and partial reimbursements of premiums on car insurance; (iii) there has been lower business activity as a result of lockdown, (iv) lower reference rates (-200 bps) which impact NIMs; (v) higher market volatility that impact investment portfolios; (vi) lower GDP growth expectations which negatively impact forward looking provisions; and (vii) new expenses including both one-off donations and operating expenses related to crisis management measures.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The impact of the COVID-19 pandemic may adversely affect the credit risk of Credicorp’s investment portfolio and wholesale loan portfolio. In particular, the challenges posed by COVID-19, including reduced business volumes, temporary closures and insufficient liquidity may have a higher impact on clients engaging in certain economic activities such as retail, automobile sales, residential real estate, poultry farming, air travel, tourism, microfinance, transportation and restaurants. As a result, the company expects a downgrade in the financial condition of some of our borrowers, which, in turn, could materially affect Credicorp’s business and result of operations.</w:t>
      </w:r>
    </w:p>
    <w:p>
      <w:pPr>
        <w:spacing w:after="0" w:line="364"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15875</wp:posOffset>
            </wp:positionV>
            <wp:extent cx="714438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660"/>
          </w:cols>
          <w:pgMar w:left="900" w:top="839" w:right="339" w:bottom="1440" w:gutter="0" w:footer="0" w:header="0"/>
        </w:sectPr>
      </w:pPr>
    </w:p>
    <w:bookmarkStart w:id="17" w:name="page18"/>
    <w:bookmarkEnd w:id="17"/>
    <w:p>
      <w:pPr>
        <w:spacing w:after="0" w:line="264" w:lineRule="auto"/>
        <w:rPr>
          <w:sz w:val="20"/>
          <w:szCs w:val="20"/>
          <w:color w:val="auto"/>
        </w:rPr>
      </w:pPr>
      <w:r>
        <w:rPr>
          <w:rFonts w:ascii="Arial" w:cs="Arial" w:eastAsia="Arial" w:hAnsi="Arial"/>
          <w:sz w:val="16"/>
          <w:szCs w:val="16"/>
          <w:color w:val="auto"/>
        </w:rPr>
        <w:t>The impact of the COVID-19 pandemic may adversely affect the credit risk of Credicorp’s retail and microfinance loan portfolio, due to its effect in SME and individual clients. SME clients may be adversely impacted by the lockdown period and the resulting inability to perform operations and generate cash flows. After the lockdown period, SMEs may also face a period of reduced level of operations because of the restrictions that may be imposed on the reopening of different economic sectors. Individuals may be adversely impacted by an increase of the unemployment rate and the reduction of business operations. As a result, the company expects an adverse effect on the credit quality of its loan portfolio and an increase of the cost of risk.</w:t>
      </w:r>
    </w:p>
    <w:p>
      <w:pPr>
        <w:spacing w:after="0" w:line="167" w:lineRule="exact"/>
        <w:rPr>
          <w:sz w:val="20"/>
          <w:szCs w:val="20"/>
          <w:color w:val="auto"/>
        </w:rPr>
      </w:pPr>
    </w:p>
    <w:p>
      <w:pPr>
        <w:ind w:right="120"/>
        <w:spacing w:after="0" w:line="322" w:lineRule="auto"/>
        <w:rPr>
          <w:sz w:val="20"/>
          <w:szCs w:val="20"/>
          <w:color w:val="auto"/>
        </w:rPr>
      </w:pPr>
      <w:r>
        <w:rPr>
          <w:rFonts w:ascii="Arial" w:cs="Arial" w:eastAsia="Arial" w:hAnsi="Arial"/>
          <w:sz w:val="15"/>
          <w:szCs w:val="15"/>
          <w:color w:val="auto"/>
        </w:rPr>
        <w:t>The unprecedented shocks to the economy and the high level of uncertainty regarding its recovery, as a result of COVID-19 may increase market risk by causing fluctuations in market prices and loss of liquidity of financial instruments, which may have an adverse impact on our investment portfolio.</w:t>
      </w:r>
    </w:p>
    <w:p>
      <w:pPr>
        <w:spacing w:after="0" w:line="127"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Prolonged economic stress and market disruptions as a result of COVID-19 may generate pressure on our liquidity management. This increase in liquidity risk may result in limited and/or costly access to financing sources, inability to access capital markets, an increase in draws of outstanding credit lines and a change in the expected level of cash inflow as consequence of large-scale loan reprogramming.</w:t>
      </w:r>
    </w:p>
    <w:p>
      <w:pPr>
        <w:spacing w:after="0" w:line="16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In terms of non-financial risks, given the high rate of contagion of the disease, a significant number of our employees may acquire the virus, which may affect our ability to continue operating. Additionally, due to prolonged lockdowns, some of our critical suppliers may stop providing us with certain key services for business continuity. Finally, since we have adopted a remote work approach, we may be exposed to a greater risk of cybersecurity threats because many of our employees now connect to Credicorp’s systems from outside our controlled technological environments.</w:t>
      </w:r>
    </w:p>
    <w:p>
      <w:pPr>
        <w:spacing w:after="0" w:line="167" w:lineRule="exact"/>
        <w:rPr>
          <w:sz w:val="20"/>
          <w:szCs w:val="20"/>
          <w:color w:val="auto"/>
        </w:rPr>
      </w:pPr>
    </w:p>
    <w:p>
      <w:pPr>
        <w:jc w:val="both"/>
        <w:ind w:right="60"/>
        <w:spacing w:after="0" w:line="271" w:lineRule="auto"/>
        <w:rPr>
          <w:sz w:val="20"/>
          <w:szCs w:val="20"/>
          <w:color w:val="auto"/>
        </w:rPr>
      </w:pPr>
      <w:r>
        <w:rPr>
          <w:rFonts w:ascii="Arial" w:cs="Arial" w:eastAsia="Arial" w:hAnsi="Arial"/>
          <w:sz w:val="16"/>
          <w:szCs w:val="16"/>
          <w:color w:val="auto"/>
        </w:rPr>
        <w:t>The full extent of the effect on Credicorp’s operating and financial results is still difficult to predict due to the uncertainty about the duration and concentration of the outbreak, but the COVID-19 pandemic, or any other health crisis beyond our control, could have a material adverse effect on our business, financial condition and results of operations.</w:t>
      </w:r>
    </w:p>
    <w:p>
      <w:pPr>
        <w:spacing w:after="0" w:line="359"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15875</wp:posOffset>
            </wp:positionV>
            <wp:extent cx="714438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660"/>
          </w:cols>
          <w:pgMar w:left="900" w:top="839" w:right="339" w:bottom="1440" w:gutter="0" w:footer="0" w:header="0"/>
        </w:sectPr>
      </w:pPr>
    </w:p>
    <w:bookmarkStart w:id="18" w:name="page19"/>
    <w:bookmarkEnd w:id="18"/>
    <w:p>
      <w:pPr>
        <w:ind w:left="582" w:hanging="582"/>
        <w:spacing w:after="0"/>
        <w:tabs>
          <w:tab w:leader="none" w:pos="582"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w:t>
      </w:r>
    </w:p>
    <w:p>
      <w:pPr>
        <w:spacing w:after="0" w:line="213" w:lineRule="exact"/>
        <w:rPr>
          <w:sz w:val="20"/>
          <w:szCs w:val="20"/>
          <w:color w:val="auto"/>
        </w:rPr>
      </w:pPr>
    </w:p>
    <w:p>
      <w:pPr>
        <w:ind w:left="582"/>
        <w:spacing w:after="0"/>
        <w:rPr>
          <w:sz w:val="20"/>
          <w:szCs w:val="20"/>
          <w:color w:val="auto"/>
        </w:rPr>
      </w:pPr>
      <w:r>
        <w:rPr>
          <w:rFonts w:ascii="Arial" w:cs="Arial" w:eastAsia="Arial" w:hAnsi="Arial"/>
          <w:sz w:val="16"/>
          <w:szCs w:val="16"/>
          <w:color w:val="auto"/>
        </w:rPr>
        <w:t>The significant accounting policies applied in the preparation of Credicorp’s interim condensed consolidated financial statements are set out below:</w:t>
      </w:r>
    </w:p>
    <w:p>
      <w:pPr>
        <w:spacing w:after="0" w:line="209" w:lineRule="exact"/>
        <w:rPr>
          <w:sz w:val="20"/>
          <w:szCs w:val="20"/>
          <w:color w:val="auto"/>
        </w:rPr>
      </w:pPr>
    </w:p>
    <w:p>
      <w:pPr>
        <w:ind w:left="882" w:hanging="292"/>
        <w:spacing w:after="0"/>
        <w:tabs>
          <w:tab w:leader="none" w:pos="882"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Basis of presentation, use of estimates and changes in accounting policies -</w:t>
      </w:r>
    </w:p>
    <w:p>
      <w:pPr>
        <w:spacing w:after="0" w:line="209" w:lineRule="exact"/>
        <w:rPr>
          <w:sz w:val="20"/>
          <w:szCs w:val="20"/>
          <w:color w:val="auto"/>
        </w:rPr>
      </w:pPr>
    </w:p>
    <w:p>
      <w:pPr>
        <w:ind w:left="582" w:right="160"/>
        <w:spacing w:after="0" w:line="287" w:lineRule="auto"/>
        <w:rPr>
          <w:sz w:val="20"/>
          <w:szCs w:val="20"/>
          <w:color w:val="auto"/>
        </w:rPr>
      </w:pPr>
      <w:r>
        <w:rPr>
          <w:rFonts w:ascii="Arial" w:cs="Arial" w:eastAsia="Arial" w:hAnsi="Arial"/>
          <w:sz w:val="16"/>
          <w:szCs w:val="16"/>
          <w:color w:val="auto"/>
        </w:rPr>
        <w:t>The accompanying interim condensed consolidated financial statements as of March 31, 2020, and for the three-month period ended March 31, 2020, have been prepared in accordance with IAS 34 “Interim Financial Reporting”.</w:t>
      </w:r>
    </w:p>
    <w:p>
      <w:pPr>
        <w:spacing w:after="0" w:line="150" w:lineRule="exact"/>
        <w:rPr>
          <w:sz w:val="20"/>
          <w:szCs w:val="20"/>
          <w:color w:val="auto"/>
        </w:rPr>
      </w:pPr>
    </w:p>
    <w:p>
      <w:pPr>
        <w:ind w:left="582" w:right="120"/>
        <w:spacing w:after="0" w:line="271" w:lineRule="auto"/>
        <w:rPr>
          <w:sz w:val="20"/>
          <w:szCs w:val="20"/>
          <w:color w:val="auto"/>
        </w:rPr>
      </w:pPr>
      <w:r>
        <w:rPr>
          <w:rFonts w:ascii="Arial" w:cs="Arial" w:eastAsia="Arial" w:hAnsi="Arial"/>
          <w:sz w:val="16"/>
          <w:szCs w:val="16"/>
          <w:color w:val="auto"/>
        </w:rPr>
        <w:t>The interim condensed consolidated financial statements do not include all the information and disclosures required in the annual consolidated financial statements and should be read in conjunction with the annual consolidated audited financial statements for the year ended December 31, 2019 (henceforth “2019 Annual consolidated financial statements”), date February 27, 2020.</w:t>
      </w:r>
    </w:p>
    <w:p>
      <w:pPr>
        <w:spacing w:after="0" w:line="163" w:lineRule="exact"/>
        <w:rPr>
          <w:sz w:val="20"/>
          <w:szCs w:val="20"/>
          <w:color w:val="auto"/>
        </w:rPr>
      </w:pPr>
    </w:p>
    <w:p>
      <w:pPr>
        <w:ind w:left="582" w:right="220"/>
        <w:spacing w:after="0" w:line="271" w:lineRule="auto"/>
        <w:rPr>
          <w:sz w:val="20"/>
          <w:szCs w:val="20"/>
          <w:color w:val="auto"/>
        </w:rPr>
      </w:pPr>
      <w:r>
        <w:rPr>
          <w:rFonts w:ascii="Arial" w:cs="Arial" w:eastAsia="Arial" w:hAnsi="Arial"/>
          <w:sz w:val="16"/>
          <w:szCs w:val="16"/>
          <w:color w:val="auto"/>
        </w:rPr>
        <w:t>The interim condensed consolidated financial statements have been prepared following the historical cost criteria, except for investments at fair value through profit or loss, investments at fair value through other comprehensive income, financial assets designated at fair value through profit or loss, derivative financial instruments, and financial liabilities at fair value through profit or loss; which have been measured at fair value.</w:t>
      </w:r>
    </w:p>
    <w:p>
      <w:pPr>
        <w:spacing w:after="0" w:line="163" w:lineRule="exact"/>
        <w:rPr>
          <w:sz w:val="20"/>
          <w:szCs w:val="20"/>
          <w:color w:val="auto"/>
        </w:rPr>
      </w:pPr>
    </w:p>
    <w:p>
      <w:pPr>
        <w:ind w:left="582" w:right="140"/>
        <w:spacing w:after="0" w:line="287" w:lineRule="auto"/>
        <w:rPr>
          <w:sz w:val="20"/>
          <w:szCs w:val="20"/>
          <w:color w:val="auto"/>
        </w:rPr>
      </w:pPr>
      <w:r>
        <w:rPr>
          <w:rFonts w:ascii="Arial" w:cs="Arial" w:eastAsia="Arial" w:hAnsi="Arial"/>
          <w:sz w:val="16"/>
          <w:szCs w:val="16"/>
          <w:color w:val="auto"/>
        </w:rPr>
        <w:t>The interim condensed consolidated financial statements are presented in Soles (S/), which is the functional currency of the Group, and all values are rounded to thousands of soles, except when otherwise indicated.</w:t>
      </w:r>
    </w:p>
    <w:p>
      <w:pPr>
        <w:spacing w:after="0" w:line="150" w:lineRule="exact"/>
        <w:rPr>
          <w:sz w:val="20"/>
          <w:szCs w:val="20"/>
          <w:color w:val="auto"/>
        </w:rPr>
      </w:pPr>
    </w:p>
    <w:p>
      <w:pPr>
        <w:ind w:left="582" w:right="20"/>
        <w:spacing w:after="0" w:line="298" w:lineRule="auto"/>
        <w:rPr>
          <w:sz w:val="20"/>
          <w:szCs w:val="20"/>
          <w:color w:val="auto"/>
        </w:rPr>
      </w:pPr>
      <w:r>
        <w:rPr>
          <w:rFonts w:ascii="Arial" w:cs="Arial" w:eastAsia="Arial" w:hAnsi="Arial"/>
          <w:sz w:val="15"/>
          <w:szCs w:val="15"/>
          <w:color w:val="auto"/>
        </w:rPr>
        <w:t>The preparation of the interim condensed consolidated financial statements in accordance with International Financial Reporting Standards (henceforth “IFRS”) as issued by the International Accounting Standards Board (IASB), requires Management to make estimations and assumptions that affect the reported amounts of assets, liabilities, income and expenses and the disclosure of significant events in notes to the interim condensed consolidated financial statements.</w:t>
      </w:r>
    </w:p>
    <w:p>
      <w:pPr>
        <w:spacing w:after="0" w:line="144" w:lineRule="exact"/>
        <w:rPr>
          <w:sz w:val="20"/>
          <w:szCs w:val="20"/>
          <w:color w:val="auto"/>
        </w:rPr>
      </w:pPr>
    </w:p>
    <w:p>
      <w:pPr>
        <w:ind w:left="582"/>
        <w:spacing w:after="0" w:line="271" w:lineRule="auto"/>
        <w:rPr>
          <w:sz w:val="20"/>
          <w:szCs w:val="20"/>
          <w:color w:val="auto"/>
        </w:rPr>
      </w:pPr>
      <w:r>
        <w:rPr>
          <w:rFonts w:ascii="Arial" w:cs="Arial" w:eastAsia="Arial" w:hAnsi="Arial"/>
          <w:sz w:val="16"/>
          <w:szCs w:val="16"/>
          <w:color w:val="auto"/>
        </w:rPr>
        <w:t>Estimates and judgments are continually evaluated and are based on historical experience and other factors, including expectations of future events that are believed to be reasonable under the current circumstances. The final results could differ from said estimates; however, the Management expects that the variations, if any, will not have a material impact on the interim condensed consolidated financial statements.</w:t>
      </w:r>
    </w:p>
    <w:p>
      <w:pPr>
        <w:spacing w:after="0" w:line="163" w:lineRule="exact"/>
        <w:rPr>
          <w:sz w:val="20"/>
          <w:szCs w:val="20"/>
          <w:color w:val="auto"/>
        </w:rPr>
      </w:pPr>
    </w:p>
    <w:p>
      <w:pPr>
        <w:ind w:left="582"/>
        <w:spacing w:after="0" w:line="264" w:lineRule="auto"/>
        <w:rPr>
          <w:sz w:val="20"/>
          <w:szCs w:val="20"/>
          <w:color w:val="auto"/>
        </w:rPr>
      </w:pPr>
      <w:r>
        <w:rPr>
          <w:rFonts w:ascii="Arial" w:cs="Arial" w:eastAsia="Arial" w:hAnsi="Arial"/>
          <w:sz w:val="16"/>
          <w:szCs w:val="16"/>
          <w:color w:val="auto"/>
        </w:rPr>
        <w:t>The most significant estimates included in the accompanying interim condensed consolidated financial statements are related to the calculation of the allowance of the expected credit loss on loan portfolio, the valuation of investments, the technical reserves for insurance claims and premiums, the impairment of goodwill , the expected credit loss for investments at fair value through other comprehensive income and investments at amortized cost, the valuation of share-based payment plans and the valuation of derivative financial instruments. Furthermore, other estimates exist, such as the estimated useful life of intangible assets, property, furniture and equipment and the deferred income tax assets and liabilities.</w:t>
      </w:r>
    </w:p>
    <w:p>
      <w:pPr>
        <w:spacing w:after="0" w:line="36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35" w:right="339" w:bottom="1440" w:gutter="0" w:footer="0" w:header="0"/>
        </w:sectPr>
      </w:pPr>
    </w:p>
    <w:bookmarkStart w:id="19" w:name="page20"/>
    <w:bookmarkEnd w:id="19"/>
    <w:p>
      <w:pPr>
        <w:ind w:right="160"/>
        <w:spacing w:after="0" w:line="271" w:lineRule="auto"/>
        <w:rPr>
          <w:sz w:val="20"/>
          <w:szCs w:val="20"/>
          <w:color w:val="auto"/>
        </w:rPr>
      </w:pPr>
      <w:r>
        <w:rPr>
          <w:rFonts w:ascii="Arial" w:cs="Arial" w:eastAsia="Arial" w:hAnsi="Arial"/>
          <w:sz w:val="16"/>
          <w:szCs w:val="16"/>
          <w:color w:val="auto"/>
        </w:rPr>
        <w:t>The accounting policies adopted in the preparation of the interim condensed consolidated financial statements are consistent with those followed in the preparation of the Group’s annual consolidated financial statements for the year ended December 31, 2019, except for the adoption of new standards effective as of January 1, 2020, as described below:</w:t>
      </w:r>
    </w:p>
    <w:p>
      <w:pPr>
        <w:spacing w:after="0" w:line="163" w:lineRule="exact"/>
        <w:rPr>
          <w:sz w:val="20"/>
          <w:szCs w:val="20"/>
          <w:color w:val="auto"/>
        </w:rPr>
      </w:pPr>
    </w:p>
    <w:p>
      <w:pPr>
        <w:ind w:left="580" w:hanging="27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Definition of Material – Amendments to IAS 1 and IAS 8 -</w:t>
      </w:r>
    </w:p>
    <w:p>
      <w:pPr>
        <w:spacing w:after="0" w:line="209" w:lineRule="exact"/>
        <w:rPr>
          <w:rFonts w:ascii="Arial" w:cs="Arial" w:eastAsia="Arial" w:hAnsi="Arial"/>
          <w:sz w:val="16"/>
          <w:szCs w:val="16"/>
          <w:color w:val="auto"/>
        </w:rPr>
      </w:pPr>
    </w:p>
    <w:p>
      <w:pPr>
        <w:ind w:left="600" w:right="220"/>
        <w:spacing w:after="0" w:line="298" w:lineRule="auto"/>
        <w:rPr>
          <w:rFonts w:ascii="Arial" w:cs="Arial" w:eastAsia="Arial" w:hAnsi="Arial"/>
          <w:sz w:val="16"/>
          <w:szCs w:val="16"/>
          <w:color w:val="auto"/>
        </w:rPr>
      </w:pPr>
      <w:r>
        <w:rPr>
          <w:rFonts w:ascii="Arial" w:cs="Arial" w:eastAsia="Arial" w:hAnsi="Arial"/>
          <w:sz w:val="15"/>
          <w:szCs w:val="15"/>
          <w:color w:val="auto"/>
        </w:rPr>
        <w:t>The IASB has made amendments to IAS 1 Presentation of Financial Statements and IAS 8 Accounting Policies, Changes in Accounting Estimates and Errors which use a consistent definition of materiality throughout International Financial Reporting Standards and the Conceptual Framework for Financial Reporting, clarify when information is material and incorporate some of the guidance in IAS 1 about immaterial information.</w:t>
      </w:r>
    </w:p>
    <w:p>
      <w:pPr>
        <w:spacing w:after="0" w:line="143"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In particular, the amendments clarify:</w:t>
      </w:r>
    </w:p>
    <w:p>
      <w:pPr>
        <w:spacing w:after="0" w:line="209" w:lineRule="exact"/>
        <w:rPr>
          <w:rFonts w:ascii="Arial" w:cs="Arial" w:eastAsia="Arial" w:hAnsi="Arial"/>
          <w:sz w:val="16"/>
          <w:szCs w:val="16"/>
          <w:color w:val="auto"/>
        </w:rPr>
      </w:pPr>
    </w:p>
    <w:p>
      <w:pPr>
        <w:ind w:left="820" w:right="200" w:hanging="223"/>
        <w:spacing w:after="0" w:line="263" w:lineRule="auto"/>
        <w:tabs>
          <w:tab w:leader="none" w:pos="82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That the reference to obscuring information addresses situations in which the effect is similar to omitting or misstating that information, and that an entity assesses materiality in the context of the financial statements as a whole, and</w:t>
      </w:r>
    </w:p>
    <w:p>
      <w:pPr>
        <w:spacing w:after="0" w:line="1" w:lineRule="exact"/>
        <w:rPr>
          <w:rFonts w:ascii="Arial" w:cs="Arial" w:eastAsia="Arial" w:hAnsi="Arial"/>
          <w:sz w:val="16"/>
          <w:szCs w:val="16"/>
          <w:color w:val="auto"/>
        </w:rPr>
      </w:pPr>
    </w:p>
    <w:p>
      <w:pPr>
        <w:ind w:left="820" w:hanging="223"/>
        <w:spacing w:after="0" w:line="264" w:lineRule="auto"/>
        <w:tabs>
          <w:tab w:leader="none" w:pos="82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meaning of ‘primary users of general-purpose financial statements’ to whom those financial statements are directed, by defining them as ‘existing and potential investors, lenders and other creditors’ that must rely on general purpose financial statements for much of the financial information they need.</w:t>
      </w:r>
    </w:p>
    <w:p>
      <w:pPr>
        <w:spacing w:after="0" w:line="167" w:lineRule="exact"/>
        <w:rPr>
          <w:rFonts w:ascii="Arial" w:cs="Arial" w:eastAsia="Arial" w:hAnsi="Arial"/>
          <w:sz w:val="16"/>
          <w:szCs w:val="16"/>
          <w:color w:val="auto"/>
        </w:rPr>
      </w:pPr>
    </w:p>
    <w:p>
      <w:pPr>
        <w:ind w:left="580" w:hanging="27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Definition of a Business – Amendments to IFRS 3 –</w:t>
      </w:r>
    </w:p>
    <w:p>
      <w:pPr>
        <w:spacing w:after="0" w:line="209" w:lineRule="exact"/>
        <w:rPr>
          <w:rFonts w:ascii="Arial" w:cs="Arial" w:eastAsia="Arial" w:hAnsi="Arial"/>
          <w:sz w:val="16"/>
          <w:szCs w:val="16"/>
          <w:color w:val="auto"/>
        </w:rPr>
      </w:pPr>
    </w:p>
    <w:p>
      <w:pPr>
        <w:jc w:val="both"/>
        <w:ind w:left="600" w:right="280"/>
        <w:spacing w:after="0" w:line="298" w:lineRule="auto"/>
        <w:rPr>
          <w:rFonts w:ascii="Arial" w:cs="Arial" w:eastAsia="Arial" w:hAnsi="Arial"/>
          <w:sz w:val="16"/>
          <w:szCs w:val="16"/>
          <w:color w:val="auto"/>
        </w:rPr>
      </w:pPr>
      <w:r>
        <w:rPr>
          <w:rFonts w:ascii="Arial" w:cs="Arial" w:eastAsia="Arial" w:hAnsi="Arial"/>
          <w:sz w:val="15"/>
          <w:szCs w:val="15"/>
          <w:color w:val="auto"/>
        </w:rPr>
        <w:t>The amended definition of a business requires an acquisition to include an input and a substantive process that together significantly contribute to the ability to create outputs. The definition of the term ‘outputs’ is amended to focus on goods and services provided to customers, generating investment income and other income, and it excludes returns in the form of lower costs and other economic benefits.</w:t>
      </w:r>
    </w:p>
    <w:p>
      <w:pPr>
        <w:spacing w:after="0" w:line="143"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The amendments will likely result in more acquisitions being accounted as asset acquisitions.</w:t>
      </w:r>
    </w:p>
    <w:p>
      <w:pPr>
        <w:spacing w:after="0" w:line="209" w:lineRule="exact"/>
        <w:rPr>
          <w:rFonts w:ascii="Arial" w:cs="Arial" w:eastAsia="Arial" w:hAnsi="Arial"/>
          <w:sz w:val="16"/>
          <w:szCs w:val="16"/>
          <w:color w:val="auto"/>
        </w:rPr>
      </w:pPr>
    </w:p>
    <w:p>
      <w:pPr>
        <w:ind w:left="580" w:hanging="27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Revised Conceptual Framework for Financial Reporting –</w:t>
      </w:r>
    </w:p>
    <w:p>
      <w:pPr>
        <w:spacing w:after="0" w:line="209"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5"/>
          <w:szCs w:val="15"/>
          <w:color w:val="auto"/>
        </w:rPr>
        <w:t>The IASB has issued a revised Conceptual Framework which will be used in standard-setting decisions with immediate effect. Key changes include:</w:t>
      </w:r>
    </w:p>
    <w:p>
      <w:pPr>
        <w:spacing w:after="0" w:line="220" w:lineRule="exact"/>
        <w:rPr>
          <w:rFonts w:ascii="Arial" w:cs="Arial" w:eastAsia="Arial" w:hAnsi="Arial"/>
          <w:sz w:val="16"/>
          <w:szCs w:val="16"/>
          <w:color w:val="auto"/>
        </w:rPr>
      </w:pPr>
    </w:p>
    <w:p>
      <w:pPr>
        <w:ind w:left="820" w:hanging="223"/>
        <w:spacing w:after="0"/>
        <w:tabs>
          <w:tab w:leader="none" w:pos="820" w:val="left"/>
        </w:tabs>
        <w:numPr>
          <w:ilvl w:val="1"/>
          <w:numId w:val="7"/>
        </w:numPr>
        <w:rPr>
          <w:rFonts w:ascii="Arial" w:cs="Arial" w:eastAsia="Arial" w:hAnsi="Arial"/>
          <w:sz w:val="16"/>
          <w:szCs w:val="16"/>
          <w:color w:val="auto"/>
        </w:rPr>
      </w:pPr>
      <w:r>
        <w:rPr>
          <w:rFonts w:ascii="Arial" w:cs="Arial" w:eastAsia="Arial" w:hAnsi="Arial"/>
          <w:sz w:val="16"/>
          <w:szCs w:val="16"/>
          <w:color w:val="auto"/>
        </w:rPr>
        <w:t>Increasing the prominence of stewardship in the objective of financial reporting.</w:t>
      </w:r>
    </w:p>
    <w:p>
      <w:pPr>
        <w:spacing w:after="0" w:line="23" w:lineRule="exact"/>
        <w:rPr>
          <w:rFonts w:ascii="Arial" w:cs="Arial" w:eastAsia="Arial" w:hAnsi="Arial"/>
          <w:sz w:val="16"/>
          <w:szCs w:val="16"/>
          <w:color w:val="auto"/>
        </w:rPr>
      </w:pPr>
    </w:p>
    <w:p>
      <w:pPr>
        <w:ind w:left="820" w:hanging="223"/>
        <w:spacing w:after="0"/>
        <w:tabs>
          <w:tab w:leader="none" w:pos="820" w:val="left"/>
        </w:tabs>
        <w:numPr>
          <w:ilvl w:val="1"/>
          <w:numId w:val="7"/>
        </w:numPr>
        <w:rPr>
          <w:rFonts w:ascii="Arial" w:cs="Arial" w:eastAsia="Arial" w:hAnsi="Arial"/>
          <w:sz w:val="16"/>
          <w:szCs w:val="16"/>
          <w:color w:val="auto"/>
        </w:rPr>
      </w:pPr>
      <w:r>
        <w:rPr>
          <w:rFonts w:ascii="Arial" w:cs="Arial" w:eastAsia="Arial" w:hAnsi="Arial"/>
          <w:sz w:val="16"/>
          <w:szCs w:val="16"/>
          <w:color w:val="auto"/>
        </w:rPr>
        <w:t>Reinstating prudence as a component of neutrality.</w:t>
      </w:r>
    </w:p>
    <w:p>
      <w:pPr>
        <w:spacing w:after="0" w:line="12" w:lineRule="exact"/>
        <w:rPr>
          <w:rFonts w:ascii="Arial" w:cs="Arial" w:eastAsia="Arial" w:hAnsi="Arial"/>
          <w:sz w:val="16"/>
          <w:szCs w:val="16"/>
          <w:color w:val="auto"/>
        </w:rPr>
      </w:pPr>
    </w:p>
    <w:p>
      <w:pPr>
        <w:ind w:left="820" w:hanging="223"/>
        <w:spacing w:after="0"/>
        <w:tabs>
          <w:tab w:leader="none" w:pos="820" w:val="left"/>
        </w:tabs>
        <w:numPr>
          <w:ilvl w:val="1"/>
          <w:numId w:val="7"/>
        </w:numPr>
        <w:rPr>
          <w:rFonts w:ascii="Arial" w:cs="Arial" w:eastAsia="Arial" w:hAnsi="Arial"/>
          <w:sz w:val="16"/>
          <w:szCs w:val="16"/>
          <w:color w:val="auto"/>
        </w:rPr>
      </w:pPr>
      <w:r>
        <w:rPr>
          <w:rFonts w:ascii="Arial" w:cs="Arial" w:eastAsia="Arial" w:hAnsi="Arial"/>
          <w:sz w:val="16"/>
          <w:szCs w:val="16"/>
          <w:color w:val="auto"/>
        </w:rPr>
        <w:t>Refining a reporting entity, which may be a legal entity, or a portion of an entity.</w:t>
      </w:r>
    </w:p>
    <w:p>
      <w:pPr>
        <w:spacing w:after="0" w:line="12" w:lineRule="exact"/>
        <w:rPr>
          <w:rFonts w:ascii="Arial" w:cs="Arial" w:eastAsia="Arial" w:hAnsi="Arial"/>
          <w:sz w:val="16"/>
          <w:szCs w:val="16"/>
          <w:color w:val="auto"/>
        </w:rPr>
      </w:pPr>
    </w:p>
    <w:p>
      <w:pPr>
        <w:ind w:left="820" w:hanging="223"/>
        <w:spacing w:after="0"/>
        <w:tabs>
          <w:tab w:leader="none" w:pos="820" w:val="left"/>
        </w:tabs>
        <w:numPr>
          <w:ilvl w:val="1"/>
          <w:numId w:val="7"/>
        </w:numPr>
        <w:rPr>
          <w:rFonts w:ascii="Arial" w:cs="Arial" w:eastAsia="Arial" w:hAnsi="Arial"/>
          <w:sz w:val="16"/>
          <w:szCs w:val="16"/>
          <w:color w:val="auto"/>
        </w:rPr>
      </w:pPr>
      <w:r>
        <w:rPr>
          <w:rFonts w:ascii="Arial" w:cs="Arial" w:eastAsia="Arial" w:hAnsi="Arial"/>
          <w:sz w:val="16"/>
          <w:szCs w:val="16"/>
          <w:color w:val="auto"/>
        </w:rPr>
        <w:t>Revising the definitions of an asset and a liability.</w:t>
      </w:r>
    </w:p>
    <w:p>
      <w:pPr>
        <w:spacing w:after="0" w:line="12" w:lineRule="exact"/>
        <w:rPr>
          <w:rFonts w:ascii="Arial" w:cs="Arial" w:eastAsia="Arial" w:hAnsi="Arial"/>
          <w:sz w:val="16"/>
          <w:szCs w:val="16"/>
          <w:color w:val="auto"/>
        </w:rPr>
      </w:pPr>
    </w:p>
    <w:p>
      <w:pPr>
        <w:ind w:left="820" w:hanging="223"/>
        <w:spacing w:after="0"/>
        <w:tabs>
          <w:tab w:leader="none" w:pos="820" w:val="left"/>
        </w:tabs>
        <w:numPr>
          <w:ilvl w:val="1"/>
          <w:numId w:val="7"/>
        </w:numPr>
        <w:rPr>
          <w:rFonts w:ascii="Arial" w:cs="Arial" w:eastAsia="Arial" w:hAnsi="Arial"/>
          <w:sz w:val="16"/>
          <w:szCs w:val="16"/>
          <w:color w:val="auto"/>
        </w:rPr>
      </w:pPr>
      <w:r>
        <w:rPr>
          <w:rFonts w:ascii="Arial" w:cs="Arial" w:eastAsia="Arial" w:hAnsi="Arial"/>
          <w:sz w:val="16"/>
          <w:szCs w:val="16"/>
          <w:color w:val="auto"/>
        </w:rPr>
        <w:t>Removing the probability threshold for recognition and adding guidance on derecognition.</w:t>
      </w:r>
    </w:p>
    <w:p>
      <w:pPr>
        <w:spacing w:after="0" w:line="12" w:lineRule="exact"/>
        <w:rPr>
          <w:rFonts w:ascii="Arial" w:cs="Arial" w:eastAsia="Arial" w:hAnsi="Arial"/>
          <w:sz w:val="16"/>
          <w:szCs w:val="16"/>
          <w:color w:val="auto"/>
        </w:rPr>
      </w:pPr>
    </w:p>
    <w:p>
      <w:pPr>
        <w:ind w:left="820" w:hanging="223"/>
        <w:spacing w:after="0"/>
        <w:tabs>
          <w:tab w:leader="none" w:pos="820" w:val="left"/>
        </w:tabs>
        <w:numPr>
          <w:ilvl w:val="1"/>
          <w:numId w:val="7"/>
        </w:numPr>
        <w:rPr>
          <w:rFonts w:ascii="Arial" w:cs="Arial" w:eastAsia="Arial" w:hAnsi="Arial"/>
          <w:sz w:val="16"/>
          <w:szCs w:val="16"/>
          <w:color w:val="auto"/>
        </w:rPr>
      </w:pPr>
      <w:r>
        <w:rPr>
          <w:rFonts w:ascii="Arial" w:cs="Arial" w:eastAsia="Arial" w:hAnsi="Arial"/>
          <w:sz w:val="16"/>
          <w:szCs w:val="16"/>
          <w:color w:val="auto"/>
        </w:rPr>
        <w:t>Adding guidance on different measurement basis, and</w:t>
      </w:r>
    </w:p>
    <w:p>
      <w:pPr>
        <w:spacing w:after="0" w:line="12" w:lineRule="exact"/>
        <w:rPr>
          <w:rFonts w:ascii="Arial" w:cs="Arial" w:eastAsia="Arial" w:hAnsi="Arial"/>
          <w:sz w:val="16"/>
          <w:szCs w:val="16"/>
          <w:color w:val="auto"/>
        </w:rPr>
      </w:pPr>
    </w:p>
    <w:p>
      <w:pPr>
        <w:ind w:left="820" w:right="160" w:hanging="223"/>
        <w:spacing w:after="0" w:line="272" w:lineRule="auto"/>
        <w:tabs>
          <w:tab w:leader="none" w:pos="820" w:val="left"/>
        </w:tabs>
        <w:numPr>
          <w:ilvl w:val="1"/>
          <w:numId w:val="7"/>
        </w:numPr>
        <w:rPr>
          <w:rFonts w:ascii="Arial" w:cs="Arial" w:eastAsia="Arial" w:hAnsi="Arial"/>
          <w:sz w:val="16"/>
          <w:szCs w:val="16"/>
          <w:color w:val="auto"/>
        </w:rPr>
      </w:pPr>
      <w:r>
        <w:rPr>
          <w:rFonts w:ascii="Arial" w:cs="Arial" w:eastAsia="Arial" w:hAnsi="Arial"/>
          <w:sz w:val="16"/>
          <w:szCs w:val="16"/>
          <w:color w:val="auto"/>
        </w:rPr>
        <w:t>Stating that profit or loss is the primary performance indicator and that, in principle, income and expenses in other comprehensive income should be recycled where this enhances the relevance or faithful representation of the financial statements.</w:t>
      </w:r>
    </w:p>
    <w:p>
      <w:pPr>
        <w:spacing w:after="0" w:line="357" w:lineRule="exact"/>
        <w:rPr>
          <w:rFonts w:ascii="Arial" w:cs="Arial" w:eastAsia="Arial" w:hAnsi="Arial"/>
          <w:sz w:val="16"/>
          <w:szCs w:val="16"/>
          <w:color w:val="auto"/>
        </w:rPr>
      </w:pPr>
    </w:p>
    <w:p>
      <w:pPr>
        <w:ind w:left="4960" w:hanging="93"/>
        <w:spacing w:after="0"/>
        <w:tabs>
          <w:tab w:leader="none" w:pos="4960" w:val="left"/>
        </w:tabs>
        <w:numPr>
          <w:ilvl w:val="2"/>
          <w:numId w:val="7"/>
        </w:numPr>
        <w:rPr>
          <w:rFonts w:ascii="Arial" w:cs="Arial" w:eastAsia="Arial" w:hAnsi="Arial"/>
          <w:sz w:val="16"/>
          <w:szCs w:val="16"/>
          <w:color w:val="auto"/>
        </w:rPr>
      </w:pPr>
      <w:r>
        <w:rPr>
          <w:rFonts w:ascii="Arial" w:cs="Arial" w:eastAsia="Arial" w:hAnsi="Arial"/>
          <w:sz w:val="16"/>
          <w:szCs w:val="16"/>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15875</wp:posOffset>
            </wp:positionV>
            <wp:extent cx="714438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680"/>
          </w:cols>
          <w:pgMar w:left="900" w:top="839" w:right="319" w:bottom="1440" w:gutter="0" w:footer="0" w:header="0"/>
        </w:sectPr>
      </w:pPr>
    </w:p>
    <w:bookmarkStart w:id="20" w:name="page21"/>
    <w:bookmarkEnd w:id="20"/>
    <w:p>
      <w:pPr>
        <w:ind w:left="600"/>
        <w:spacing w:after="0" w:line="327" w:lineRule="auto"/>
        <w:rPr>
          <w:sz w:val="20"/>
          <w:szCs w:val="20"/>
          <w:color w:val="auto"/>
        </w:rPr>
      </w:pPr>
      <w:r>
        <w:rPr>
          <w:rFonts w:ascii="Arial" w:cs="Arial" w:eastAsia="Arial" w:hAnsi="Arial"/>
          <w:sz w:val="14"/>
          <w:szCs w:val="14"/>
          <w:color w:val="auto"/>
        </w:rPr>
        <w:t>No changes will be made to any of the current accounting standards. However, entities that rely on the Framework in determining their accounting policies for transactions, events or conditions that are not otherwise dealt with under the accounting standards will need to apply the revised Framework from January 1, 2020. These entities will need to consider whether their accounting policies are still appropriate under the revised Framework.</w:t>
      </w:r>
    </w:p>
    <w:p>
      <w:pPr>
        <w:spacing w:after="0" w:line="128" w:lineRule="exact"/>
        <w:rPr>
          <w:sz w:val="20"/>
          <w:szCs w:val="20"/>
          <w:color w:val="auto"/>
        </w:rPr>
      </w:pPr>
    </w:p>
    <w:p>
      <w:pPr>
        <w:ind w:right="260"/>
        <w:spacing w:after="0" w:line="287" w:lineRule="auto"/>
        <w:rPr>
          <w:sz w:val="20"/>
          <w:szCs w:val="20"/>
          <w:color w:val="auto"/>
        </w:rPr>
      </w:pPr>
      <w:r>
        <w:rPr>
          <w:rFonts w:ascii="Arial" w:cs="Arial" w:eastAsia="Arial" w:hAnsi="Arial"/>
          <w:sz w:val="16"/>
          <w:szCs w:val="16"/>
          <w:color w:val="auto"/>
        </w:rPr>
        <w:t>The modifications indicated above had no impact on the amounts recognized in previous or current periods and are not expected to significantly affect future periods.</w:t>
      </w:r>
    </w:p>
    <w:p>
      <w:pPr>
        <w:spacing w:after="0" w:line="150"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Basis of consolidation –</w:t>
      </w:r>
    </w:p>
    <w:p>
      <w:pPr>
        <w:spacing w:after="0" w:line="209" w:lineRule="exact"/>
        <w:rPr>
          <w:rFonts w:ascii="Arial" w:cs="Arial" w:eastAsia="Arial" w:hAnsi="Arial"/>
          <w:sz w:val="16"/>
          <w:szCs w:val="16"/>
          <w:color w:val="auto"/>
        </w:rPr>
      </w:pPr>
    </w:p>
    <w:p>
      <w:pPr>
        <w:ind w:left="300" w:right="20"/>
        <w:spacing w:after="0" w:line="271" w:lineRule="auto"/>
        <w:rPr>
          <w:rFonts w:ascii="Arial" w:cs="Arial" w:eastAsia="Arial" w:hAnsi="Arial"/>
          <w:sz w:val="16"/>
          <w:szCs w:val="16"/>
          <w:color w:val="auto"/>
        </w:rPr>
      </w:pPr>
      <w:r>
        <w:rPr>
          <w:rFonts w:ascii="Arial" w:cs="Arial" w:eastAsia="Arial" w:hAnsi="Arial"/>
          <w:sz w:val="16"/>
          <w:szCs w:val="16"/>
          <w:color w:val="auto"/>
        </w:rPr>
        <w:t>The interim condensed consolidated financial statements of the Group comprise the condensed financial statements of Credicorp and Subsidiaries for all the years presented. The method adopted by the Group to consolidate its Subsidiaries is described in Note 3(b) of the 2019 Annual Consolidated Financial Statements.</w:t>
      </w:r>
    </w:p>
    <w:p>
      <w:pPr>
        <w:spacing w:after="0" w:line="359" w:lineRule="exact"/>
        <w:rPr>
          <w:rFonts w:ascii="Arial" w:cs="Arial" w:eastAsia="Arial" w:hAnsi="Arial"/>
          <w:sz w:val="16"/>
          <w:szCs w:val="16"/>
          <w:color w:val="auto"/>
        </w:rPr>
      </w:pPr>
    </w:p>
    <w:p>
      <w:pPr>
        <w:ind w:left="4960" w:hanging="93"/>
        <w:spacing w:after="0"/>
        <w:tabs>
          <w:tab w:leader="none" w:pos="4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15875</wp:posOffset>
            </wp:positionV>
            <wp:extent cx="714438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540"/>
          </w:cols>
          <w:pgMar w:left="900" w:top="839" w:right="459" w:bottom="1440" w:gutter="0" w:footer="0" w:header="0"/>
        </w:sectPr>
      </w:pPr>
    </w:p>
    <w:bookmarkStart w:id="21" w:name="page22"/>
    <w:bookmarkEnd w:id="21"/>
    <w:p>
      <w:pPr>
        <w:ind w:left="2" w:right="60"/>
        <w:spacing w:after="0" w:line="362" w:lineRule="auto"/>
        <w:rPr>
          <w:sz w:val="20"/>
          <w:szCs w:val="20"/>
          <w:color w:val="auto"/>
        </w:rPr>
      </w:pPr>
      <w:r>
        <w:rPr>
          <w:rFonts w:ascii="Arial" w:cs="Arial" w:eastAsia="Arial" w:hAnsi="Arial"/>
          <w:sz w:val="14"/>
          <w:szCs w:val="14"/>
          <w:color w:val="auto"/>
        </w:rPr>
        <w:t>As of March 31, 2020 and December 31, 2019, the following entities comprise the Group (the individual or consolidated figures of their financial statements are presented in accordance with IFRS and before eliminations for consolidation purposes, except for the elimination of Credicorp’s treasury shares and its related dividends):</w:t>
      </w:r>
    </w:p>
    <w:p>
      <w:pPr>
        <w:spacing w:after="0" w:line="97" w:lineRule="exact"/>
        <w:rPr>
          <w:sz w:val="20"/>
          <w:szCs w:val="20"/>
          <w:color w:val="auto"/>
        </w:rPr>
      </w:pPr>
    </w:p>
    <w:tbl>
      <w:tblPr>
        <w:tblLayout w:type="fixed"/>
        <w:tblInd w:w="2" w:type="dxa"/>
        <w:tblCellMar>
          <w:top w:w="0" w:type="dxa"/>
          <w:left w:w="0" w:type="dxa"/>
          <w:bottom w:w="0" w:type="dxa"/>
          <w:right w:w="0" w:type="dxa"/>
        </w:tblCellMar>
      </w:tblPr>
      <w:tr>
        <w:trPr>
          <w:trHeight w:val="126"/>
        </w:trPr>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9"/>
              </w:rPr>
              <w:t>Net income (loss)</w:t>
            </w:r>
          </w:p>
        </w:tc>
      </w:tr>
      <w:tr>
        <w:trPr>
          <w:trHeight w:val="123"/>
        </w:trPr>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w w:val="96"/>
              </w:rPr>
              <w:t>Activity and</w:t>
            </w:r>
          </w:p>
        </w:tc>
        <w:tc>
          <w:tcPr>
            <w:tcW w:w="1620" w:type="dxa"/>
            <w:vAlign w:val="bottom"/>
            <w:gridSpan w:val="4"/>
          </w:tcPr>
          <w:p>
            <w:pPr>
              <w:jc w:val="center"/>
              <w:ind w:right="200"/>
              <w:spacing w:after="0" w:line="123" w:lineRule="exact"/>
              <w:rPr>
                <w:sz w:val="20"/>
                <w:szCs w:val="20"/>
                <w:color w:val="auto"/>
              </w:rPr>
            </w:pPr>
            <w:r>
              <w:rPr>
                <w:rFonts w:ascii="Arial" w:cs="Arial" w:eastAsia="Arial" w:hAnsi="Arial"/>
                <w:sz w:val="11"/>
                <w:szCs w:val="11"/>
                <w:b w:val="1"/>
                <w:bCs w:val="1"/>
                <w:color w:val="auto"/>
                <w:w w:val="90"/>
              </w:rPr>
              <w:t>Percentage of</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4"/>
          </w:tcPr>
          <w:p>
            <w:pPr>
              <w:jc w:val="center"/>
              <w:ind w:right="100"/>
              <w:spacing w:after="0" w:line="123" w:lineRule="exact"/>
              <w:rPr>
                <w:sz w:val="20"/>
                <w:szCs w:val="20"/>
                <w:color w:val="auto"/>
              </w:rPr>
            </w:pPr>
            <w:r>
              <w:rPr>
                <w:rFonts w:ascii="Arial" w:cs="Arial" w:eastAsia="Arial" w:hAnsi="Arial"/>
                <w:sz w:val="11"/>
                <w:szCs w:val="11"/>
                <w:b w:val="1"/>
                <w:bCs w:val="1"/>
                <w:color w:val="auto"/>
                <w:w w:val="94"/>
              </w:rPr>
              <w:t>for the three-month</w:t>
            </w:r>
          </w:p>
        </w:tc>
      </w:tr>
      <w:tr>
        <w:trPr>
          <w:trHeight w:val="123"/>
        </w:trPr>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2"/>
              </w:rPr>
              <w:t>country of</w:t>
            </w:r>
          </w:p>
        </w:tc>
        <w:tc>
          <w:tcPr>
            <w:tcW w:w="1620" w:type="dxa"/>
            <w:vAlign w:val="bottom"/>
            <w:gridSpan w:val="4"/>
          </w:tcPr>
          <w:p>
            <w:pPr>
              <w:jc w:val="center"/>
              <w:ind w:right="220"/>
              <w:spacing w:after="0" w:line="123" w:lineRule="exact"/>
              <w:rPr>
                <w:sz w:val="20"/>
                <w:szCs w:val="20"/>
                <w:color w:val="auto"/>
              </w:rPr>
            </w:pPr>
            <w:r>
              <w:rPr>
                <w:rFonts w:ascii="Arial" w:cs="Arial" w:eastAsia="Arial" w:hAnsi="Arial"/>
                <w:sz w:val="11"/>
                <w:szCs w:val="11"/>
                <w:b w:val="1"/>
                <w:bCs w:val="1"/>
                <w:color w:val="auto"/>
                <w:w w:val="94"/>
              </w:rPr>
              <w:t>interest (direct</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4"/>
          </w:tcPr>
          <w:p>
            <w:pPr>
              <w:jc w:val="center"/>
              <w:ind w:right="100"/>
              <w:spacing w:after="0" w:line="123" w:lineRule="exact"/>
              <w:rPr>
                <w:sz w:val="20"/>
                <w:szCs w:val="20"/>
                <w:color w:val="auto"/>
              </w:rPr>
            </w:pPr>
            <w:r>
              <w:rPr>
                <w:rFonts w:ascii="Arial" w:cs="Arial" w:eastAsia="Arial" w:hAnsi="Arial"/>
                <w:sz w:val="11"/>
                <w:szCs w:val="11"/>
                <w:b w:val="1"/>
                <w:bCs w:val="1"/>
                <w:color w:val="auto"/>
                <w:w w:val="90"/>
              </w:rPr>
              <w:t>periods ended</w:t>
            </w:r>
          </w:p>
        </w:tc>
      </w:tr>
      <w:tr>
        <w:trPr>
          <w:trHeight w:val="139"/>
        </w:trPr>
        <w:tc>
          <w:tcPr>
            <w:tcW w:w="1760" w:type="dxa"/>
            <w:vAlign w:val="bottom"/>
          </w:tcPr>
          <w:p>
            <w:pPr>
              <w:spacing w:after="0"/>
              <w:rPr>
                <w:sz w:val="20"/>
                <w:szCs w:val="20"/>
                <w:color w:val="auto"/>
              </w:rPr>
            </w:pPr>
            <w:r>
              <w:rPr>
                <w:rFonts w:ascii="Arial" w:cs="Arial" w:eastAsia="Arial" w:hAnsi="Arial"/>
                <w:sz w:val="11"/>
                <w:szCs w:val="11"/>
                <w:b w:val="1"/>
                <w:bCs w:val="1"/>
                <w:color w:val="auto"/>
              </w:rPr>
              <w:t>Entity</w:t>
            </w:r>
          </w:p>
        </w:tc>
        <w:tc>
          <w:tcPr>
            <w:tcW w:w="10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incorporation</w:t>
            </w:r>
          </w:p>
        </w:tc>
        <w:tc>
          <w:tcPr>
            <w:tcW w:w="162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w w:val="96"/>
              </w:rPr>
              <w:t>and indirect)</w:t>
            </w:r>
          </w:p>
        </w:tc>
        <w:tc>
          <w:tcPr>
            <w:tcW w:w="1780" w:type="dxa"/>
            <w:vAlign w:val="bottom"/>
            <w:gridSpan w:val="4"/>
          </w:tcPr>
          <w:p>
            <w:pPr>
              <w:jc w:val="right"/>
              <w:ind w:right="840"/>
              <w:spacing w:after="0"/>
              <w:rPr>
                <w:sz w:val="20"/>
                <w:szCs w:val="20"/>
                <w:color w:val="auto"/>
              </w:rPr>
            </w:pPr>
            <w:r>
              <w:rPr>
                <w:rFonts w:ascii="Arial" w:cs="Arial" w:eastAsia="Arial" w:hAnsi="Arial"/>
                <w:sz w:val="11"/>
                <w:szCs w:val="11"/>
                <w:b w:val="1"/>
                <w:bCs w:val="1"/>
                <w:color w:val="auto"/>
              </w:rPr>
              <w:t>Assets</w:t>
            </w:r>
          </w:p>
        </w:tc>
        <w:tc>
          <w:tcPr>
            <w:tcW w:w="1780" w:type="dxa"/>
            <w:vAlign w:val="bottom"/>
            <w:gridSpan w:val="4"/>
          </w:tcPr>
          <w:p>
            <w:pPr>
              <w:ind w:left="560"/>
              <w:spacing w:after="0"/>
              <w:rPr>
                <w:sz w:val="20"/>
                <w:szCs w:val="20"/>
                <w:color w:val="auto"/>
              </w:rPr>
            </w:pPr>
            <w:r>
              <w:rPr>
                <w:rFonts w:ascii="Arial" w:cs="Arial" w:eastAsia="Arial" w:hAnsi="Arial"/>
                <w:sz w:val="11"/>
                <w:szCs w:val="11"/>
                <w:b w:val="1"/>
                <w:bCs w:val="1"/>
                <w:color w:val="auto"/>
              </w:rPr>
              <w:t>Liabilities</w:t>
            </w:r>
          </w:p>
        </w:tc>
        <w:tc>
          <w:tcPr>
            <w:tcW w:w="960" w:type="dxa"/>
            <w:vAlign w:val="bottom"/>
            <w:gridSpan w:val="3"/>
          </w:tcPr>
          <w:p>
            <w:pPr>
              <w:ind w:left="600"/>
              <w:spacing w:after="0"/>
              <w:rPr>
                <w:sz w:val="20"/>
                <w:szCs w:val="20"/>
                <w:color w:val="auto"/>
              </w:rPr>
            </w:pPr>
            <w:r>
              <w:rPr>
                <w:rFonts w:ascii="Arial" w:cs="Arial" w:eastAsia="Arial" w:hAnsi="Arial"/>
                <w:sz w:val="11"/>
                <w:szCs w:val="11"/>
                <w:b w:val="1"/>
                <w:bCs w:val="1"/>
                <w:color w:val="auto"/>
              </w:rPr>
              <w:t>Equity</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98"/>
              </w:rPr>
              <w:t>March 31,</w:t>
            </w:r>
          </w:p>
        </w:tc>
      </w:tr>
      <w:tr>
        <w:trPr>
          <w:trHeight w:val="99"/>
        </w:trPr>
        <w:tc>
          <w:tcPr>
            <w:tcW w:w="1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top w:val="single" w:sz="8" w:color="auto"/>
            </w:tcBorders>
            <w:gridSpan w:val="2"/>
          </w:tcPr>
          <w:p>
            <w:pPr>
              <w:jc w:val="right"/>
              <w:ind w:right="340"/>
              <w:spacing w:after="0" w:line="100" w:lineRule="exact"/>
              <w:rPr>
                <w:sz w:val="20"/>
                <w:szCs w:val="20"/>
                <w:color w:val="auto"/>
              </w:rPr>
            </w:pPr>
            <w:r>
              <w:rPr>
                <w:rFonts w:ascii="Arial" w:cs="Arial" w:eastAsia="Arial" w:hAnsi="Arial"/>
                <w:sz w:val="11"/>
                <w:szCs w:val="11"/>
                <w:b w:val="1"/>
                <w:bCs w:val="1"/>
                <w:color w:val="auto"/>
              </w:rPr>
              <w:t>As of</w:t>
            </w:r>
          </w:p>
        </w:tc>
        <w:tc>
          <w:tcPr>
            <w:tcW w:w="680" w:type="dxa"/>
            <w:vAlign w:val="bottom"/>
            <w:tcBorders>
              <w:top w:val="single" w:sz="8" w:color="auto"/>
            </w:tcBorders>
          </w:tcPr>
          <w:p>
            <w:pPr>
              <w:jc w:val="right"/>
              <w:ind w:right="163"/>
              <w:spacing w:after="0" w:line="100" w:lineRule="exact"/>
              <w:rPr>
                <w:sz w:val="20"/>
                <w:szCs w:val="20"/>
                <w:color w:val="auto"/>
              </w:rPr>
            </w:pPr>
            <w:r>
              <w:rPr>
                <w:rFonts w:ascii="Arial" w:cs="Arial" w:eastAsia="Arial" w:hAnsi="Arial"/>
                <w:sz w:val="11"/>
                <w:szCs w:val="11"/>
                <w:b w:val="1"/>
                <w:bCs w:val="1"/>
                <w:color w:val="auto"/>
              </w:rPr>
              <w:t>As of</w:t>
            </w:r>
          </w:p>
        </w:tc>
        <w:tc>
          <w:tcPr>
            <w:tcW w:w="200" w:type="dxa"/>
            <w:vAlign w:val="bottom"/>
          </w:tcPr>
          <w:p>
            <w:pPr>
              <w:spacing w:after="0"/>
              <w:rPr>
                <w:sz w:val="8"/>
                <w:szCs w:val="8"/>
                <w:color w:val="auto"/>
              </w:rPr>
            </w:pPr>
          </w:p>
        </w:tc>
        <w:tc>
          <w:tcPr>
            <w:tcW w:w="880" w:type="dxa"/>
            <w:vAlign w:val="bottom"/>
            <w:tcBorders>
              <w:top w:val="single" w:sz="8" w:color="auto"/>
            </w:tcBorders>
            <w:gridSpan w:val="2"/>
          </w:tcPr>
          <w:p>
            <w:pPr>
              <w:jc w:val="right"/>
              <w:ind w:right="420"/>
              <w:spacing w:after="0" w:line="100" w:lineRule="exact"/>
              <w:rPr>
                <w:sz w:val="20"/>
                <w:szCs w:val="20"/>
                <w:color w:val="auto"/>
              </w:rPr>
            </w:pPr>
            <w:r>
              <w:rPr>
                <w:rFonts w:ascii="Arial" w:cs="Arial" w:eastAsia="Arial" w:hAnsi="Arial"/>
                <w:sz w:val="11"/>
                <w:szCs w:val="11"/>
                <w:b w:val="1"/>
                <w:bCs w:val="1"/>
                <w:color w:val="auto"/>
              </w:rPr>
              <w:t>As of</w:t>
            </w:r>
          </w:p>
        </w:tc>
        <w:tc>
          <w:tcPr>
            <w:tcW w:w="70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4"/>
              </w:rPr>
              <w:t>As of</w:t>
            </w:r>
          </w:p>
        </w:tc>
        <w:tc>
          <w:tcPr>
            <w:tcW w:w="200" w:type="dxa"/>
            <w:vAlign w:val="bottom"/>
          </w:tcPr>
          <w:p>
            <w:pPr>
              <w:spacing w:after="0"/>
              <w:rPr>
                <w:sz w:val="8"/>
                <w:szCs w:val="8"/>
                <w:color w:val="auto"/>
              </w:rPr>
            </w:pPr>
          </w:p>
        </w:tc>
        <w:tc>
          <w:tcPr>
            <w:tcW w:w="880" w:type="dxa"/>
            <w:vAlign w:val="bottom"/>
            <w:tcBorders>
              <w:top w:val="single" w:sz="8" w:color="auto"/>
            </w:tcBorders>
            <w:gridSpan w:val="2"/>
          </w:tcPr>
          <w:p>
            <w:pPr>
              <w:jc w:val="right"/>
              <w:ind w:right="420"/>
              <w:spacing w:after="0" w:line="100" w:lineRule="exact"/>
              <w:rPr>
                <w:sz w:val="20"/>
                <w:szCs w:val="20"/>
                <w:color w:val="auto"/>
              </w:rPr>
            </w:pPr>
            <w:r>
              <w:rPr>
                <w:rFonts w:ascii="Arial" w:cs="Arial" w:eastAsia="Arial" w:hAnsi="Arial"/>
                <w:sz w:val="11"/>
                <w:szCs w:val="11"/>
                <w:b w:val="1"/>
                <w:bCs w:val="1"/>
                <w:color w:val="auto"/>
              </w:rPr>
              <w:t>As of</w:t>
            </w:r>
          </w:p>
        </w:tc>
        <w:tc>
          <w:tcPr>
            <w:tcW w:w="72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4"/>
              </w:rPr>
              <w:t>As of</w:t>
            </w:r>
          </w:p>
        </w:tc>
        <w:tc>
          <w:tcPr>
            <w:tcW w:w="180" w:type="dxa"/>
            <w:vAlign w:val="bottom"/>
          </w:tcPr>
          <w:p>
            <w:pPr>
              <w:spacing w:after="0"/>
              <w:rPr>
                <w:sz w:val="8"/>
                <w:szCs w:val="8"/>
                <w:color w:val="auto"/>
              </w:rPr>
            </w:pPr>
          </w:p>
        </w:tc>
        <w:tc>
          <w:tcPr>
            <w:tcW w:w="820" w:type="dxa"/>
            <w:vAlign w:val="bottom"/>
            <w:tcBorders>
              <w:top w:val="single" w:sz="8" w:color="auto"/>
            </w:tcBorders>
            <w:gridSpan w:val="2"/>
          </w:tcPr>
          <w:p>
            <w:pPr>
              <w:jc w:val="right"/>
              <w:ind w:right="380"/>
              <w:spacing w:after="0" w:line="100" w:lineRule="exact"/>
              <w:rPr>
                <w:sz w:val="20"/>
                <w:szCs w:val="20"/>
                <w:color w:val="auto"/>
              </w:rPr>
            </w:pPr>
            <w:r>
              <w:rPr>
                <w:rFonts w:ascii="Arial" w:cs="Arial" w:eastAsia="Arial" w:hAnsi="Arial"/>
                <w:sz w:val="11"/>
                <w:szCs w:val="11"/>
                <w:b w:val="1"/>
                <w:bCs w:val="1"/>
                <w:color w:val="auto"/>
              </w:rPr>
              <w:t>As of</w:t>
            </w: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center"/>
              <w:ind w:right="83"/>
              <w:spacing w:after="0" w:line="100" w:lineRule="exact"/>
              <w:rPr>
                <w:sz w:val="20"/>
                <w:szCs w:val="20"/>
                <w:color w:val="auto"/>
              </w:rPr>
            </w:pPr>
            <w:r>
              <w:rPr>
                <w:rFonts w:ascii="Arial" w:cs="Arial" w:eastAsia="Arial" w:hAnsi="Arial"/>
                <w:sz w:val="11"/>
                <w:szCs w:val="11"/>
                <w:b w:val="1"/>
                <w:bCs w:val="1"/>
                <w:color w:val="auto"/>
                <w:w w:val="87"/>
              </w:rPr>
              <w:t>As of</w:t>
            </w:r>
          </w:p>
        </w:tc>
        <w:tc>
          <w:tcPr>
            <w:tcW w:w="2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23"/>
        </w:trPr>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20"/>
              <w:spacing w:after="0" w:line="123" w:lineRule="exact"/>
              <w:rPr>
                <w:sz w:val="20"/>
                <w:szCs w:val="20"/>
                <w:color w:val="auto"/>
              </w:rPr>
            </w:pPr>
            <w:r>
              <w:rPr>
                <w:rFonts w:ascii="Arial" w:cs="Arial" w:eastAsia="Arial" w:hAnsi="Arial"/>
                <w:sz w:val="11"/>
                <w:szCs w:val="11"/>
                <w:b w:val="1"/>
                <w:bCs w:val="1"/>
                <w:color w:val="auto"/>
                <w:w w:val="98"/>
              </w:rPr>
              <w:t>March 31,</w:t>
            </w:r>
          </w:p>
        </w:tc>
        <w:tc>
          <w:tcPr>
            <w:tcW w:w="880" w:type="dxa"/>
            <w:vAlign w:val="bottom"/>
            <w:gridSpan w:val="2"/>
          </w:tcPr>
          <w:p>
            <w:pPr>
              <w:jc w:val="right"/>
              <w:ind w:right="200"/>
              <w:spacing w:after="0" w:line="123" w:lineRule="exact"/>
              <w:rPr>
                <w:sz w:val="20"/>
                <w:szCs w:val="20"/>
                <w:color w:val="auto"/>
              </w:rPr>
            </w:pPr>
            <w:r>
              <w:rPr>
                <w:rFonts w:ascii="Arial" w:cs="Arial" w:eastAsia="Arial" w:hAnsi="Arial"/>
                <w:sz w:val="11"/>
                <w:szCs w:val="11"/>
                <w:b w:val="1"/>
                <w:bCs w:val="1"/>
                <w:color w:val="auto"/>
                <w:w w:val="92"/>
              </w:rPr>
              <w:t>December 31,</w:t>
            </w:r>
          </w:p>
        </w:tc>
        <w:tc>
          <w:tcPr>
            <w:tcW w:w="880" w:type="dxa"/>
            <w:vAlign w:val="bottom"/>
            <w:gridSpan w:val="2"/>
          </w:tcPr>
          <w:p>
            <w:pPr>
              <w:jc w:val="right"/>
              <w:ind w:right="280"/>
              <w:spacing w:after="0" w:line="123" w:lineRule="exact"/>
              <w:rPr>
                <w:sz w:val="20"/>
                <w:szCs w:val="20"/>
                <w:color w:val="auto"/>
              </w:rPr>
            </w:pPr>
            <w:r>
              <w:rPr>
                <w:rFonts w:ascii="Arial" w:cs="Arial" w:eastAsia="Arial" w:hAnsi="Arial"/>
                <w:sz w:val="11"/>
                <w:szCs w:val="11"/>
                <w:b w:val="1"/>
                <w:bCs w:val="1"/>
                <w:color w:val="auto"/>
              </w:rPr>
              <w:t>March 31,</w:t>
            </w:r>
          </w:p>
        </w:tc>
        <w:tc>
          <w:tcPr>
            <w:tcW w:w="900" w:type="dxa"/>
            <w:vAlign w:val="bottom"/>
            <w:gridSpan w:val="2"/>
          </w:tcPr>
          <w:p>
            <w:pPr>
              <w:jc w:val="center"/>
              <w:ind w:right="200"/>
              <w:spacing w:after="0" w:line="123" w:lineRule="exact"/>
              <w:rPr>
                <w:sz w:val="20"/>
                <w:szCs w:val="20"/>
                <w:color w:val="auto"/>
              </w:rPr>
            </w:pPr>
            <w:r>
              <w:rPr>
                <w:rFonts w:ascii="Arial" w:cs="Arial" w:eastAsia="Arial" w:hAnsi="Arial"/>
                <w:sz w:val="11"/>
                <w:szCs w:val="11"/>
                <w:b w:val="1"/>
                <w:bCs w:val="1"/>
                <w:color w:val="auto"/>
                <w:w w:val="92"/>
              </w:rPr>
              <w:t>December 31,</w:t>
            </w:r>
          </w:p>
        </w:tc>
        <w:tc>
          <w:tcPr>
            <w:tcW w:w="880" w:type="dxa"/>
            <w:vAlign w:val="bottom"/>
            <w:gridSpan w:val="2"/>
          </w:tcPr>
          <w:p>
            <w:pPr>
              <w:jc w:val="right"/>
              <w:ind w:right="280"/>
              <w:spacing w:after="0" w:line="123" w:lineRule="exact"/>
              <w:rPr>
                <w:sz w:val="20"/>
                <w:szCs w:val="20"/>
                <w:color w:val="auto"/>
              </w:rPr>
            </w:pPr>
            <w:r>
              <w:rPr>
                <w:rFonts w:ascii="Arial" w:cs="Arial" w:eastAsia="Arial" w:hAnsi="Arial"/>
                <w:sz w:val="11"/>
                <w:szCs w:val="11"/>
                <w:b w:val="1"/>
                <w:bCs w:val="1"/>
                <w:color w:val="auto"/>
              </w:rPr>
              <w:t>March 31,</w:t>
            </w:r>
          </w:p>
        </w:tc>
        <w:tc>
          <w:tcPr>
            <w:tcW w:w="900" w:type="dxa"/>
            <w:vAlign w:val="bottom"/>
            <w:gridSpan w:val="2"/>
          </w:tcPr>
          <w:p>
            <w:pPr>
              <w:jc w:val="center"/>
              <w:ind w:right="200"/>
              <w:spacing w:after="0" w:line="123" w:lineRule="exact"/>
              <w:rPr>
                <w:sz w:val="20"/>
                <w:szCs w:val="20"/>
                <w:color w:val="auto"/>
              </w:rPr>
            </w:pPr>
            <w:r>
              <w:rPr>
                <w:rFonts w:ascii="Arial" w:cs="Arial" w:eastAsia="Arial" w:hAnsi="Arial"/>
                <w:sz w:val="11"/>
                <w:szCs w:val="11"/>
                <w:b w:val="1"/>
                <w:bCs w:val="1"/>
                <w:color w:val="auto"/>
                <w:w w:val="92"/>
              </w:rPr>
              <w:t>December 31,</w:t>
            </w:r>
          </w:p>
        </w:tc>
        <w:tc>
          <w:tcPr>
            <w:tcW w:w="820" w:type="dxa"/>
            <w:vAlign w:val="bottom"/>
            <w:gridSpan w:val="2"/>
          </w:tcPr>
          <w:p>
            <w:pPr>
              <w:jc w:val="right"/>
              <w:ind w:right="260"/>
              <w:spacing w:after="0" w:line="123" w:lineRule="exact"/>
              <w:rPr>
                <w:sz w:val="20"/>
                <w:szCs w:val="20"/>
                <w:color w:val="auto"/>
              </w:rPr>
            </w:pPr>
            <w:r>
              <w:rPr>
                <w:rFonts w:ascii="Arial" w:cs="Arial" w:eastAsia="Arial" w:hAnsi="Arial"/>
                <w:sz w:val="11"/>
                <w:szCs w:val="11"/>
                <w:b w:val="1"/>
                <w:bCs w:val="1"/>
                <w:color w:val="auto"/>
              </w:rPr>
              <w:t>March 31,</w:t>
            </w:r>
          </w:p>
        </w:tc>
        <w:tc>
          <w:tcPr>
            <w:tcW w:w="880" w:type="dxa"/>
            <w:vAlign w:val="bottom"/>
            <w:gridSpan w:val="3"/>
          </w:tcPr>
          <w:p>
            <w:pPr>
              <w:jc w:val="center"/>
              <w:ind w:right="200"/>
              <w:spacing w:after="0" w:line="123" w:lineRule="exact"/>
              <w:rPr>
                <w:sz w:val="20"/>
                <w:szCs w:val="20"/>
                <w:color w:val="auto"/>
              </w:rPr>
            </w:pPr>
            <w:r>
              <w:rPr>
                <w:rFonts w:ascii="Arial" w:cs="Arial" w:eastAsia="Arial" w:hAnsi="Arial"/>
                <w:sz w:val="11"/>
                <w:szCs w:val="11"/>
                <w:b w:val="1"/>
                <w:bCs w:val="1"/>
                <w:color w:val="auto"/>
                <w:w w:val="94"/>
              </w:rPr>
              <w:t>December 31,</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2020</w:t>
            </w:r>
          </w:p>
        </w:tc>
        <w:tc>
          <w:tcPr>
            <w:tcW w:w="200" w:type="dxa"/>
            <w:vAlign w:val="bottom"/>
          </w:tcPr>
          <w:p>
            <w:pPr>
              <w:spacing w:after="0"/>
              <w:rPr>
                <w:sz w:val="12"/>
                <w:szCs w:val="12"/>
                <w:color w:val="auto"/>
              </w:rPr>
            </w:pPr>
          </w:p>
        </w:tc>
        <w:tc>
          <w:tcPr>
            <w:tcW w:w="6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2019</w:t>
            </w:r>
          </w:p>
        </w:tc>
        <w:tc>
          <w:tcPr>
            <w:tcW w:w="200" w:type="dxa"/>
            <w:vAlign w:val="bottom"/>
          </w:tcPr>
          <w:p>
            <w:pPr>
              <w:spacing w:after="0"/>
              <w:rPr>
                <w:sz w:val="12"/>
                <w:szCs w:val="12"/>
                <w:color w:val="auto"/>
              </w:rPr>
            </w:pPr>
          </w:p>
        </w:tc>
        <w:tc>
          <w:tcPr>
            <w:tcW w:w="6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2020</w:t>
            </w: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2019</w:t>
            </w:r>
          </w:p>
        </w:tc>
        <w:tc>
          <w:tcPr>
            <w:tcW w:w="200" w:type="dxa"/>
            <w:vAlign w:val="bottom"/>
          </w:tcPr>
          <w:p>
            <w:pPr>
              <w:spacing w:after="0"/>
              <w:rPr>
                <w:sz w:val="12"/>
                <w:szCs w:val="12"/>
                <w:color w:val="auto"/>
              </w:rPr>
            </w:pPr>
          </w:p>
        </w:tc>
        <w:tc>
          <w:tcPr>
            <w:tcW w:w="6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2020</w:t>
            </w:r>
          </w:p>
        </w:tc>
        <w:tc>
          <w:tcPr>
            <w:tcW w:w="200" w:type="dxa"/>
            <w:vAlign w:val="bottom"/>
          </w:tcPr>
          <w:p>
            <w:pPr>
              <w:spacing w:after="0"/>
              <w:rPr>
                <w:sz w:val="12"/>
                <w:szCs w:val="12"/>
                <w:color w:val="auto"/>
              </w:rPr>
            </w:pPr>
          </w:p>
        </w:tc>
        <w:tc>
          <w:tcPr>
            <w:tcW w:w="72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2019</w:t>
            </w:r>
          </w:p>
        </w:tc>
        <w:tc>
          <w:tcPr>
            <w:tcW w:w="180" w:type="dxa"/>
            <w:vAlign w:val="bottom"/>
          </w:tcPr>
          <w:p>
            <w:pPr>
              <w:spacing w:after="0"/>
              <w:rPr>
                <w:sz w:val="12"/>
                <w:szCs w:val="12"/>
                <w:color w:val="auto"/>
              </w:rPr>
            </w:pPr>
          </w:p>
        </w:tc>
        <w:tc>
          <w:tcPr>
            <w:tcW w:w="62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2020</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2019</w:t>
            </w:r>
          </w:p>
        </w:tc>
        <w:tc>
          <w:tcPr>
            <w:tcW w:w="200" w:type="dxa"/>
            <w:vAlign w:val="bottom"/>
          </w:tcPr>
          <w:p>
            <w:pPr>
              <w:spacing w:after="0"/>
              <w:rPr>
                <w:sz w:val="12"/>
                <w:szCs w:val="12"/>
                <w:color w:val="auto"/>
              </w:rPr>
            </w:pPr>
          </w:p>
        </w:tc>
        <w:tc>
          <w:tcPr>
            <w:tcW w:w="5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2020</w:t>
            </w:r>
          </w:p>
        </w:tc>
        <w:tc>
          <w:tcPr>
            <w:tcW w:w="200" w:type="dxa"/>
            <w:vAlign w:val="bottom"/>
          </w:tcPr>
          <w:p>
            <w:pPr>
              <w:spacing w:after="0"/>
              <w:rPr>
                <w:sz w:val="12"/>
                <w:szCs w:val="12"/>
                <w:color w:val="auto"/>
              </w:rPr>
            </w:pPr>
          </w:p>
        </w:tc>
        <w:tc>
          <w:tcPr>
            <w:tcW w:w="5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2"/>
                <w:szCs w:val="12"/>
                <w:color w:val="auto"/>
              </w:rPr>
            </w:pPr>
          </w:p>
        </w:tc>
      </w:tr>
      <w:tr>
        <w:trPr>
          <w:trHeight w:val="115"/>
        </w:trPr>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43"/>
              <w:spacing w:after="0" w:line="115" w:lineRule="exact"/>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0"/>
                <w:szCs w:val="10"/>
                <w:color w:val="auto"/>
              </w:rPr>
            </w:pPr>
          </w:p>
        </w:tc>
        <w:tc>
          <w:tcPr>
            <w:tcW w:w="680" w:type="dxa"/>
            <w:vAlign w:val="bottom"/>
          </w:tcPr>
          <w:p>
            <w:pPr>
              <w:jc w:val="right"/>
              <w:ind w:right="223"/>
              <w:spacing w:after="0" w:line="115" w:lineRule="exact"/>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0"/>
                <w:szCs w:val="10"/>
                <w:color w:val="auto"/>
              </w:rPr>
            </w:pPr>
          </w:p>
        </w:tc>
        <w:tc>
          <w:tcPr>
            <w:tcW w:w="6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00" w:type="dxa"/>
            <w:vAlign w:val="bottom"/>
          </w:tcPr>
          <w:p>
            <w:pPr>
              <w:spacing w:after="0"/>
              <w:rPr>
                <w:sz w:val="10"/>
                <w:szCs w:val="10"/>
                <w:color w:val="auto"/>
              </w:rPr>
            </w:pPr>
          </w:p>
        </w:tc>
        <w:tc>
          <w:tcPr>
            <w:tcW w:w="7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00" w:type="dxa"/>
            <w:vAlign w:val="bottom"/>
          </w:tcPr>
          <w:p>
            <w:pPr>
              <w:spacing w:after="0"/>
              <w:rPr>
                <w:sz w:val="10"/>
                <w:szCs w:val="10"/>
                <w:color w:val="auto"/>
              </w:rPr>
            </w:pPr>
          </w:p>
        </w:tc>
        <w:tc>
          <w:tcPr>
            <w:tcW w:w="6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00" w:type="dxa"/>
            <w:vAlign w:val="bottom"/>
          </w:tcPr>
          <w:p>
            <w:pPr>
              <w:spacing w:after="0"/>
              <w:rPr>
                <w:sz w:val="10"/>
                <w:szCs w:val="10"/>
                <w:color w:val="auto"/>
              </w:rPr>
            </w:pP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80" w:type="dxa"/>
            <w:vAlign w:val="bottom"/>
          </w:tcPr>
          <w:p>
            <w:pPr>
              <w:spacing w:after="0"/>
              <w:rPr>
                <w:sz w:val="10"/>
                <w:szCs w:val="10"/>
                <w:color w:val="auto"/>
              </w:rPr>
            </w:pPr>
          </w:p>
        </w:tc>
        <w:tc>
          <w:tcPr>
            <w:tcW w:w="6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center"/>
              <w:ind w:right="83"/>
              <w:spacing w:after="0" w:line="115" w:lineRule="exact"/>
              <w:rPr>
                <w:sz w:val="20"/>
                <w:szCs w:val="20"/>
                <w:color w:val="auto"/>
              </w:rPr>
            </w:pPr>
            <w:r>
              <w:rPr>
                <w:rFonts w:ascii="Arial" w:cs="Arial" w:eastAsia="Arial" w:hAnsi="Arial"/>
                <w:sz w:val="11"/>
                <w:szCs w:val="11"/>
                <w:b w:val="1"/>
                <w:bCs w:val="1"/>
                <w:color w:val="auto"/>
                <w:w w:val="99"/>
              </w:rPr>
              <w:t>S/(000)</w:t>
            </w:r>
          </w:p>
        </w:tc>
        <w:tc>
          <w:tcPr>
            <w:tcW w:w="200" w:type="dxa"/>
            <w:vAlign w:val="bottom"/>
          </w:tcPr>
          <w:p>
            <w:pPr>
              <w:spacing w:after="0"/>
              <w:rPr>
                <w:sz w:val="10"/>
                <w:szCs w:val="10"/>
                <w:color w:val="auto"/>
              </w:rPr>
            </w:pPr>
          </w:p>
        </w:tc>
        <w:tc>
          <w:tcPr>
            <w:tcW w:w="5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00" w:type="dxa"/>
            <w:vAlign w:val="bottom"/>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80" w:type="dxa"/>
            <w:vAlign w:val="bottom"/>
          </w:tcPr>
          <w:p>
            <w:pPr>
              <w:spacing w:after="0"/>
              <w:rPr>
                <w:sz w:val="10"/>
                <w:szCs w:val="10"/>
                <w:color w:val="auto"/>
              </w:rPr>
            </w:pPr>
          </w:p>
        </w:tc>
      </w:tr>
      <w:tr>
        <w:trPr>
          <w:trHeight w:val="109"/>
        </w:trPr>
        <w:tc>
          <w:tcPr>
            <w:tcW w:w="176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w w:val="98"/>
              </w:rPr>
              <w:t>Grupo Crédito S.A. and Subsidiaries</w:t>
            </w: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7"/>
        </w:trPr>
        <w:tc>
          <w:tcPr>
            <w:tcW w:w="17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w:t>
            </w:r>
          </w:p>
        </w:tc>
        <w:tc>
          <w:tcPr>
            <w:tcW w:w="122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Holding, Peru</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100.00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100.00</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157,270,681</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165,072,249</w:t>
            </w:r>
          </w:p>
        </w:tc>
        <w:tc>
          <w:tcPr>
            <w:tcW w:w="2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136,994,794</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142,514,228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20,275,887</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w w:val="94"/>
              </w:rPr>
              <w:t>22,558,021</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162,642</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1,033,387</w:t>
            </w:r>
          </w:p>
        </w:tc>
        <w:tc>
          <w:tcPr>
            <w:tcW w:w="80" w:type="dxa"/>
            <w:vAlign w:val="bottom"/>
            <w:shd w:val="clear" w:color="auto" w:fill="CCEEFF"/>
          </w:tcPr>
          <w:p>
            <w:pPr>
              <w:spacing w:after="0"/>
              <w:rPr>
                <w:sz w:val="11"/>
                <w:szCs w:val="11"/>
                <w:color w:val="auto"/>
              </w:rPr>
            </w:pPr>
          </w:p>
        </w:tc>
      </w:tr>
      <w:tr>
        <w:trPr>
          <w:trHeight w:val="109"/>
        </w:trPr>
        <w:tc>
          <w:tcPr>
            <w:tcW w:w="1760" w:type="dxa"/>
            <w:vAlign w:val="bottom"/>
          </w:tcPr>
          <w:p>
            <w:pPr>
              <w:spacing w:after="0" w:line="109" w:lineRule="exact"/>
              <w:rPr>
                <w:sz w:val="20"/>
                <w:szCs w:val="20"/>
                <w:color w:val="auto"/>
              </w:rPr>
            </w:pPr>
            <w:r>
              <w:rPr>
                <w:rFonts w:ascii="Arial" w:cs="Arial" w:eastAsia="Arial" w:hAnsi="Arial"/>
                <w:sz w:val="11"/>
                <w:szCs w:val="11"/>
                <w:color w:val="auto"/>
              </w:rPr>
              <w:t>Pacífico Compañía de Seguros y</w:t>
            </w: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3"/>
        </w:trPr>
        <w:tc>
          <w:tcPr>
            <w:tcW w:w="1760" w:type="dxa"/>
            <w:vAlign w:val="bottom"/>
          </w:tcPr>
          <w:p>
            <w:pPr>
              <w:ind w:left="140"/>
              <w:spacing w:after="0" w:line="123" w:lineRule="exact"/>
              <w:rPr>
                <w:sz w:val="20"/>
                <w:szCs w:val="20"/>
                <w:color w:val="auto"/>
              </w:rPr>
            </w:pPr>
            <w:r>
              <w:rPr>
                <w:rFonts w:ascii="Arial" w:cs="Arial" w:eastAsia="Arial" w:hAnsi="Arial"/>
                <w:sz w:val="11"/>
                <w:szCs w:val="11"/>
                <w:color w:val="auto"/>
                <w:w w:val="97"/>
              </w:rPr>
              <w:t>Reaseguros S.A and Subsidiaries</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7"/>
        </w:trPr>
        <w:tc>
          <w:tcPr>
            <w:tcW w:w="1760" w:type="dxa"/>
            <w:vAlign w:val="bottom"/>
          </w:tcPr>
          <w:p>
            <w:pPr>
              <w:ind w:left="140"/>
              <w:spacing w:after="0"/>
              <w:rPr>
                <w:sz w:val="20"/>
                <w:szCs w:val="20"/>
                <w:color w:val="auto"/>
              </w:rPr>
            </w:pPr>
            <w:r>
              <w:rPr>
                <w:rFonts w:ascii="Arial" w:cs="Arial" w:eastAsia="Arial" w:hAnsi="Arial"/>
                <w:sz w:val="11"/>
                <w:szCs w:val="11"/>
                <w:color w:val="auto"/>
              </w:rPr>
              <w:t>(ii)</w:t>
            </w:r>
          </w:p>
        </w:tc>
        <w:tc>
          <w:tcPr>
            <w:tcW w:w="1220" w:type="dxa"/>
            <w:vAlign w:val="bottom"/>
            <w:gridSpan w:val="3"/>
          </w:tcPr>
          <w:p>
            <w:pPr>
              <w:ind w:left="100"/>
              <w:spacing w:after="0"/>
              <w:rPr>
                <w:sz w:val="20"/>
                <w:szCs w:val="20"/>
                <w:color w:val="auto"/>
              </w:rPr>
            </w:pPr>
            <w:r>
              <w:rPr>
                <w:rFonts w:ascii="Arial" w:cs="Arial" w:eastAsia="Arial" w:hAnsi="Arial"/>
                <w:sz w:val="11"/>
                <w:szCs w:val="11"/>
                <w:color w:val="auto"/>
              </w:rPr>
              <w:t>Insurance, Peru</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98.79</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98.79</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13,728,994</w:t>
            </w: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13,783,515</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10,994,137</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10,963,533</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2,734,857</w:t>
            </w:r>
          </w:p>
        </w:tc>
        <w:tc>
          <w:tcPr>
            <w:tcW w:w="140" w:type="dxa"/>
            <w:vAlign w:val="bottom"/>
          </w:tcPr>
          <w:p>
            <w:pPr>
              <w:spacing w:after="0"/>
              <w:rPr>
                <w:sz w:val="11"/>
                <w:szCs w:val="1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2,819,982</w:t>
            </w: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99,838</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78,070</w:t>
            </w:r>
          </w:p>
        </w:tc>
      </w:tr>
      <w:tr>
        <w:trPr>
          <w:trHeight w:val="109"/>
        </w:trPr>
        <w:tc>
          <w:tcPr>
            <w:tcW w:w="176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Atlantic Security Holding</w:t>
            </w:r>
          </w:p>
        </w:tc>
        <w:tc>
          <w:tcPr>
            <w:tcW w:w="1220" w:type="dxa"/>
            <w:vAlign w:val="bottom"/>
            <w:gridSpan w:val="3"/>
            <w:shd w:val="clear" w:color="auto" w:fill="CCEEFF"/>
          </w:tcPr>
          <w:p>
            <w:pPr>
              <w:ind w:left="100"/>
              <w:spacing w:after="0" w:line="109" w:lineRule="exact"/>
              <w:rPr>
                <w:sz w:val="20"/>
                <w:szCs w:val="20"/>
                <w:color w:val="auto"/>
              </w:rPr>
            </w:pPr>
            <w:r>
              <w:rPr>
                <w:rFonts w:ascii="Arial" w:cs="Arial" w:eastAsia="Arial" w:hAnsi="Arial"/>
                <w:sz w:val="11"/>
                <w:szCs w:val="11"/>
                <w:color w:val="auto"/>
              </w:rPr>
              <w:t>Capital Markets,</w:t>
            </w: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7"/>
        </w:trPr>
        <w:tc>
          <w:tcPr>
            <w:tcW w:w="17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Corporation and Subsidiaries (iii)</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93"/>
              </w:rPr>
              <w:t>Cayman Islands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100.00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100.00</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8,483,365</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6,076,928</w:t>
            </w:r>
          </w:p>
        </w:tc>
        <w:tc>
          <w:tcPr>
            <w:tcW w:w="2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7,075,645</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4,986,657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1,407,720</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1,090,271</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436,345</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348,530</w:t>
            </w:r>
          </w:p>
        </w:tc>
      </w:tr>
      <w:tr>
        <w:trPr>
          <w:trHeight w:val="109"/>
        </w:trPr>
        <w:tc>
          <w:tcPr>
            <w:tcW w:w="1760" w:type="dxa"/>
            <w:vAlign w:val="bottom"/>
          </w:tcPr>
          <w:p>
            <w:pPr>
              <w:spacing w:after="0"/>
              <w:rPr>
                <w:sz w:val="9"/>
                <w:szCs w:val="9"/>
                <w:color w:val="auto"/>
              </w:rPr>
            </w:pPr>
          </w:p>
        </w:tc>
        <w:tc>
          <w:tcPr>
            <w:tcW w:w="1220" w:type="dxa"/>
            <w:vAlign w:val="bottom"/>
            <w:gridSpan w:val="3"/>
          </w:tcPr>
          <w:p>
            <w:pPr>
              <w:ind w:left="100"/>
              <w:spacing w:after="0" w:line="109" w:lineRule="exact"/>
              <w:rPr>
                <w:sz w:val="20"/>
                <w:szCs w:val="20"/>
                <w:color w:val="auto"/>
              </w:rPr>
            </w:pPr>
            <w:r>
              <w:rPr>
                <w:rFonts w:ascii="Arial" w:cs="Arial" w:eastAsia="Arial" w:hAnsi="Arial"/>
                <w:sz w:val="11"/>
                <w:szCs w:val="11"/>
                <w:color w:val="auto"/>
              </w:rPr>
              <w:t>Capital Markets and</w:t>
            </w: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3"/>
        </w:trPr>
        <w:tc>
          <w:tcPr>
            <w:tcW w:w="1760" w:type="dxa"/>
            <w:vAlign w:val="bottom"/>
          </w:tcPr>
          <w:p>
            <w:pPr>
              <w:spacing w:after="0" w:line="123" w:lineRule="exact"/>
              <w:rPr>
                <w:sz w:val="20"/>
                <w:szCs w:val="20"/>
                <w:color w:val="auto"/>
              </w:rPr>
            </w:pPr>
            <w:r>
              <w:rPr>
                <w:rFonts w:ascii="Arial" w:cs="Arial" w:eastAsia="Arial" w:hAnsi="Arial"/>
                <w:sz w:val="11"/>
                <w:szCs w:val="11"/>
                <w:color w:val="auto"/>
              </w:rPr>
              <w:t>Credicorp Capital Ltd. and</w:t>
            </w:r>
          </w:p>
        </w:tc>
        <w:tc>
          <w:tcPr>
            <w:tcW w:w="100" w:type="dxa"/>
            <w:vAlign w:val="bottom"/>
          </w:tcPr>
          <w:p>
            <w:pPr>
              <w:spacing w:after="0"/>
              <w:rPr>
                <w:sz w:val="10"/>
                <w:szCs w:val="10"/>
                <w:color w:val="auto"/>
              </w:rPr>
            </w:pPr>
          </w:p>
        </w:tc>
        <w:tc>
          <w:tcPr>
            <w:tcW w:w="1120" w:type="dxa"/>
            <w:vAlign w:val="bottom"/>
            <w:gridSpan w:val="2"/>
          </w:tcPr>
          <w:p>
            <w:pPr>
              <w:ind w:left="140"/>
              <w:spacing w:after="0" w:line="123" w:lineRule="exact"/>
              <w:rPr>
                <w:sz w:val="20"/>
                <w:szCs w:val="20"/>
                <w:color w:val="auto"/>
              </w:rPr>
            </w:pPr>
            <w:r>
              <w:rPr>
                <w:rFonts w:ascii="Arial" w:cs="Arial" w:eastAsia="Arial" w:hAnsi="Arial"/>
                <w:sz w:val="11"/>
                <w:szCs w:val="11"/>
                <w:color w:val="auto"/>
                <w:w w:val="99"/>
              </w:rPr>
              <w:t>asset management,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7"/>
        </w:trPr>
        <w:tc>
          <w:tcPr>
            <w:tcW w:w="1760" w:type="dxa"/>
            <w:vAlign w:val="bottom"/>
          </w:tcPr>
          <w:p>
            <w:pPr>
              <w:ind w:left="140"/>
              <w:spacing w:after="0"/>
              <w:rPr>
                <w:sz w:val="20"/>
                <w:szCs w:val="20"/>
                <w:color w:val="auto"/>
              </w:rPr>
            </w:pPr>
            <w:r>
              <w:rPr>
                <w:rFonts w:ascii="Arial" w:cs="Arial" w:eastAsia="Arial" w:hAnsi="Arial"/>
                <w:sz w:val="11"/>
                <w:szCs w:val="11"/>
                <w:color w:val="auto"/>
              </w:rPr>
              <w:t>Subsidiaries (iv)</w:t>
            </w:r>
          </w:p>
        </w:tc>
        <w:tc>
          <w:tcPr>
            <w:tcW w:w="100" w:type="dxa"/>
            <w:vAlign w:val="bottom"/>
          </w:tcPr>
          <w:p>
            <w:pPr>
              <w:spacing w:after="0"/>
              <w:rPr>
                <w:sz w:val="11"/>
                <w:szCs w:val="11"/>
                <w:color w:val="auto"/>
              </w:rPr>
            </w:pPr>
          </w:p>
        </w:tc>
        <w:tc>
          <w:tcPr>
            <w:tcW w:w="1120" w:type="dxa"/>
            <w:vAlign w:val="bottom"/>
            <w:gridSpan w:val="2"/>
          </w:tcPr>
          <w:p>
            <w:pPr>
              <w:ind w:left="140"/>
              <w:spacing w:after="0"/>
              <w:rPr>
                <w:sz w:val="20"/>
                <w:szCs w:val="20"/>
                <w:color w:val="auto"/>
              </w:rPr>
            </w:pPr>
            <w:r>
              <w:rPr>
                <w:rFonts w:ascii="Arial" w:cs="Arial" w:eastAsia="Arial" w:hAnsi="Arial"/>
                <w:sz w:val="11"/>
                <w:szCs w:val="11"/>
                <w:color w:val="auto"/>
              </w:rPr>
              <w:t>Bermuda</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100.00</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100.00</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4,115,320</w:t>
            </w:r>
          </w:p>
        </w:tc>
        <w:tc>
          <w:tcPr>
            <w:tcW w:w="700" w:type="dxa"/>
            <w:vAlign w:val="bottom"/>
          </w:tcPr>
          <w:p>
            <w:pPr>
              <w:jc w:val="right"/>
              <w:spacing w:after="0"/>
              <w:rPr>
                <w:sz w:val="20"/>
                <w:szCs w:val="20"/>
                <w:color w:val="auto"/>
              </w:rPr>
            </w:pPr>
            <w:r>
              <w:rPr>
                <w:rFonts w:ascii="Arial" w:cs="Arial" w:eastAsia="Arial" w:hAnsi="Arial"/>
                <w:sz w:val="11"/>
                <w:szCs w:val="11"/>
                <w:color w:val="auto"/>
              </w:rPr>
              <w:t>4,807,905</w:t>
            </w:r>
          </w:p>
        </w:tc>
        <w:tc>
          <w:tcPr>
            <w:tcW w:w="20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3,255,430</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3,832,287</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859,890</w:t>
            </w:r>
          </w:p>
        </w:tc>
        <w:tc>
          <w:tcPr>
            <w:tcW w:w="140" w:type="dxa"/>
            <w:vAlign w:val="bottom"/>
          </w:tcPr>
          <w:p>
            <w:pPr>
              <w:spacing w:after="0"/>
              <w:rPr>
                <w:sz w:val="11"/>
                <w:szCs w:val="1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975,618</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(7,447)</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15,571</w:t>
            </w:r>
          </w:p>
        </w:tc>
      </w:tr>
      <w:tr>
        <w:trPr>
          <w:trHeight w:val="109"/>
        </w:trPr>
        <w:tc>
          <w:tcPr>
            <w:tcW w:w="1760" w:type="dxa"/>
            <w:vAlign w:val="bottom"/>
            <w:shd w:val="clear" w:color="auto" w:fill="CCEEFF"/>
          </w:tcPr>
          <w:p>
            <w:pPr>
              <w:spacing w:after="0"/>
              <w:rPr>
                <w:sz w:val="9"/>
                <w:szCs w:val="9"/>
                <w:color w:val="auto"/>
              </w:rPr>
            </w:pPr>
          </w:p>
        </w:tc>
        <w:tc>
          <w:tcPr>
            <w:tcW w:w="1220" w:type="dxa"/>
            <w:vAlign w:val="bottom"/>
            <w:gridSpan w:val="3"/>
            <w:shd w:val="clear" w:color="auto" w:fill="CCEEFF"/>
          </w:tcPr>
          <w:p>
            <w:pPr>
              <w:ind w:left="100"/>
              <w:spacing w:after="0" w:line="109" w:lineRule="exact"/>
              <w:rPr>
                <w:sz w:val="20"/>
                <w:szCs w:val="20"/>
                <w:color w:val="auto"/>
              </w:rPr>
            </w:pPr>
            <w:r>
              <w:rPr>
                <w:rFonts w:ascii="Arial" w:cs="Arial" w:eastAsia="Arial" w:hAnsi="Arial"/>
                <w:sz w:val="11"/>
                <w:szCs w:val="11"/>
                <w:color w:val="auto"/>
              </w:rPr>
              <w:t>Special purpose</w:t>
            </w: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7"/>
        </w:trPr>
        <w:tc>
          <w:tcPr>
            <w:tcW w:w="1760" w:type="dxa"/>
            <w:vAlign w:val="bottom"/>
            <w:shd w:val="clear" w:color="auto" w:fill="CCEEFF"/>
          </w:tcPr>
          <w:p>
            <w:pPr>
              <w:spacing w:after="0"/>
              <w:rPr>
                <w:sz w:val="20"/>
                <w:szCs w:val="20"/>
                <w:color w:val="auto"/>
              </w:rPr>
            </w:pPr>
            <w:r>
              <w:rPr>
                <w:rFonts w:ascii="Arial" w:cs="Arial" w:eastAsia="Arial" w:hAnsi="Arial"/>
                <w:sz w:val="11"/>
                <w:szCs w:val="11"/>
                <w:color w:val="auto"/>
              </w:rPr>
              <w:t>CCR Inc.(v)</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4"/>
              </w:rPr>
              <w:t>Entity, Bahamas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100.00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100.00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362,088</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386,146</w:t>
            </w:r>
          </w:p>
        </w:tc>
        <w:tc>
          <w:tcPr>
            <w:tcW w:w="2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360,885</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385,253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1,203</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893</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310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672</w:t>
            </w:r>
          </w:p>
        </w:tc>
      </w:tr>
    </w:tbl>
    <w:p>
      <w:pPr>
        <w:spacing w:after="0" w:line="184" w:lineRule="exact"/>
        <w:rPr>
          <w:sz w:val="20"/>
          <w:szCs w:val="20"/>
          <w:color w:val="auto"/>
        </w:rPr>
      </w:pPr>
    </w:p>
    <w:p>
      <w:pPr>
        <w:ind w:left="242" w:right="260" w:hanging="242"/>
        <w:spacing w:after="0" w:line="322" w:lineRule="auto"/>
        <w:tabs>
          <w:tab w:leader="none" w:pos="242"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main activity of Grupo Crédito is to invest in shares listed in the Peruvian-Stock Exchange and in unlisted shares of Peruvian companies. Below, we present the individual or consolidated figures of their financial statements are presented in accordance with IFRS and before eliminations for consolidation purposes:</w:t>
      </w:r>
    </w:p>
    <w:p>
      <w:pPr>
        <w:spacing w:after="0" w:line="120" w:lineRule="exact"/>
        <w:rPr>
          <w:sz w:val="20"/>
          <w:szCs w:val="20"/>
          <w:color w:val="auto"/>
        </w:rPr>
      </w:pPr>
    </w:p>
    <w:tbl>
      <w:tblPr>
        <w:tblLayout w:type="fixed"/>
        <w:tblInd w:w="242" w:type="dxa"/>
        <w:tblCellMar>
          <w:top w:w="0" w:type="dxa"/>
          <w:left w:w="0" w:type="dxa"/>
          <w:bottom w:w="0" w:type="dxa"/>
          <w:right w:w="0" w:type="dxa"/>
        </w:tblCellMar>
      </w:tblPr>
      <w:tr>
        <w:trPr>
          <w:trHeight w:val="126"/>
        </w:trPr>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91"/>
              </w:rPr>
              <w:t>Net income (loss)</w:t>
            </w:r>
          </w:p>
        </w:tc>
      </w:tr>
      <w:tr>
        <w:trPr>
          <w:trHeight w:val="123"/>
        </w:trPr>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96"/>
              </w:rPr>
              <w:t>Activity and</w:t>
            </w:r>
          </w:p>
        </w:tc>
        <w:tc>
          <w:tcPr>
            <w:tcW w:w="1540" w:type="dxa"/>
            <w:vAlign w:val="bottom"/>
            <w:gridSpan w:val="4"/>
          </w:tcPr>
          <w:p>
            <w:pPr>
              <w:jc w:val="center"/>
              <w:ind w:right="160"/>
              <w:spacing w:after="0" w:line="123" w:lineRule="exact"/>
              <w:rPr>
                <w:sz w:val="20"/>
                <w:szCs w:val="20"/>
                <w:color w:val="auto"/>
              </w:rPr>
            </w:pPr>
            <w:r>
              <w:rPr>
                <w:rFonts w:ascii="Arial" w:cs="Arial" w:eastAsia="Arial" w:hAnsi="Arial"/>
                <w:sz w:val="11"/>
                <w:szCs w:val="11"/>
                <w:b w:val="1"/>
                <w:bCs w:val="1"/>
                <w:color w:val="auto"/>
                <w:w w:val="90"/>
              </w:rPr>
              <w:t>Percentage of</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4"/>
          </w:tcPr>
          <w:p>
            <w:pPr>
              <w:jc w:val="center"/>
              <w:ind w:right="100"/>
              <w:spacing w:after="0" w:line="123" w:lineRule="exact"/>
              <w:rPr>
                <w:sz w:val="20"/>
                <w:szCs w:val="20"/>
                <w:color w:val="auto"/>
              </w:rPr>
            </w:pPr>
            <w:r>
              <w:rPr>
                <w:rFonts w:ascii="Arial" w:cs="Arial" w:eastAsia="Arial" w:hAnsi="Arial"/>
                <w:sz w:val="11"/>
                <w:szCs w:val="11"/>
                <w:b w:val="1"/>
                <w:bCs w:val="1"/>
                <w:color w:val="auto"/>
                <w:w w:val="94"/>
              </w:rPr>
              <w:t>for the three-month</w:t>
            </w:r>
          </w:p>
        </w:tc>
      </w:tr>
      <w:tr>
        <w:trPr>
          <w:trHeight w:val="123"/>
        </w:trPr>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96"/>
              </w:rPr>
              <w:t>country of</w:t>
            </w:r>
          </w:p>
        </w:tc>
        <w:tc>
          <w:tcPr>
            <w:tcW w:w="1540" w:type="dxa"/>
            <w:vAlign w:val="bottom"/>
            <w:gridSpan w:val="4"/>
          </w:tcPr>
          <w:p>
            <w:pPr>
              <w:jc w:val="center"/>
              <w:ind w:right="180"/>
              <w:spacing w:after="0" w:line="123" w:lineRule="exact"/>
              <w:rPr>
                <w:sz w:val="20"/>
                <w:szCs w:val="20"/>
                <w:color w:val="auto"/>
              </w:rPr>
            </w:pPr>
            <w:r>
              <w:rPr>
                <w:rFonts w:ascii="Arial" w:cs="Arial" w:eastAsia="Arial" w:hAnsi="Arial"/>
                <w:sz w:val="11"/>
                <w:szCs w:val="11"/>
                <w:b w:val="1"/>
                <w:bCs w:val="1"/>
                <w:color w:val="auto"/>
                <w:w w:val="94"/>
              </w:rPr>
              <w:t>interest (direct</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4"/>
          </w:tcPr>
          <w:p>
            <w:pPr>
              <w:jc w:val="center"/>
              <w:ind w:right="100"/>
              <w:spacing w:after="0" w:line="123" w:lineRule="exact"/>
              <w:rPr>
                <w:sz w:val="20"/>
                <w:szCs w:val="20"/>
                <w:color w:val="auto"/>
              </w:rPr>
            </w:pPr>
            <w:r>
              <w:rPr>
                <w:rFonts w:ascii="Arial" w:cs="Arial" w:eastAsia="Arial" w:hAnsi="Arial"/>
                <w:sz w:val="11"/>
                <w:szCs w:val="11"/>
                <w:b w:val="1"/>
                <w:bCs w:val="1"/>
                <w:color w:val="auto"/>
                <w:w w:val="90"/>
              </w:rPr>
              <w:t>periods ended</w:t>
            </w:r>
          </w:p>
        </w:tc>
      </w:tr>
      <w:tr>
        <w:trPr>
          <w:trHeight w:val="139"/>
        </w:trPr>
        <w:tc>
          <w:tcPr>
            <w:tcW w:w="1880" w:type="dxa"/>
            <w:vAlign w:val="bottom"/>
            <w:gridSpan w:val="2"/>
          </w:tcPr>
          <w:p>
            <w:pPr>
              <w:spacing w:after="0"/>
              <w:rPr>
                <w:sz w:val="20"/>
                <w:szCs w:val="20"/>
                <w:color w:val="auto"/>
              </w:rPr>
            </w:pPr>
            <w:r>
              <w:rPr>
                <w:rFonts w:ascii="Arial" w:cs="Arial" w:eastAsia="Arial" w:hAnsi="Arial"/>
                <w:sz w:val="11"/>
                <w:szCs w:val="11"/>
                <w:b w:val="1"/>
                <w:bCs w:val="1"/>
                <w:color w:val="auto"/>
              </w:rPr>
              <w:t>Entity</w:t>
            </w:r>
          </w:p>
        </w:tc>
        <w:tc>
          <w:tcPr>
            <w:tcW w:w="11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incorporation</w:t>
            </w:r>
          </w:p>
        </w:tc>
        <w:tc>
          <w:tcPr>
            <w:tcW w:w="154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w w:val="93"/>
              </w:rPr>
              <w:t>and indirect)</w:t>
            </w:r>
          </w:p>
        </w:tc>
        <w:tc>
          <w:tcPr>
            <w:tcW w:w="1720" w:type="dxa"/>
            <w:vAlign w:val="bottom"/>
            <w:gridSpan w:val="4"/>
          </w:tcPr>
          <w:p>
            <w:pPr>
              <w:ind w:left="640"/>
              <w:spacing w:after="0"/>
              <w:rPr>
                <w:sz w:val="20"/>
                <w:szCs w:val="20"/>
                <w:color w:val="auto"/>
              </w:rPr>
            </w:pPr>
            <w:r>
              <w:rPr>
                <w:rFonts w:ascii="Arial" w:cs="Arial" w:eastAsia="Arial" w:hAnsi="Arial"/>
                <w:sz w:val="11"/>
                <w:szCs w:val="11"/>
                <w:b w:val="1"/>
                <w:bCs w:val="1"/>
                <w:color w:val="auto"/>
              </w:rPr>
              <w:t>Assets</w:t>
            </w:r>
          </w:p>
        </w:tc>
        <w:tc>
          <w:tcPr>
            <w:tcW w:w="1720" w:type="dxa"/>
            <w:vAlign w:val="bottom"/>
            <w:gridSpan w:val="4"/>
          </w:tcPr>
          <w:p>
            <w:pPr>
              <w:ind w:left="540"/>
              <w:spacing w:after="0"/>
              <w:rPr>
                <w:sz w:val="20"/>
                <w:szCs w:val="20"/>
                <w:color w:val="auto"/>
              </w:rPr>
            </w:pPr>
            <w:r>
              <w:rPr>
                <w:rFonts w:ascii="Arial" w:cs="Arial" w:eastAsia="Arial" w:hAnsi="Arial"/>
                <w:sz w:val="11"/>
                <w:szCs w:val="11"/>
                <w:b w:val="1"/>
                <w:bCs w:val="1"/>
                <w:color w:val="auto"/>
              </w:rPr>
              <w:t>Liabilities</w:t>
            </w:r>
          </w:p>
        </w:tc>
        <w:tc>
          <w:tcPr>
            <w:tcW w:w="940" w:type="dxa"/>
            <w:vAlign w:val="bottom"/>
            <w:gridSpan w:val="3"/>
          </w:tcPr>
          <w:p>
            <w:pPr>
              <w:ind w:left="580"/>
              <w:spacing w:after="0"/>
              <w:rPr>
                <w:sz w:val="20"/>
                <w:szCs w:val="20"/>
                <w:color w:val="auto"/>
              </w:rPr>
            </w:pPr>
            <w:r>
              <w:rPr>
                <w:rFonts w:ascii="Arial" w:cs="Arial" w:eastAsia="Arial" w:hAnsi="Arial"/>
                <w:sz w:val="11"/>
                <w:szCs w:val="11"/>
                <w:b w:val="1"/>
                <w:bCs w:val="1"/>
                <w:color w:val="auto"/>
              </w:rPr>
              <w:t>Equity</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98"/>
              </w:rPr>
              <w:t>March 31,</w:t>
            </w:r>
          </w:p>
        </w:tc>
      </w:tr>
      <w:tr>
        <w:trPr>
          <w:trHeight w:val="99"/>
        </w:trPr>
        <w:tc>
          <w:tcPr>
            <w:tcW w:w="18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top w:val="single" w:sz="8" w:color="auto"/>
            </w:tcBorders>
            <w:gridSpan w:val="2"/>
          </w:tcPr>
          <w:p>
            <w:pPr>
              <w:jc w:val="right"/>
              <w:ind w:right="300"/>
              <w:spacing w:after="0" w:line="100" w:lineRule="exact"/>
              <w:rPr>
                <w:sz w:val="20"/>
                <w:szCs w:val="20"/>
                <w:color w:val="auto"/>
              </w:rPr>
            </w:pPr>
            <w:r>
              <w:rPr>
                <w:rFonts w:ascii="Arial" w:cs="Arial" w:eastAsia="Arial" w:hAnsi="Arial"/>
                <w:sz w:val="11"/>
                <w:szCs w:val="11"/>
                <w:b w:val="1"/>
                <w:bCs w:val="1"/>
                <w:color w:val="auto"/>
              </w:rPr>
              <w:t>As of</w:t>
            </w:r>
          </w:p>
        </w:tc>
        <w:tc>
          <w:tcPr>
            <w:tcW w:w="68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87"/>
              </w:rPr>
              <w:t>As of</w:t>
            </w:r>
          </w:p>
        </w:tc>
        <w:tc>
          <w:tcPr>
            <w:tcW w:w="160" w:type="dxa"/>
            <w:vAlign w:val="bottom"/>
          </w:tcPr>
          <w:p>
            <w:pPr>
              <w:spacing w:after="0"/>
              <w:rPr>
                <w:sz w:val="8"/>
                <w:szCs w:val="8"/>
                <w:color w:val="auto"/>
              </w:rPr>
            </w:pPr>
          </w:p>
        </w:tc>
        <w:tc>
          <w:tcPr>
            <w:tcW w:w="840" w:type="dxa"/>
            <w:vAlign w:val="bottom"/>
            <w:tcBorders>
              <w:top w:val="single" w:sz="8" w:color="auto"/>
            </w:tcBorders>
            <w:gridSpan w:val="2"/>
          </w:tcPr>
          <w:p>
            <w:pPr>
              <w:jc w:val="center"/>
              <w:ind w:right="160"/>
              <w:spacing w:after="0" w:line="100" w:lineRule="exact"/>
              <w:rPr>
                <w:sz w:val="20"/>
                <w:szCs w:val="20"/>
                <w:color w:val="auto"/>
              </w:rPr>
            </w:pPr>
            <w:r>
              <w:rPr>
                <w:rFonts w:ascii="Arial" w:cs="Arial" w:eastAsia="Arial" w:hAnsi="Arial"/>
                <w:sz w:val="11"/>
                <w:szCs w:val="11"/>
                <w:b w:val="1"/>
                <w:bCs w:val="1"/>
                <w:color w:val="auto"/>
                <w:w w:val="87"/>
              </w:rPr>
              <w:t>As of</w:t>
            </w:r>
          </w:p>
        </w:tc>
        <w:tc>
          <w:tcPr>
            <w:tcW w:w="72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87"/>
              </w:rPr>
              <w:t>As of</w:t>
            </w:r>
          </w:p>
        </w:tc>
        <w:tc>
          <w:tcPr>
            <w:tcW w:w="160" w:type="dxa"/>
            <w:vAlign w:val="bottom"/>
          </w:tcPr>
          <w:p>
            <w:pPr>
              <w:spacing w:after="0"/>
              <w:rPr>
                <w:sz w:val="8"/>
                <w:szCs w:val="8"/>
                <w:color w:val="auto"/>
              </w:rPr>
            </w:pPr>
          </w:p>
        </w:tc>
        <w:tc>
          <w:tcPr>
            <w:tcW w:w="840" w:type="dxa"/>
            <w:vAlign w:val="bottom"/>
            <w:tcBorders>
              <w:top w:val="single" w:sz="8" w:color="auto"/>
            </w:tcBorders>
            <w:gridSpan w:val="2"/>
          </w:tcPr>
          <w:p>
            <w:pPr>
              <w:jc w:val="center"/>
              <w:ind w:right="180"/>
              <w:spacing w:after="0" w:line="100" w:lineRule="exact"/>
              <w:rPr>
                <w:sz w:val="20"/>
                <w:szCs w:val="20"/>
                <w:color w:val="auto"/>
              </w:rPr>
            </w:pPr>
            <w:r>
              <w:rPr>
                <w:rFonts w:ascii="Arial" w:cs="Arial" w:eastAsia="Arial" w:hAnsi="Arial"/>
                <w:sz w:val="11"/>
                <w:szCs w:val="11"/>
                <w:b w:val="1"/>
                <w:bCs w:val="1"/>
                <w:color w:val="auto"/>
                <w:w w:val="94"/>
              </w:rPr>
              <w:t>As of</w:t>
            </w:r>
          </w:p>
        </w:tc>
        <w:tc>
          <w:tcPr>
            <w:tcW w:w="72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87"/>
              </w:rPr>
              <w:t>As of</w:t>
            </w:r>
          </w:p>
        </w:tc>
        <w:tc>
          <w:tcPr>
            <w:tcW w:w="160" w:type="dxa"/>
            <w:vAlign w:val="bottom"/>
          </w:tcPr>
          <w:p>
            <w:pPr>
              <w:spacing w:after="0"/>
              <w:rPr>
                <w:sz w:val="8"/>
                <w:szCs w:val="8"/>
                <w:color w:val="auto"/>
              </w:rPr>
            </w:pPr>
          </w:p>
        </w:tc>
        <w:tc>
          <w:tcPr>
            <w:tcW w:w="800" w:type="dxa"/>
            <w:vAlign w:val="bottom"/>
            <w:tcBorders>
              <w:top w:val="single" w:sz="8" w:color="auto"/>
            </w:tcBorders>
            <w:gridSpan w:val="2"/>
          </w:tcPr>
          <w:p>
            <w:pPr>
              <w:jc w:val="right"/>
              <w:ind w:right="360"/>
              <w:spacing w:after="0" w:line="100" w:lineRule="exact"/>
              <w:rPr>
                <w:sz w:val="20"/>
                <w:szCs w:val="20"/>
                <w:color w:val="auto"/>
              </w:rPr>
            </w:pPr>
            <w:r>
              <w:rPr>
                <w:rFonts w:ascii="Arial" w:cs="Arial" w:eastAsia="Arial" w:hAnsi="Arial"/>
                <w:sz w:val="11"/>
                <w:szCs w:val="11"/>
                <w:b w:val="1"/>
                <w:bCs w:val="1"/>
                <w:color w:val="auto"/>
              </w:rPr>
              <w:t>As of</w:t>
            </w: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center"/>
              <w:ind w:right="83"/>
              <w:spacing w:after="0" w:line="100" w:lineRule="exact"/>
              <w:rPr>
                <w:sz w:val="20"/>
                <w:szCs w:val="20"/>
                <w:color w:val="auto"/>
              </w:rPr>
            </w:pPr>
            <w:r>
              <w:rPr>
                <w:rFonts w:ascii="Arial" w:cs="Arial" w:eastAsia="Arial" w:hAnsi="Arial"/>
                <w:sz w:val="11"/>
                <w:szCs w:val="11"/>
                <w:b w:val="1"/>
                <w:bCs w:val="1"/>
                <w:color w:val="auto"/>
                <w:w w:val="87"/>
              </w:rPr>
              <w:t>As of</w:t>
            </w:r>
          </w:p>
        </w:tc>
        <w:tc>
          <w:tcPr>
            <w:tcW w:w="2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23"/>
        </w:trPr>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80"/>
              <w:spacing w:after="0" w:line="123" w:lineRule="exact"/>
              <w:rPr>
                <w:sz w:val="20"/>
                <w:szCs w:val="20"/>
                <w:color w:val="auto"/>
              </w:rPr>
            </w:pPr>
            <w:r>
              <w:rPr>
                <w:rFonts w:ascii="Arial" w:cs="Arial" w:eastAsia="Arial" w:hAnsi="Arial"/>
                <w:sz w:val="11"/>
                <w:szCs w:val="11"/>
                <w:b w:val="1"/>
                <w:bCs w:val="1"/>
                <w:color w:val="auto"/>
                <w:w w:val="98"/>
              </w:rPr>
              <w:t>March 31,</w:t>
            </w:r>
          </w:p>
        </w:tc>
        <w:tc>
          <w:tcPr>
            <w:tcW w:w="840" w:type="dxa"/>
            <w:vAlign w:val="bottom"/>
            <w:gridSpan w:val="2"/>
          </w:tcPr>
          <w:p>
            <w:pPr>
              <w:jc w:val="center"/>
              <w:ind w:right="160"/>
              <w:spacing w:after="0" w:line="123" w:lineRule="exact"/>
              <w:rPr>
                <w:sz w:val="20"/>
                <w:szCs w:val="20"/>
                <w:color w:val="auto"/>
              </w:rPr>
            </w:pPr>
            <w:r>
              <w:rPr>
                <w:rFonts w:ascii="Arial" w:cs="Arial" w:eastAsia="Arial" w:hAnsi="Arial"/>
                <w:sz w:val="11"/>
                <w:szCs w:val="11"/>
                <w:b w:val="1"/>
                <w:bCs w:val="1"/>
                <w:color w:val="auto"/>
                <w:w w:val="94"/>
              </w:rPr>
              <w:t>December 31,</w:t>
            </w:r>
          </w:p>
        </w:tc>
        <w:tc>
          <w:tcPr>
            <w:tcW w:w="840" w:type="dxa"/>
            <w:vAlign w:val="bottom"/>
            <w:gridSpan w:val="2"/>
          </w:tcPr>
          <w:p>
            <w:pPr>
              <w:jc w:val="center"/>
              <w:ind w:right="140"/>
              <w:spacing w:after="0" w:line="123" w:lineRule="exact"/>
              <w:rPr>
                <w:sz w:val="20"/>
                <w:szCs w:val="20"/>
                <w:color w:val="auto"/>
              </w:rPr>
            </w:pPr>
            <w:r>
              <w:rPr>
                <w:rFonts w:ascii="Arial" w:cs="Arial" w:eastAsia="Arial" w:hAnsi="Arial"/>
                <w:sz w:val="11"/>
                <w:szCs w:val="11"/>
                <w:b w:val="1"/>
                <w:bCs w:val="1"/>
                <w:color w:val="auto"/>
                <w:w w:val="98"/>
              </w:rPr>
              <w:t>March 31,</w:t>
            </w:r>
          </w:p>
        </w:tc>
        <w:tc>
          <w:tcPr>
            <w:tcW w:w="880" w:type="dxa"/>
            <w:vAlign w:val="bottom"/>
            <w:gridSpan w:val="2"/>
          </w:tcPr>
          <w:p>
            <w:pPr>
              <w:jc w:val="center"/>
              <w:ind w:right="160"/>
              <w:spacing w:after="0" w:line="123" w:lineRule="exact"/>
              <w:rPr>
                <w:sz w:val="20"/>
                <w:szCs w:val="20"/>
                <w:color w:val="auto"/>
              </w:rPr>
            </w:pPr>
            <w:r>
              <w:rPr>
                <w:rFonts w:ascii="Arial" w:cs="Arial" w:eastAsia="Arial" w:hAnsi="Arial"/>
                <w:sz w:val="11"/>
                <w:szCs w:val="11"/>
                <w:b w:val="1"/>
                <w:bCs w:val="1"/>
                <w:color w:val="auto"/>
                <w:w w:val="94"/>
              </w:rPr>
              <w:t>December 31,</w:t>
            </w:r>
          </w:p>
        </w:tc>
        <w:tc>
          <w:tcPr>
            <w:tcW w:w="840" w:type="dxa"/>
            <w:vAlign w:val="bottom"/>
            <w:gridSpan w:val="2"/>
          </w:tcPr>
          <w:p>
            <w:pPr>
              <w:jc w:val="center"/>
              <w:ind w:right="140"/>
              <w:spacing w:after="0" w:line="123" w:lineRule="exact"/>
              <w:rPr>
                <w:sz w:val="20"/>
                <w:szCs w:val="20"/>
                <w:color w:val="auto"/>
              </w:rPr>
            </w:pPr>
            <w:r>
              <w:rPr>
                <w:rFonts w:ascii="Arial" w:cs="Arial" w:eastAsia="Arial" w:hAnsi="Arial"/>
                <w:sz w:val="11"/>
                <w:szCs w:val="11"/>
                <w:b w:val="1"/>
                <w:bCs w:val="1"/>
                <w:color w:val="auto"/>
                <w:w w:val="98"/>
              </w:rPr>
              <w:t>March 31,</w:t>
            </w:r>
          </w:p>
        </w:tc>
        <w:tc>
          <w:tcPr>
            <w:tcW w:w="880" w:type="dxa"/>
            <w:vAlign w:val="bottom"/>
            <w:gridSpan w:val="2"/>
          </w:tcPr>
          <w:p>
            <w:pPr>
              <w:jc w:val="center"/>
              <w:ind w:right="160"/>
              <w:spacing w:after="0" w:line="123" w:lineRule="exact"/>
              <w:rPr>
                <w:sz w:val="20"/>
                <w:szCs w:val="20"/>
                <w:color w:val="auto"/>
              </w:rPr>
            </w:pPr>
            <w:r>
              <w:rPr>
                <w:rFonts w:ascii="Arial" w:cs="Arial" w:eastAsia="Arial" w:hAnsi="Arial"/>
                <w:sz w:val="11"/>
                <w:szCs w:val="11"/>
                <w:b w:val="1"/>
                <w:bCs w:val="1"/>
                <w:color w:val="auto"/>
                <w:w w:val="94"/>
              </w:rPr>
              <w:t>December 31,</w:t>
            </w:r>
          </w:p>
        </w:tc>
        <w:tc>
          <w:tcPr>
            <w:tcW w:w="800" w:type="dxa"/>
            <w:vAlign w:val="bottom"/>
            <w:gridSpan w:val="2"/>
          </w:tcPr>
          <w:p>
            <w:pPr>
              <w:jc w:val="right"/>
              <w:ind w:right="240"/>
              <w:spacing w:after="0" w:line="123" w:lineRule="exact"/>
              <w:rPr>
                <w:sz w:val="20"/>
                <w:szCs w:val="20"/>
                <w:color w:val="auto"/>
              </w:rPr>
            </w:pPr>
            <w:r>
              <w:rPr>
                <w:rFonts w:ascii="Arial" w:cs="Arial" w:eastAsia="Arial" w:hAnsi="Arial"/>
                <w:sz w:val="11"/>
                <w:szCs w:val="11"/>
                <w:b w:val="1"/>
                <w:bCs w:val="1"/>
                <w:color w:val="auto"/>
              </w:rPr>
              <w:t>March 31,</w:t>
            </w:r>
          </w:p>
        </w:tc>
        <w:tc>
          <w:tcPr>
            <w:tcW w:w="880" w:type="dxa"/>
            <w:vAlign w:val="bottom"/>
            <w:gridSpan w:val="3"/>
          </w:tcPr>
          <w:p>
            <w:pPr>
              <w:jc w:val="center"/>
              <w:ind w:right="200"/>
              <w:spacing w:after="0" w:line="123" w:lineRule="exact"/>
              <w:rPr>
                <w:sz w:val="20"/>
                <w:szCs w:val="20"/>
                <w:color w:val="auto"/>
              </w:rPr>
            </w:pPr>
            <w:r>
              <w:rPr>
                <w:rFonts w:ascii="Arial" w:cs="Arial" w:eastAsia="Arial" w:hAnsi="Arial"/>
                <w:sz w:val="11"/>
                <w:szCs w:val="11"/>
                <w:b w:val="1"/>
                <w:bCs w:val="1"/>
                <w:color w:val="auto"/>
                <w:w w:val="94"/>
              </w:rPr>
              <w:t>December 31,</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9"/>
        </w:trPr>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2020</w:t>
            </w: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2019</w:t>
            </w:r>
          </w:p>
        </w:tc>
        <w:tc>
          <w:tcPr>
            <w:tcW w:w="160" w:type="dxa"/>
            <w:vAlign w:val="bottom"/>
          </w:tcPr>
          <w:p>
            <w:pPr>
              <w:spacing w:after="0"/>
              <w:rPr>
                <w:sz w:val="12"/>
                <w:szCs w:val="12"/>
                <w:color w:val="auto"/>
              </w:rPr>
            </w:pPr>
          </w:p>
        </w:tc>
        <w:tc>
          <w:tcPr>
            <w:tcW w:w="6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2020</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2019</w:t>
            </w:r>
          </w:p>
        </w:tc>
        <w:tc>
          <w:tcPr>
            <w:tcW w:w="160" w:type="dxa"/>
            <w:vAlign w:val="bottom"/>
          </w:tcPr>
          <w:p>
            <w:pPr>
              <w:spacing w:after="0"/>
              <w:rPr>
                <w:sz w:val="12"/>
                <w:szCs w:val="12"/>
                <w:color w:val="auto"/>
              </w:rPr>
            </w:pPr>
          </w:p>
        </w:tc>
        <w:tc>
          <w:tcPr>
            <w:tcW w:w="6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2020</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2019</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2020</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2019</w:t>
            </w:r>
          </w:p>
        </w:tc>
        <w:tc>
          <w:tcPr>
            <w:tcW w:w="200" w:type="dxa"/>
            <w:vAlign w:val="bottom"/>
          </w:tcPr>
          <w:p>
            <w:pPr>
              <w:spacing w:after="0"/>
              <w:rPr>
                <w:sz w:val="12"/>
                <w:szCs w:val="12"/>
                <w:color w:val="auto"/>
              </w:rPr>
            </w:pPr>
          </w:p>
        </w:tc>
        <w:tc>
          <w:tcPr>
            <w:tcW w:w="5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2020</w:t>
            </w:r>
          </w:p>
        </w:tc>
        <w:tc>
          <w:tcPr>
            <w:tcW w:w="200" w:type="dxa"/>
            <w:vAlign w:val="bottom"/>
          </w:tcPr>
          <w:p>
            <w:pPr>
              <w:spacing w:after="0"/>
              <w:rPr>
                <w:sz w:val="12"/>
                <w:szCs w:val="12"/>
                <w:color w:val="auto"/>
              </w:rPr>
            </w:pPr>
          </w:p>
        </w:tc>
        <w:tc>
          <w:tcPr>
            <w:tcW w:w="5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2"/>
                <w:szCs w:val="12"/>
                <w:color w:val="auto"/>
              </w:rPr>
            </w:pPr>
          </w:p>
        </w:tc>
      </w:tr>
      <w:tr>
        <w:trPr>
          <w:trHeight w:val="115"/>
        </w:trPr>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43"/>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0"/>
                <w:szCs w:val="10"/>
                <w:color w:val="auto"/>
              </w:rPr>
            </w:pPr>
          </w:p>
        </w:tc>
        <w:tc>
          <w:tcPr>
            <w:tcW w:w="680" w:type="dxa"/>
            <w:vAlign w:val="bottom"/>
          </w:tcPr>
          <w:p>
            <w:pPr>
              <w:jc w:val="right"/>
              <w:ind w:right="223"/>
              <w:spacing w:after="0" w:line="115" w:lineRule="exact"/>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0"/>
                <w:szCs w:val="10"/>
                <w:color w:val="auto"/>
              </w:rPr>
            </w:pPr>
          </w:p>
        </w:tc>
        <w:tc>
          <w:tcPr>
            <w:tcW w:w="6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60" w:type="dxa"/>
            <w:vAlign w:val="bottom"/>
          </w:tcPr>
          <w:p>
            <w:pPr>
              <w:spacing w:after="0"/>
              <w:rPr>
                <w:sz w:val="10"/>
                <w:szCs w:val="10"/>
                <w:color w:val="auto"/>
              </w:rPr>
            </w:pP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60" w:type="dxa"/>
            <w:vAlign w:val="bottom"/>
          </w:tcPr>
          <w:p>
            <w:pPr>
              <w:spacing w:after="0"/>
              <w:rPr>
                <w:sz w:val="10"/>
                <w:szCs w:val="10"/>
                <w:color w:val="auto"/>
              </w:rPr>
            </w:pPr>
          </w:p>
        </w:tc>
        <w:tc>
          <w:tcPr>
            <w:tcW w:w="6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60" w:type="dxa"/>
            <w:vAlign w:val="bottom"/>
          </w:tcPr>
          <w:p>
            <w:pPr>
              <w:spacing w:after="0"/>
              <w:rPr>
                <w:sz w:val="10"/>
                <w:szCs w:val="10"/>
                <w:color w:val="auto"/>
              </w:rPr>
            </w:pP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60" w:type="dxa"/>
            <w:vAlign w:val="bottom"/>
          </w:tcPr>
          <w:p>
            <w:pPr>
              <w:spacing w:after="0"/>
              <w:rPr>
                <w:sz w:val="10"/>
                <w:szCs w:val="10"/>
                <w:color w:val="auto"/>
              </w:rPr>
            </w:pPr>
          </w:p>
        </w:tc>
        <w:tc>
          <w:tcPr>
            <w:tcW w:w="6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center"/>
              <w:ind w:right="83"/>
              <w:spacing w:after="0" w:line="115" w:lineRule="exact"/>
              <w:rPr>
                <w:sz w:val="20"/>
                <w:szCs w:val="20"/>
                <w:color w:val="auto"/>
              </w:rPr>
            </w:pPr>
            <w:r>
              <w:rPr>
                <w:rFonts w:ascii="Arial" w:cs="Arial" w:eastAsia="Arial" w:hAnsi="Arial"/>
                <w:sz w:val="11"/>
                <w:szCs w:val="11"/>
                <w:b w:val="1"/>
                <w:bCs w:val="1"/>
                <w:color w:val="auto"/>
                <w:w w:val="99"/>
              </w:rPr>
              <w:t>S/(000)</w:t>
            </w:r>
          </w:p>
        </w:tc>
        <w:tc>
          <w:tcPr>
            <w:tcW w:w="200" w:type="dxa"/>
            <w:vAlign w:val="bottom"/>
          </w:tcPr>
          <w:p>
            <w:pPr>
              <w:spacing w:after="0"/>
              <w:rPr>
                <w:sz w:val="10"/>
                <w:szCs w:val="10"/>
                <w:color w:val="auto"/>
              </w:rPr>
            </w:pPr>
          </w:p>
        </w:tc>
        <w:tc>
          <w:tcPr>
            <w:tcW w:w="5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00" w:type="dxa"/>
            <w:vAlign w:val="bottom"/>
          </w:tcPr>
          <w:p>
            <w:pPr>
              <w:spacing w:after="0"/>
              <w:rPr>
                <w:sz w:val="10"/>
                <w:szCs w:val="10"/>
                <w:color w:val="auto"/>
              </w:rPr>
            </w:pPr>
          </w:p>
        </w:tc>
        <w:tc>
          <w:tcPr>
            <w:tcW w:w="5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80" w:type="dxa"/>
            <w:vAlign w:val="bottom"/>
          </w:tcPr>
          <w:p>
            <w:pPr>
              <w:spacing w:after="0"/>
              <w:rPr>
                <w:sz w:val="10"/>
                <w:szCs w:val="10"/>
                <w:color w:val="auto"/>
              </w:rPr>
            </w:pPr>
          </w:p>
        </w:tc>
      </w:tr>
      <w:tr>
        <w:trPr>
          <w:trHeight w:val="109"/>
        </w:trPr>
        <w:tc>
          <w:tcPr>
            <w:tcW w:w="188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Banco de Crédito del Perú and</w:t>
            </w: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7"/>
        </w:trPr>
        <w:tc>
          <w:tcPr>
            <w:tcW w:w="188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Subsidiaries (a)</w:t>
            </w:r>
          </w:p>
        </w:tc>
        <w:tc>
          <w:tcPr>
            <w:tcW w:w="11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Banking, Peru</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97.71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97.71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160,824,748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152,426,848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141,992,056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133,456,760</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18,832,692</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w w:val="94"/>
              </w:rPr>
              <w:t>18,970,088</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181,257</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937,556</w:t>
            </w:r>
          </w:p>
        </w:tc>
      </w:tr>
      <w:tr>
        <w:trPr>
          <w:trHeight w:val="109"/>
        </w:trPr>
        <w:tc>
          <w:tcPr>
            <w:tcW w:w="1880" w:type="dxa"/>
            <w:vAlign w:val="bottom"/>
            <w:gridSpan w:val="2"/>
          </w:tcPr>
          <w:p>
            <w:pPr>
              <w:spacing w:after="0" w:line="109" w:lineRule="exact"/>
              <w:rPr>
                <w:sz w:val="20"/>
                <w:szCs w:val="20"/>
                <w:color w:val="auto"/>
              </w:rPr>
            </w:pPr>
            <w:r>
              <w:rPr>
                <w:rFonts w:ascii="Arial" w:cs="Arial" w:eastAsia="Arial" w:hAnsi="Arial"/>
                <w:sz w:val="11"/>
                <w:szCs w:val="11"/>
                <w:color w:val="auto"/>
              </w:rPr>
              <w:t>Inversiones Credicorp Bolivia S.A.</w:t>
            </w: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7"/>
        </w:trPr>
        <w:tc>
          <w:tcPr>
            <w:tcW w:w="1880" w:type="dxa"/>
            <w:vAlign w:val="bottom"/>
            <w:gridSpan w:val="2"/>
          </w:tcPr>
          <w:p>
            <w:pPr>
              <w:ind w:left="140"/>
              <w:spacing w:after="0"/>
              <w:rPr>
                <w:sz w:val="20"/>
                <w:szCs w:val="20"/>
                <w:color w:val="auto"/>
              </w:rPr>
            </w:pPr>
            <w:r>
              <w:rPr>
                <w:rFonts w:ascii="Arial" w:cs="Arial" w:eastAsia="Arial" w:hAnsi="Arial"/>
                <w:sz w:val="11"/>
                <w:szCs w:val="11"/>
                <w:color w:val="auto"/>
              </w:rPr>
              <w:t>and Subsidiaries (b)</w:t>
            </w:r>
          </w:p>
        </w:tc>
        <w:tc>
          <w:tcPr>
            <w:tcW w:w="1120" w:type="dxa"/>
            <w:vAlign w:val="bottom"/>
            <w:gridSpan w:val="2"/>
          </w:tcPr>
          <w:p>
            <w:pPr>
              <w:spacing w:after="0"/>
              <w:rPr>
                <w:sz w:val="20"/>
                <w:szCs w:val="20"/>
                <w:color w:val="auto"/>
              </w:rPr>
            </w:pPr>
            <w:r>
              <w:rPr>
                <w:rFonts w:ascii="Arial" w:cs="Arial" w:eastAsia="Arial" w:hAnsi="Arial"/>
                <w:sz w:val="11"/>
                <w:szCs w:val="11"/>
                <w:color w:val="auto"/>
              </w:rPr>
              <w:t>Banking, Bolivia</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99.96</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99.96</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11,405,835</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10,552,154</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10,663,937</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9,773,372</w:t>
            </w: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741,898</w:t>
            </w:r>
          </w:p>
        </w:tc>
        <w:tc>
          <w:tcPr>
            <w:tcW w:w="140" w:type="dxa"/>
            <w:vAlign w:val="bottom"/>
          </w:tcPr>
          <w:p>
            <w:pPr>
              <w:spacing w:after="0"/>
              <w:rPr>
                <w:sz w:val="11"/>
                <w:szCs w:val="1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778,782</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9,893</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16,674</w:t>
            </w:r>
          </w:p>
        </w:tc>
      </w:tr>
      <w:tr>
        <w:trPr>
          <w:trHeight w:val="109"/>
        </w:trPr>
        <w:tc>
          <w:tcPr>
            <w:tcW w:w="1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2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Private pension fund</w:t>
            </w: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7"/>
        </w:trPr>
        <w:tc>
          <w:tcPr>
            <w:tcW w:w="1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Prima AFP (c)</w:t>
            </w: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administrator, Peru</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100.00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100.00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982,264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982,591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402,446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284,643</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579,818</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697,948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(4,079)</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57,000</w:t>
            </w:r>
          </w:p>
        </w:tc>
      </w:tr>
      <w:tr>
        <w:trPr>
          <w:trHeight w:val="146"/>
        </w:trPr>
        <w:tc>
          <w:tcPr>
            <w:tcW w:w="1880" w:type="dxa"/>
            <w:vAlign w:val="bottom"/>
            <w:gridSpan w:val="2"/>
          </w:tcPr>
          <w:p>
            <w:pPr>
              <w:spacing w:after="0"/>
              <w:rPr>
                <w:sz w:val="20"/>
                <w:szCs w:val="20"/>
                <w:color w:val="auto"/>
              </w:rPr>
            </w:pPr>
            <w:r>
              <w:rPr>
                <w:rFonts w:ascii="Arial" w:cs="Arial" w:eastAsia="Arial" w:hAnsi="Arial"/>
                <w:sz w:val="11"/>
                <w:szCs w:val="11"/>
                <w:color w:val="auto"/>
              </w:rPr>
              <w:t>Krealo SpA and Subsidiaries (d)</w:t>
            </w:r>
          </w:p>
        </w:tc>
        <w:tc>
          <w:tcPr>
            <w:tcW w:w="1120" w:type="dxa"/>
            <w:vAlign w:val="bottom"/>
            <w:gridSpan w:val="2"/>
          </w:tcPr>
          <w:p>
            <w:pPr>
              <w:spacing w:after="0"/>
              <w:rPr>
                <w:sz w:val="20"/>
                <w:szCs w:val="20"/>
                <w:color w:val="auto"/>
              </w:rPr>
            </w:pPr>
            <w:r>
              <w:rPr>
                <w:rFonts w:ascii="Arial" w:cs="Arial" w:eastAsia="Arial" w:hAnsi="Arial"/>
                <w:sz w:val="11"/>
                <w:szCs w:val="11"/>
                <w:color w:val="auto"/>
              </w:rPr>
              <w:t>Holding, Chile</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100.00</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100.00</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76,637</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72,847</w:t>
            </w: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40,639</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41,765</w:t>
            </w: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35,998</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31,082</w:t>
            </w: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(2,396)</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r>
    </w:tbl>
    <w:p>
      <w:pPr>
        <w:spacing w:after="0" w:line="161" w:lineRule="exact"/>
        <w:rPr>
          <w:sz w:val="20"/>
          <w:szCs w:val="20"/>
          <w:color w:val="auto"/>
        </w:rPr>
      </w:pPr>
    </w:p>
    <w:p>
      <w:pPr>
        <w:ind w:left="582" w:right="300" w:hanging="348"/>
        <w:spacing w:after="0" w:line="287" w:lineRule="auto"/>
        <w:tabs>
          <w:tab w:leader="none" w:pos="582" w:val="left"/>
        </w:tabs>
        <w:numPr>
          <w:ilvl w:val="0"/>
          <w:numId w:val="10"/>
        </w:numPr>
        <w:rPr>
          <w:rFonts w:ascii="Arial" w:cs="Arial" w:eastAsia="Arial" w:hAnsi="Arial"/>
          <w:sz w:val="16"/>
          <w:szCs w:val="16"/>
          <w:color w:val="auto"/>
        </w:rPr>
      </w:pPr>
      <w:r>
        <w:rPr>
          <w:rFonts w:ascii="Arial" w:cs="Arial" w:eastAsia="Arial" w:hAnsi="Arial"/>
          <w:sz w:val="16"/>
          <w:szCs w:val="16"/>
          <w:color w:val="auto"/>
        </w:rPr>
        <w:t>BCP was established in 1889 and its activities are regulated by the Superintendency of Banks, Insurance and Pension Funds -Perú (the authority that regulates banking, insurance and pension funds activities in Perú, hereinafter “the SBS").</w:t>
      </w:r>
    </w:p>
    <w:p>
      <w:pPr>
        <w:spacing w:after="0" w:line="149" w:lineRule="exact"/>
        <w:rPr>
          <w:rFonts w:ascii="Arial" w:cs="Arial" w:eastAsia="Arial" w:hAnsi="Arial"/>
          <w:sz w:val="16"/>
          <w:szCs w:val="16"/>
          <w:color w:val="auto"/>
        </w:rPr>
      </w:pPr>
    </w:p>
    <w:p>
      <w:pPr>
        <w:jc w:val="both"/>
        <w:ind w:left="582" w:right="60"/>
        <w:spacing w:after="0" w:line="298" w:lineRule="auto"/>
        <w:rPr>
          <w:rFonts w:ascii="Arial" w:cs="Arial" w:eastAsia="Arial" w:hAnsi="Arial"/>
          <w:sz w:val="16"/>
          <w:szCs w:val="16"/>
          <w:color w:val="auto"/>
        </w:rPr>
      </w:pPr>
      <w:r>
        <w:rPr>
          <w:rFonts w:ascii="Arial" w:cs="Arial" w:eastAsia="Arial" w:hAnsi="Arial"/>
          <w:sz w:val="15"/>
          <w:szCs w:val="15"/>
          <w:color w:val="auto"/>
        </w:rPr>
        <w:t>Its main Subsidiary is Mibanco, Banco de la Microempresa S.A. (hereinafter “MiBanco”), a banking entity in Peru oriented towards the micro and small business sector. As of March 31, 2020, the assets, liabilities, equity and net income of Mibanco amount to approximately S/13,529.0 million, S/11,408.0 million, S/2,121.0 million and S/34.0 million, respectively (S/13,741.7 million, S/11,655.7 million, S/2,086.0 million, and S/401.0 million, respectively as of December 31, 2019).</w:t>
      </w:r>
    </w:p>
    <w:p>
      <w:pPr>
        <w:spacing w:after="0" w:line="340" w:lineRule="exact"/>
        <w:rPr>
          <w:rFonts w:ascii="Arial" w:cs="Arial" w:eastAsia="Arial" w:hAnsi="Arial"/>
          <w:sz w:val="16"/>
          <w:szCs w:val="16"/>
          <w:color w:val="auto"/>
        </w:rPr>
      </w:pPr>
    </w:p>
    <w:p>
      <w:pPr>
        <w:ind w:left="5542" w:hanging="93"/>
        <w:spacing w:after="0"/>
        <w:tabs>
          <w:tab w:leader="none" w:pos="5542" w:val="left"/>
        </w:tabs>
        <w:numPr>
          <w:ilvl w:val="1"/>
          <w:numId w:val="10"/>
        </w:numPr>
        <w:rPr>
          <w:rFonts w:ascii="Arial" w:cs="Arial" w:eastAsia="Arial" w:hAnsi="Arial"/>
          <w:sz w:val="16"/>
          <w:szCs w:val="16"/>
          <w:color w:val="auto"/>
        </w:rPr>
      </w:pPr>
      <w:r>
        <w:rPr>
          <w:rFonts w:ascii="Arial" w:cs="Arial" w:eastAsia="Arial" w:hAnsi="Arial"/>
          <w:sz w:val="16"/>
          <w:szCs w:val="16"/>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1036" w:right="339" w:bottom="1440" w:gutter="0" w:footer="0" w:header="0"/>
        </w:sectPr>
      </w:pPr>
    </w:p>
    <w:bookmarkStart w:id="22" w:name="page23"/>
    <w:bookmarkEnd w:id="22"/>
    <w:p>
      <w:pPr>
        <w:ind w:left="582" w:hanging="348"/>
        <w:spacing w:after="0" w:line="266" w:lineRule="auto"/>
        <w:tabs>
          <w:tab w:leader="none" w:pos="582" w:val="left"/>
        </w:tabs>
        <w:numPr>
          <w:ilvl w:val="1"/>
          <w:numId w:val="11"/>
        </w:numPr>
        <w:rPr>
          <w:rFonts w:ascii="Arial" w:cs="Arial" w:eastAsia="Arial" w:hAnsi="Arial"/>
          <w:sz w:val="16"/>
          <w:szCs w:val="16"/>
          <w:color w:val="auto"/>
        </w:rPr>
      </w:pPr>
      <w:r>
        <w:rPr>
          <w:rFonts w:ascii="Arial" w:cs="Arial" w:eastAsia="Arial" w:hAnsi="Arial"/>
          <w:sz w:val="16"/>
          <w:szCs w:val="16"/>
          <w:color w:val="auto"/>
        </w:rPr>
        <w:t>Inversiones Credicorp Bolivia S.A. (hereinafter “ICBSA”) was established in February 2013 and its objective is to make capital investments for its own account or for the account of third parties in companies and other entities providing financial services, exercising or determining the management, administration, control and representation thereof, both nationally and abroad, for which it can invest in capital markets, insurance, asset management, pension funds and other related financial and/or stock exchange products.</w:t>
      </w:r>
    </w:p>
    <w:p>
      <w:pPr>
        <w:spacing w:after="0" w:line="166" w:lineRule="exact"/>
        <w:rPr>
          <w:rFonts w:ascii="Arial" w:cs="Arial" w:eastAsia="Arial" w:hAnsi="Arial"/>
          <w:sz w:val="16"/>
          <w:szCs w:val="16"/>
          <w:color w:val="auto"/>
        </w:rPr>
      </w:pPr>
    </w:p>
    <w:p>
      <w:pPr>
        <w:ind w:left="582" w:right="220"/>
        <w:spacing w:after="0" w:line="271" w:lineRule="auto"/>
        <w:rPr>
          <w:rFonts w:ascii="Arial" w:cs="Arial" w:eastAsia="Arial" w:hAnsi="Arial"/>
          <w:sz w:val="16"/>
          <w:szCs w:val="16"/>
          <w:color w:val="auto"/>
        </w:rPr>
      </w:pPr>
      <w:r>
        <w:rPr>
          <w:rFonts w:ascii="Arial" w:cs="Arial" w:eastAsia="Arial" w:hAnsi="Arial"/>
          <w:sz w:val="16"/>
          <w:szCs w:val="16"/>
          <w:color w:val="auto"/>
        </w:rPr>
        <w:t>Its principal Subsidiary is Banco de Crédito de Bolivia (hereinafter “BCB”), a commercial bank which operates in Bolivia. As of March 31, 2020, the assets, liabilities, equity and net profit of BCB were approximately S/11,358.7 million, S/10,648.7 million, S/710.0 million and S/7.0 million, respectively (S/10,480.9 million, S/ 9,743.9 million, S/737.0 million and S/79.0 million, respectively as of December 31, 2019).</w:t>
      </w:r>
    </w:p>
    <w:p>
      <w:pPr>
        <w:spacing w:after="0" w:line="162" w:lineRule="exact"/>
        <w:rPr>
          <w:rFonts w:ascii="Arial" w:cs="Arial" w:eastAsia="Arial" w:hAnsi="Arial"/>
          <w:sz w:val="16"/>
          <w:szCs w:val="16"/>
          <w:color w:val="auto"/>
        </w:rPr>
      </w:pPr>
    </w:p>
    <w:p>
      <w:pPr>
        <w:ind w:left="582" w:hanging="348"/>
        <w:spacing w:after="0"/>
        <w:tabs>
          <w:tab w:leader="none" w:pos="582" w:val="left"/>
        </w:tabs>
        <w:numPr>
          <w:ilvl w:val="1"/>
          <w:numId w:val="11"/>
        </w:numPr>
        <w:rPr>
          <w:rFonts w:ascii="Arial" w:cs="Arial" w:eastAsia="Arial" w:hAnsi="Arial"/>
          <w:sz w:val="16"/>
          <w:szCs w:val="16"/>
          <w:color w:val="auto"/>
        </w:rPr>
      </w:pPr>
      <w:r>
        <w:rPr>
          <w:rFonts w:ascii="Arial" w:cs="Arial" w:eastAsia="Arial" w:hAnsi="Arial"/>
          <w:sz w:val="16"/>
          <w:szCs w:val="16"/>
          <w:color w:val="auto"/>
        </w:rPr>
        <w:t>Prima AFP is a private pension fund and its activities are regulated by the SBS.</w:t>
      </w:r>
    </w:p>
    <w:p>
      <w:pPr>
        <w:spacing w:after="0" w:line="209" w:lineRule="exact"/>
        <w:rPr>
          <w:rFonts w:ascii="Arial" w:cs="Arial" w:eastAsia="Arial" w:hAnsi="Arial"/>
          <w:sz w:val="16"/>
          <w:szCs w:val="16"/>
          <w:color w:val="auto"/>
        </w:rPr>
      </w:pPr>
    </w:p>
    <w:p>
      <w:pPr>
        <w:ind w:left="582" w:right="400" w:hanging="348"/>
        <w:spacing w:after="0" w:line="287" w:lineRule="auto"/>
        <w:tabs>
          <w:tab w:leader="none" w:pos="582" w:val="left"/>
        </w:tabs>
        <w:numPr>
          <w:ilvl w:val="1"/>
          <w:numId w:val="11"/>
        </w:numPr>
        <w:rPr>
          <w:rFonts w:ascii="Arial" w:cs="Arial" w:eastAsia="Arial" w:hAnsi="Arial"/>
          <w:sz w:val="16"/>
          <w:szCs w:val="16"/>
          <w:color w:val="auto"/>
        </w:rPr>
      </w:pPr>
      <w:r>
        <w:rPr>
          <w:rFonts w:ascii="Arial" w:cs="Arial" w:eastAsia="Arial" w:hAnsi="Arial"/>
          <w:sz w:val="16"/>
          <w:szCs w:val="16"/>
          <w:color w:val="auto"/>
        </w:rPr>
        <w:t>Krealo SpA (hereinafter “Krealo") was established in January 2019; and is oriented to make capital investments outside the country. On July 1, 2019, Krealo acquired Tenpo SpA and Multicaja Prepago S.A.</w:t>
      </w:r>
    </w:p>
    <w:p>
      <w:pPr>
        <w:spacing w:after="0" w:line="149" w:lineRule="exact"/>
        <w:rPr>
          <w:rFonts w:ascii="Arial" w:cs="Arial" w:eastAsia="Arial" w:hAnsi="Arial"/>
          <w:sz w:val="16"/>
          <w:szCs w:val="16"/>
          <w:color w:val="auto"/>
        </w:rPr>
      </w:pPr>
    </w:p>
    <w:p>
      <w:pPr>
        <w:ind w:left="242" w:hanging="242"/>
        <w:spacing w:after="0" w:line="271" w:lineRule="auto"/>
        <w:tabs>
          <w:tab w:leader="none" w:pos="242" w:val="left"/>
        </w:tabs>
        <w:numPr>
          <w:ilvl w:val="0"/>
          <w:numId w:val="12"/>
        </w:numPr>
        <w:rPr>
          <w:rFonts w:ascii="Arial" w:cs="Arial" w:eastAsia="Arial" w:hAnsi="Arial"/>
          <w:sz w:val="16"/>
          <w:szCs w:val="16"/>
          <w:color w:val="auto"/>
        </w:rPr>
      </w:pPr>
      <w:r>
        <w:rPr>
          <w:rFonts w:ascii="Arial" w:cs="Arial" w:eastAsia="Arial" w:hAnsi="Arial"/>
          <w:sz w:val="16"/>
          <w:szCs w:val="16"/>
          <w:color w:val="auto"/>
        </w:rPr>
        <w:t>Pacífico Seguros is an entity regulated by the SBS and its activities comprise the contracting and management of all types of general risk and life insurance, reinsurance and property investment and financial operations. Its Subsidiaries are Crediseguro Seguros Personales and Crediseguro Seguros Generales, and it has Pacífico EPS as an associate, which are dynamic participants in the business of multiple and health insurance, respectively.</w:t>
      </w:r>
    </w:p>
    <w:p>
      <w:pPr>
        <w:spacing w:after="0" w:line="163" w:lineRule="exact"/>
        <w:rPr>
          <w:sz w:val="20"/>
          <w:szCs w:val="20"/>
          <w:color w:val="auto"/>
        </w:rPr>
      </w:pPr>
    </w:p>
    <w:p>
      <w:pPr>
        <w:ind w:left="242" w:right="20" w:hanging="245"/>
        <w:spacing w:after="0" w:line="362" w:lineRule="auto"/>
        <w:rPr>
          <w:sz w:val="20"/>
          <w:szCs w:val="20"/>
          <w:color w:val="auto"/>
        </w:rPr>
      </w:pPr>
      <w:r>
        <w:rPr>
          <w:rFonts w:ascii="Arial" w:cs="Arial" w:eastAsia="Arial" w:hAnsi="Arial"/>
          <w:sz w:val="14"/>
          <w:szCs w:val="14"/>
          <w:color w:val="auto"/>
        </w:rPr>
        <w:t>(iii)Its most important Subsidiary is Atlantic Security Bank (ASB), which is incorporated in the Cayman Islands and operates through branches and offices in Grand Cayman and the Republic of Panama; its main activities are private and institutional banking services and trustee administration, mainly for BCP’s Peruvian customers.</w:t>
      </w:r>
    </w:p>
    <w:p>
      <w:pPr>
        <w:spacing w:after="0" w:line="104" w:lineRule="exact"/>
        <w:rPr>
          <w:sz w:val="20"/>
          <w:szCs w:val="20"/>
          <w:color w:val="auto"/>
        </w:rPr>
      </w:pPr>
    </w:p>
    <w:p>
      <w:pPr>
        <w:jc w:val="center"/>
        <w:ind w:right="18"/>
        <w:spacing w:after="0"/>
        <w:rPr>
          <w:sz w:val="20"/>
          <w:szCs w:val="20"/>
          <w:color w:val="auto"/>
        </w:rPr>
      </w:pPr>
      <w:r>
        <w:rPr>
          <w:rFonts w:ascii="Arial" w:cs="Arial" w:eastAsia="Arial" w:hAnsi="Arial"/>
          <w:sz w:val="15"/>
          <w:szCs w:val="15"/>
          <w:color w:val="auto"/>
        </w:rPr>
        <w:t>(iv)Credicorp Capital Ltd. was formed in 2012, and its main subsidiaries are Credicorp Capital Holding Peru (owner of Credicorp Capital Perú S.A.A.), Credicorp Holding</w:t>
      </w:r>
    </w:p>
    <w:p>
      <w:pPr>
        <w:spacing w:after="0" w:line="35" w:lineRule="exact"/>
        <w:rPr>
          <w:sz w:val="20"/>
          <w:szCs w:val="20"/>
          <w:color w:val="auto"/>
        </w:rPr>
      </w:pPr>
    </w:p>
    <w:p>
      <w:pPr>
        <w:ind w:left="242" w:right="80"/>
        <w:spacing w:after="0" w:line="264" w:lineRule="auto"/>
        <w:rPr>
          <w:sz w:val="20"/>
          <w:szCs w:val="20"/>
          <w:color w:val="auto"/>
        </w:rPr>
      </w:pPr>
      <w:r>
        <w:rPr>
          <w:rFonts w:ascii="Arial" w:cs="Arial" w:eastAsia="Arial" w:hAnsi="Arial"/>
          <w:sz w:val="16"/>
          <w:szCs w:val="16"/>
          <w:color w:val="auto"/>
        </w:rPr>
        <w:t>Colombia (owner of Credicorp Capital Colombia, Ultraserfinco S.A. and Banco Compartir S.A.), and Credicorp Capital Holding Chile (owner of Credicorp Capital Chile), which carry out their activities in Peru, Colombia and Chile, respectively. We present below the consolidated financial statements in accordance with IFRS and before eliminations for consolidation purposes:</w:t>
      </w:r>
    </w:p>
    <w:p>
      <w:pPr>
        <w:spacing w:after="0" w:line="161" w:lineRule="exact"/>
        <w:rPr>
          <w:sz w:val="20"/>
          <w:szCs w:val="20"/>
          <w:color w:val="auto"/>
        </w:rPr>
      </w:pPr>
    </w:p>
    <w:tbl>
      <w:tblPr>
        <w:tblLayout w:type="fixed"/>
        <w:tblInd w:w="2" w:type="dxa"/>
        <w:tblCellMar>
          <w:top w:w="0" w:type="dxa"/>
          <w:left w:w="0" w:type="dxa"/>
          <w:bottom w:w="0" w:type="dxa"/>
          <w:right w:w="0" w:type="dxa"/>
        </w:tblCellMar>
      </w:tblPr>
      <w:tr>
        <w:trPr>
          <w:trHeight w:val="126"/>
        </w:trPr>
        <w:tc>
          <w:tcPr>
            <w:tcW w:w="2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1"/>
              </w:rPr>
              <w:t>Net income (loss)</w:t>
            </w:r>
          </w:p>
        </w:tc>
      </w:tr>
      <w:tr>
        <w:trPr>
          <w:trHeight w:val="123"/>
        </w:trPr>
        <w:tc>
          <w:tcPr>
            <w:tcW w:w="2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4"/>
          </w:tcPr>
          <w:p>
            <w:pPr>
              <w:jc w:val="center"/>
              <w:ind w:right="220"/>
              <w:spacing w:after="0" w:line="123" w:lineRule="exact"/>
              <w:rPr>
                <w:sz w:val="20"/>
                <w:szCs w:val="20"/>
                <w:color w:val="auto"/>
              </w:rPr>
            </w:pPr>
            <w:r>
              <w:rPr>
                <w:rFonts w:ascii="Arial" w:cs="Arial" w:eastAsia="Arial" w:hAnsi="Arial"/>
                <w:sz w:val="11"/>
                <w:szCs w:val="11"/>
                <w:b w:val="1"/>
                <w:bCs w:val="1"/>
                <w:color w:val="auto"/>
                <w:w w:val="90"/>
              </w:rPr>
              <w:t>Percentage of</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4"/>
          </w:tcPr>
          <w:p>
            <w:pPr>
              <w:jc w:val="center"/>
              <w:ind w:right="100"/>
              <w:spacing w:after="0" w:line="123" w:lineRule="exact"/>
              <w:rPr>
                <w:sz w:val="20"/>
                <w:szCs w:val="20"/>
                <w:color w:val="auto"/>
              </w:rPr>
            </w:pPr>
            <w:r>
              <w:rPr>
                <w:rFonts w:ascii="Arial" w:cs="Arial" w:eastAsia="Arial" w:hAnsi="Arial"/>
                <w:sz w:val="11"/>
                <w:szCs w:val="11"/>
                <w:b w:val="1"/>
                <w:bCs w:val="1"/>
                <w:color w:val="auto"/>
                <w:w w:val="96"/>
              </w:rPr>
              <w:t>for the three-month</w:t>
            </w:r>
          </w:p>
        </w:tc>
      </w:tr>
      <w:tr>
        <w:trPr>
          <w:trHeight w:val="123"/>
        </w:trPr>
        <w:tc>
          <w:tcPr>
            <w:tcW w:w="2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4"/>
          </w:tcPr>
          <w:p>
            <w:pPr>
              <w:jc w:val="center"/>
              <w:ind w:right="220"/>
              <w:spacing w:after="0" w:line="123" w:lineRule="exact"/>
              <w:rPr>
                <w:sz w:val="20"/>
                <w:szCs w:val="20"/>
                <w:color w:val="auto"/>
              </w:rPr>
            </w:pPr>
            <w:r>
              <w:rPr>
                <w:rFonts w:ascii="Arial" w:cs="Arial" w:eastAsia="Arial" w:hAnsi="Arial"/>
                <w:sz w:val="11"/>
                <w:szCs w:val="11"/>
                <w:b w:val="1"/>
                <w:bCs w:val="1"/>
                <w:color w:val="auto"/>
                <w:w w:val="91"/>
              </w:rPr>
              <w:t>interest (direct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4"/>
          </w:tcPr>
          <w:p>
            <w:pPr>
              <w:jc w:val="center"/>
              <w:ind w:right="120"/>
              <w:spacing w:after="0" w:line="123" w:lineRule="exact"/>
              <w:rPr>
                <w:sz w:val="20"/>
                <w:szCs w:val="20"/>
                <w:color w:val="auto"/>
              </w:rPr>
            </w:pPr>
            <w:r>
              <w:rPr>
                <w:rFonts w:ascii="Arial" w:cs="Arial" w:eastAsia="Arial" w:hAnsi="Arial"/>
                <w:sz w:val="11"/>
                <w:szCs w:val="11"/>
                <w:b w:val="1"/>
                <w:bCs w:val="1"/>
                <w:color w:val="auto"/>
                <w:w w:val="90"/>
              </w:rPr>
              <w:t>periods ended</w:t>
            </w:r>
          </w:p>
        </w:tc>
      </w:tr>
      <w:tr>
        <w:trPr>
          <w:trHeight w:val="139"/>
        </w:trPr>
        <w:tc>
          <w:tcPr>
            <w:tcW w:w="2900" w:type="dxa"/>
            <w:vAlign w:val="bottom"/>
            <w:gridSpan w:val="2"/>
          </w:tcPr>
          <w:p>
            <w:pPr>
              <w:spacing w:after="0"/>
              <w:rPr>
                <w:sz w:val="20"/>
                <w:szCs w:val="20"/>
                <w:color w:val="auto"/>
              </w:rPr>
            </w:pPr>
            <w:r>
              <w:rPr>
                <w:rFonts w:ascii="Arial" w:cs="Arial" w:eastAsia="Arial" w:hAnsi="Arial"/>
                <w:sz w:val="11"/>
                <w:szCs w:val="11"/>
                <w:b w:val="1"/>
                <w:bCs w:val="1"/>
                <w:color w:val="auto"/>
              </w:rPr>
              <w:t>Entity</w:t>
            </w:r>
          </w:p>
        </w:tc>
        <w:tc>
          <w:tcPr>
            <w:tcW w:w="160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96"/>
              </w:rPr>
              <w:t>and indirect)</w:t>
            </w:r>
          </w:p>
        </w:tc>
        <w:tc>
          <w:tcPr>
            <w:tcW w:w="56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Arial" w:cs="Arial" w:eastAsia="Arial" w:hAnsi="Arial"/>
                <w:sz w:val="11"/>
                <w:szCs w:val="11"/>
                <w:b w:val="1"/>
                <w:bCs w:val="1"/>
                <w:color w:val="auto"/>
              </w:rPr>
              <w:t>Assets</w:t>
            </w:r>
          </w:p>
        </w:tc>
        <w:tc>
          <w:tcPr>
            <w:tcW w:w="1640" w:type="dxa"/>
            <w:vAlign w:val="bottom"/>
            <w:gridSpan w:val="4"/>
          </w:tcPr>
          <w:p>
            <w:pPr>
              <w:jc w:val="right"/>
              <w:ind w:right="660"/>
              <w:spacing w:after="0"/>
              <w:rPr>
                <w:sz w:val="20"/>
                <w:szCs w:val="20"/>
                <w:color w:val="auto"/>
              </w:rPr>
            </w:pPr>
            <w:r>
              <w:rPr>
                <w:rFonts w:ascii="Arial" w:cs="Arial" w:eastAsia="Arial" w:hAnsi="Arial"/>
                <w:sz w:val="11"/>
                <w:szCs w:val="11"/>
                <w:b w:val="1"/>
                <w:bCs w:val="1"/>
                <w:color w:val="auto"/>
              </w:rPr>
              <w:t>Liabilities</w:t>
            </w:r>
          </w:p>
        </w:tc>
        <w:tc>
          <w:tcPr>
            <w:tcW w:w="520" w:type="dxa"/>
            <w:vAlign w:val="bottom"/>
          </w:tcPr>
          <w:p>
            <w:pPr>
              <w:spacing w:after="0"/>
              <w:rPr>
                <w:sz w:val="12"/>
                <w:szCs w:val="12"/>
                <w:color w:val="auto"/>
              </w:rPr>
            </w:pPr>
          </w:p>
        </w:tc>
        <w:tc>
          <w:tcPr>
            <w:tcW w:w="1080" w:type="dxa"/>
            <w:vAlign w:val="bottom"/>
            <w:gridSpan w:val="3"/>
          </w:tcPr>
          <w:p>
            <w:pPr>
              <w:jc w:val="right"/>
              <w:ind w:right="740"/>
              <w:spacing w:after="0"/>
              <w:rPr>
                <w:sz w:val="20"/>
                <w:szCs w:val="20"/>
                <w:color w:val="auto"/>
              </w:rPr>
            </w:pPr>
            <w:r>
              <w:rPr>
                <w:rFonts w:ascii="Arial" w:cs="Arial" w:eastAsia="Arial" w:hAnsi="Arial"/>
                <w:sz w:val="11"/>
                <w:szCs w:val="11"/>
                <w:b w:val="1"/>
                <w:bCs w:val="1"/>
                <w:color w:val="auto"/>
                <w:w w:val="95"/>
              </w:rPr>
              <w:t>Equity</w:t>
            </w:r>
          </w:p>
        </w:tc>
        <w:tc>
          <w:tcPr>
            <w:tcW w:w="132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98"/>
              </w:rPr>
              <w:t>March 31,</w:t>
            </w:r>
          </w:p>
        </w:tc>
      </w:tr>
      <w:tr>
        <w:trPr>
          <w:trHeight w:val="99"/>
        </w:trPr>
        <w:tc>
          <w:tcPr>
            <w:tcW w:w="28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top w:val="single" w:sz="8" w:color="auto"/>
            </w:tcBorders>
            <w:gridSpan w:val="2"/>
          </w:tcPr>
          <w:p>
            <w:pPr>
              <w:jc w:val="center"/>
              <w:ind w:right="180"/>
              <w:spacing w:after="0" w:line="100" w:lineRule="exact"/>
              <w:rPr>
                <w:sz w:val="20"/>
                <w:szCs w:val="20"/>
                <w:color w:val="auto"/>
              </w:rPr>
            </w:pPr>
            <w:r>
              <w:rPr>
                <w:rFonts w:ascii="Arial" w:cs="Arial" w:eastAsia="Arial" w:hAnsi="Arial"/>
                <w:sz w:val="11"/>
                <w:szCs w:val="11"/>
                <w:b w:val="1"/>
                <w:bCs w:val="1"/>
                <w:color w:val="auto"/>
                <w:w w:val="94"/>
              </w:rPr>
              <w:t>As of</w:t>
            </w:r>
          </w:p>
        </w:tc>
        <w:tc>
          <w:tcPr>
            <w:tcW w:w="680" w:type="dxa"/>
            <w:vAlign w:val="bottom"/>
            <w:tcBorders>
              <w:top w:val="single" w:sz="8" w:color="auto"/>
            </w:tcBorders>
          </w:tcPr>
          <w:p>
            <w:pPr>
              <w:jc w:val="right"/>
              <w:ind w:right="163"/>
              <w:spacing w:after="0" w:line="100" w:lineRule="exact"/>
              <w:rPr>
                <w:sz w:val="20"/>
                <w:szCs w:val="20"/>
                <w:color w:val="auto"/>
              </w:rPr>
            </w:pPr>
            <w:r>
              <w:rPr>
                <w:rFonts w:ascii="Arial" w:cs="Arial" w:eastAsia="Arial" w:hAnsi="Arial"/>
                <w:sz w:val="11"/>
                <w:szCs w:val="11"/>
                <w:b w:val="1"/>
                <w:bCs w:val="1"/>
                <w:color w:val="auto"/>
              </w:rPr>
              <w:t>As of</w:t>
            </w:r>
          </w:p>
        </w:tc>
        <w:tc>
          <w:tcPr>
            <w:tcW w:w="200" w:type="dxa"/>
            <w:vAlign w:val="bottom"/>
          </w:tcPr>
          <w:p>
            <w:pPr>
              <w:spacing w:after="0"/>
              <w:rPr>
                <w:sz w:val="8"/>
                <w:szCs w:val="8"/>
                <w:color w:val="auto"/>
              </w:rPr>
            </w:pPr>
          </w:p>
        </w:tc>
        <w:tc>
          <w:tcPr>
            <w:tcW w:w="560" w:type="dxa"/>
            <w:vAlign w:val="bottom"/>
            <w:tcBorders>
              <w:top w:val="single" w:sz="8" w:color="auto"/>
            </w:tcBorders>
          </w:tcPr>
          <w:p>
            <w:pPr>
              <w:jc w:val="right"/>
              <w:ind w:right="103"/>
              <w:spacing w:after="0" w:line="100" w:lineRule="exact"/>
              <w:rPr>
                <w:sz w:val="20"/>
                <w:szCs w:val="20"/>
                <w:color w:val="auto"/>
              </w:rPr>
            </w:pPr>
            <w:r>
              <w:rPr>
                <w:rFonts w:ascii="Arial" w:cs="Arial" w:eastAsia="Arial" w:hAnsi="Arial"/>
                <w:sz w:val="11"/>
                <w:szCs w:val="11"/>
                <w:b w:val="1"/>
                <w:bCs w:val="1"/>
                <w:color w:val="auto"/>
              </w:rPr>
              <w:t>As of</w:t>
            </w:r>
          </w:p>
        </w:tc>
        <w:tc>
          <w:tcPr>
            <w:tcW w:w="2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4"/>
              </w:rPr>
              <w:t>As of</w:t>
            </w:r>
          </w:p>
        </w:tc>
        <w:tc>
          <w:tcPr>
            <w:tcW w:w="180" w:type="dxa"/>
            <w:vAlign w:val="bottom"/>
          </w:tcPr>
          <w:p>
            <w:pPr>
              <w:spacing w:after="0"/>
              <w:rPr>
                <w:sz w:val="8"/>
                <w:szCs w:val="8"/>
                <w:color w:val="auto"/>
              </w:rPr>
            </w:pPr>
          </w:p>
        </w:tc>
        <w:tc>
          <w:tcPr>
            <w:tcW w:w="760" w:type="dxa"/>
            <w:vAlign w:val="bottom"/>
            <w:tcBorders>
              <w:top w:val="single" w:sz="8" w:color="auto"/>
            </w:tcBorders>
            <w:gridSpan w:val="2"/>
          </w:tcPr>
          <w:p>
            <w:pPr>
              <w:jc w:val="center"/>
              <w:ind w:right="180"/>
              <w:spacing w:after="0" w:line="100" w:lineRule="exact"/>
              <w:rPr>
                <w:sz w:val="20"/>
                <w:szCs w:val="20"/>
                <w:color w:val="auto"/>
              </w:rPr>
            </w:pPr>
            <w:r>
              <w:rPr>
                <w:rFonts w:ascii="Arial" w:cs="Arial" w:eastAsia="Arial" w:hAnsi="Arial"/>
                <w:sz w:val="11"/>
                <w:szCs w:val="11"/>
                <w:b w:val="1"/>
                <w:bCs w:val="1"/>
                <w:color w:val="auto"/>
                <w:w w:val="94"/>
              </w:rPr>
              <w:t>As of</w:t>
            </w:r>
          </w:p>
        </w:tc>
        <w:tc>
          <w:tcPr>
            <w:tcW w:w="680" w:type="dxa"/>
            <w:vAlign w:val="bottom"/>
            <w:tcBorders>
              <w:top w:val="single" w:sz="8" w:color="auto"/>
            </w:tcBorders>
          </w:tcPr>
          <w:p>
            <w:pPr>
              <w:jc w:val="right"/>
              <w:ind w:right="143"/>
              <w:spacing w:after="0" w:line="100" w:lineRule="exact"/>
              <w:rPr>
                <w:sz w:val="20"/>
                <w:szCs w:val="20"/>
                <w:color w:val="auto"/>
              </w:rPr>
            </w:pPr>
            <w:r>
              <w:rPr>
                <w:rFonts w:ascii="Arial" w:cs="Arial" w:eastAsia="Arial" w:hAnsi="Arial"/>
                <w:sz w:val="11"/>
                <w:szCs w:val="11"/>
                <w:b w:val="1"/>
                <w:bCs w:val="1"/>
                <w:color w:val="auto"/>
              </w:rPr>
              <w:t>As of</w:t>
            </w:r>
          </w:p>
        </w:tc>
        <w:tc>
          <w:tcPr>
            <w:tcW w:w="200" w:type="dxa"/>
            <w:vAlign w:val="bottom"/>
          </w:tcPr>
          <w:p>
            <w:pPr>
              <w:spacing w:after="0"/>
              <w:rPr>
                <w:sz w:val="8"/>
                <w:szCs w:val="8"/>
                <w:color w:val="auto"/>
              </w:rPr>
            </w:pPr>
          </w:p>
        </w:tc>
        <w:tc>
          <w:tcPr>
            <w:tcW w:w="52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87"/>
              </w:rPr>
              <w:t>As of</w:t>
            </w:r>
          </w:p>
        </w:tc>
        <w:tc>
          <w:tcPr>
            <w:tcW w:w="2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163"/>
              <w:spacing w:after="0" w:line="100" w:lineRule="exact"/>
              <w:rPr>
                <w:sz w:val="20"/>
                <w:szCs w:val="20"/>
                <w:color w:val="auto"/>
              </w:rPr>
            </w:pPr>
            <w:r>
              <w:rPr>
                <w:rFonts w:ascii="Arial" w:cs="Arial" w:eastAsia="Arial" w:hAnsi="Arial"/>
                <w:sz w:val="11"/>
                <w:szCs w:val="11"/>
                <w:b w:val="1"/>
                <w:bCs w:val="1"/>
                <w:color w:val="auto"/>
              </w:rPr>
              <w:t>As of</w:t>
            </w:r>
          </w:p>
        </w:tc>
        <w:tc>
          <w:tcPr>
            <w:tcW w:w="2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23"/>
        </w:trPr>
        <w:tc>
          <w:tcPr>
            <w:tcW w:w="2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80"/>
              <w:spacing w:after="0" w:line="123" w:lineRule="exact"/>
              <w:rPr>
                <w:sz w:val="20"/>
                <w:szCs w:val="20"/>
                <w:color w:val="auto"/>
              </w:rPr>
            </w:pPr>
            <w:r>
              <w:rPr>
                <w:rFonts w:ascii="Arial" w:cs="Arial" w:eastAsia="Arial" w:hAnsi="Arial"/>
                <w:sz w:val="11"/>
                <w:szCs w:val="11"/>
                <w:b w:val="1"/>
                <w:bCs w:val="1"/>
                <w:color w:val="auto"/>
                <w:w w:val="98"/>
              </w:rPr>
              <w:t>March 31,</w:t>
            </w:r>
          </w:p>
        </w:tc>
        <w:tc>
          <w:tcPr>
            <w:tcW w:w="880" w:type="dxa"/>
            <w:vAlign w:val="bottom"/>
            <w:gridSpan w:val="2"/>
          </w:tcPr>
          <w:p>
            <w:pPr>
              <w:jc w:val="right"/>
              <w:ind w:right="200"/>
              <w:spacing w:after="0" w:line="123" w:lineRule="exact"/>
              <w:rPr>
                <w:sz w:val="20"/>
                <w:szCs w:val="20"/>
                <w:color w:val="auto"/>
              </w:rPr>
            </w:pPr>
            <w:r>
              <w:rPr>
                <w:rFonts w:ascii="Arial" w:cs="Arial" w:eastAsia="Arial" w:hAnsi="Arial"/>
                <w:sz w:val="11"/>
                <w:szCs w:val="11"/>
                <w:b w:val="1"/>
                <w:bCs w:val="1"/>
                <w:color w:val="auto"/>
                <w:w w:val="92"/>
              </w:rPr>
              <w:t>December 31,</w:t>
            </w:r>
          </w:p>
        </w:tc>
        <w:tc>
          <w:tcPr>
            <w:tcW w:w="560" w:type="dxa"/>
            <w:vAlign w:val="bottom"/>
          </w:tcPr>
          <w:p>
            <w:pPr>
              <w:jc w:val="right"/>
              <w:spacing w:after="0" w:line="123" w:lineRule="exact"/>
              <w:rPr>
                <w:sz w:val="20"/>
                <w:szCs w:val="20"/>
                <w:color w:val="auto"/>
              </w:rPr>
            </w:pPr>
            <w:r>
              <w:rPr>
                <w:rFonts w:ascii="Arial" w:cs="Arial" w:eastAsia="Arial" w:hAnsi="Arial"/>
                <w:sz w:val="11"/>
                <w:szCs w:val="11"/>
                <w:b w:val="1"/>
                <w:bCs w:val="1"/>
                <w:color w:val="auto"/>
                <w:w w:val="98"/>
              </w:rPr>
              <w:t>March 31,</w:t>
            </w:r>
          </w:p>
        </w:tc>
        <w:tc>
          <w:tcPr>
            <w:tcW w:w="200" w:type="dxa"/>
            <w:vAlign w:val="bottom"/>
          </w:tcPr>
          <w:p>
            <w:pPr>
              <w:spacing w:after="0"/>
              <w:rPr>
                <w:sz w:val="10"/>
                <w:szCs w:val="10"/>
                <w:color w:val="auto"/>
              </w:rPr>
            </w:pPr>
          </w:p>
        </w:tc>
        <w:tc>
          <w:tcPr>
            <w:tcW w:w="860" w:type="dxa"/>
            <w:vAlign w:val="bottom"/>
            <w:gridSpan w:val="2"/>
          </w:tcPr>
          <w:p>
            <w:pPr>
              <w:jc w:val="center"/>
              <w:ind w:right="200"/>
              <w:spacing w:after="0" w:line="123" w:lineRule="exact"/>
              <w:rPr>
                <w:sz w:val="20"/>
                <w:szCs w:val="20"/>
                <w:color w:val="auto"/>
              </w:rPr>
            </w:pPr>
            <w:r>
              <w:rPr>
                <w:rFonts w:ascii="Arial" w:cs="Arial" w:eastAsia="Arial" w:hAnsi="Arial"/>
                <w:sz w:val="11"/>
                <w:szCs w:val="11"/>
                <w:b w:val="1"/>
                <w:bCs w:val="1"/>
                <w:color w:val="auto"/>
                <w:w w:val="92"/>
              </w:rPr>
              <w:t>December 31,</w:t>
            </w:r>
          </w:p>
        </w:tc>
        <w:tc>
          <w:tcPr>
            <w:tcW w:w="760" w:type="dxa"/>
            <w:vAlign w:val="bottom"/>
            <w:gridSpan w:val="2"/>
          </w:tcPr>
          <w:p>
            <w:pPr>
              <w:jc w:val="center"/>
              <w:ind w:right="180"/>
              <w:spacing w:after="0" w:line="123" w:lineRule="exact"/>
              <w:rPr>
                <w:sz w:val="20"/>
                <w:szCs w:val="20"/>
                <w:color w:val="auto"/>
              </w:rPr>
            </w:pPr>
            <w:r>
              <w:rPr>
                <w:rFonts w:ascii="Arial" w:cs="Arial" w:eastAsia="Arial" w:hAnsi="Arial"/>
                <w:sz w:val="11"/>
                <w:szCs w:val="11"/>
                <w:b w:val="1"/>
                <w:bCs w:val="1"/>
                <w:color w:val="auto"/>
                <w:w w:val="98"/>
              </w:rPr>
              <w:t>March 31,</w:t>
            </w:r>
          </w:p>
        </w:tc>
        <w:tc>
          <w:tcPr>
            <w:tcW w:w="880" w:type="dxa"/>
            <w:vAlign w:val="bottom"/>
            <w:gridSpan w:val="2"/>
          </w:tcPr>
          <w:p>
            <w:pPr>
              <w:jc w:val="right"/>
              <w:ind w:right="200"/>
              <w:spacing w:after="0" w:line="123" w:lineRule="exact"/>
              <w:rPr>
                <w:sz w:val="20"/>
                <w:szCs w:val="20"/>
                <w:color w:val="auto"/>
              </w:rPr>
            </w:pPr>
            <w:r>
              <w:rPr>
                <w:rFonts w:ascii="Arial" w:cs="Arial" w:eastAsia="Arial" w:hAnsi="Arial"/>
                <w:sz w:val="11"/>
                <w:szCs w:val="11"/>
                <w:b w:val="1"/>
                <w:bCs w:val="1"/>
                <w:color w:val="auto"/>
                <w:w w:val="92"/>
              </w:rPr>
              <w:t>December 31,</w:t>
            </w:r>
          </w:p>
        </w:tc>
        <w:tc>
          <w:tcPr>
            <w:tcW w:w="5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8"/>
              </w:rPr>
              <w:t>March 31,</w:t>
            </w:r>
          </w:p>
        </w:tc>
        <w:tc>
          <w:tcPr>
            <w:tcW w:w="200" w:type="dxa"/>
            <w:vAlign w:val="bottom"/>
          </w:tcPr>
          <w:p>
            <w:pPr>
              <w:spacing w:after="0"/>
              <w:rPr>
                <w:sz w:val="10"/>
                <w:szCs w:val="10"/>
                <w:color w:val="auto"/>
              </w:rPr>
            </w:pPr>
          </w:p>
        </w:tc>
        <w:tc>
          <w:tcPr>
            <w:tcW w:w="880" w:type="dxa"/>
            <w:vAlign w:val="bottom"/>
            <w:gridSpan w:val="2"/>
          </w:tcPr>
          <w:p>
            <w:pPr>
              <w:jc w:val="right"/>
              <w:ind w:right="200"/>
              <w:spacing w:after="0" w:line="123" w:lineRule="exact"/>
              <w:rPr>
                <w:sz w:val="20"/>
                <w:szCs w:val="20"/>
                <w:color w:val="auto"/>
              </w:rPr>
            </w:pPr>
            <w:r>
              <w:rPr>
                <w:rFonts w:ascii="Arial" w:cs="Arial" w:eastAsia="Arial" w:hAnsi="Arial"/>
                <w:sz w:val="11"/>
                <w:szCs w:val="11"/>
                <w:b w:val="1"/>
                <w:bCs w:val="1"/>
                <w:color w:val="auto"/>
                <w:w w:val="92"/>
              </w:rPr>
              <w:t>December 31,</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9"/>
        </w:trPr>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2"/>
                <w:szCs w:val="12"/>
                <w:color w:val="auto"/>
              </w:rPr>
            </w:pPr>
          </w:p>
        </w:tc>
        <w:tc>
          <w:tcPr>
            <w:tcW w:w="680" w:type="dxa"/>
            <w:vAlign w:val="bottom"/>
          </w:tcPr>
          <w:p>
            <w:pPr>
              <w:jc w:val="right"/>
              <w:ind w:right="163"/>
              <w:spacing w:after="0"/>
              <w:rPr>
                <w:sz w:val="20"/>
                <w:szCs w:val="20"/>
                <w:color w:val="auto"/>
              </w:rPr>
            </w:pPr>
            <w:r>
              <w:rPr>
                <w:rFonts w:ascii="Arial" w:cs="Arial" w:eastAsia="Arial" w:hAnsi="Arial"/>
                <w:sz w:val="11"/>
                <w:szCs w:val="11"/>
                <w:b w:val="1"/>
                <w:bCs w:val="1"/>
                <w:color w:val="auto"/>
              </w:rPr>
              <w:t>2019</w:t>
            </w:r>
          </w:p>
        </w:tc>
        <w:tc>
          <w:tcPr>
            <w:tcW w:w="200" w:type="dxa"/>
            <w:vAlign w:val="bottom"/>
          </w:tcPr>
          <w:p>
            <w:pPr>
              <w:spacing w:after="0"/>
              <w:rPr>
                <w:sz w:val="12"/>
                <w:szCs w:val="12"/>
                <w:color w:val="auto"/>
              </w:rPr>
            </w:pPr>
          </w:p>
        </w:tc>
        <w:tc>
          <w:tcPr>
            <w:tcW w:w="560" w:type="dxa"/>
            <w:vAlign w:val="bottom"/>
          </w:tcPr>
          <w:p>
            <w:pPr>
              <w:jc w:val="right"/>
              <w:ind w:right="103"/>
              <w:spacing w:after="0"/>
              <w:rPr>
                <w:sz w:val="20"/>
                <w:szCs w:val="20"/>
                <w:color w:val="auto"/>
              </w:rPr>
            </w:pPr>
            <w:r>
              <w:rPr>
                <w:rFonts w:ascii="Arial" w:cs="Arial" w:eastAsia="Arial" w:hAnsi="Arial"/>
                <w:sz w:val="11"/>
                <w:szCs w:val="11"/>
                <w:b w:val="1"/>
                <w:bCs w:val="1"/>
                <w:color w:val="auto"/>
              </w:rPr>
              <w:t>2020</w:t>
            </w:r>
          </w:p>
        </w:tc>
        <w:tc>
          <w:tcPr>
            <w:tcW w:w="88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2019</w:t>
            </w:r>
          </w:p>
        </w:tc>
        <w:tc>
          <w:tcPr>
            <w:tcW w:w="180" w:type="dxa"/>
            <w:vAlign w:val="bottom"/>
          </w:tcPr>
          <w:p>
            <w:pPr>
              <w:spacing w:after="0"/>
              <w:rPr>
                <w:sz w:val="12"/>
                <w:szCs w:val="12"/>
                <w:color w:val="auto"/>
              </w:rPr>
            </w:pPr>
          </w:p>
        </w:tc>
        <w:tc>
          <w:tcPr>
            <w:tcW w:w="580" w:type="dxa"/>
            <w:vAlign w:val="bottom"/>
          </w:tcPr>
          <w:p>
            <w:pPr>
              <w:jc w:val="right"/>
              <w:ind w:right="123"/>
              <w:spacing w:after="0"/>
              <w:rPr>
                <w:sz w:val="20"/>
                <w:szCs w:val="20"/>
                <w:color w:val="auto"/>
              </w:rPr>
            </w:pPr>
            <w:r>
              <w:rPr>
                <w:rFonts w:ascii="Arial" w:cs="Arial" w:eastAsia="Arial" w:hAnsi="Arial"/>
                <w:sz w:val="11"/>
                <w:szCs w:val="11"/>
                <w:b w:val="1"/>
                <w:bCs w:val="1"/>
                <w:color w:val="auto"/>
              </w:rPr>
              <w:t>2020</w:t>
            </w:r>
          </w:p>
        </w:tc>
        <w:tc>
          <w:tcPr>
            <w:tcW w:w="180" w:type="dxa"/>
            <w:vAlign w:val="bottom"/>
          </w:tcPr>
          <w:p>
            <w:pPr>
              <w:spacing w:after="0"/>
              <w:rPr>
                <w:sz w:val="12"/>
                <w:szCs w:val="12"/>
                <w:color w:val="auto"/>
              </w:rPr>
            </w:pPr>
          </w:p>
        </w:tc>
        <w:tc>
          <w:tcPr>
            <w:tcW w:w="680" w:type="dxa"/>
            <w:vAlign w:val="bottom"/>
          </w:tcPr>
          <w:p>
            <w:pPr>
              <w:jc w:val="right"/>
              <w:ind w:right="163"/>
              <w:spacing w:after="0"/>
              <w:rPr>
                <w:sz w:val="20"/>
                <w:szCs w:val="20"/>
                <w:color w:val="auto"/>
              </w:rPr>
            </w:pPr>
            <w:r>
              <w:rPr>
                <w:rFonts w:ascii="Arial" w:cs="Arial" w:eastAsia="Arial" w:hAnsi="Arial"/>
                <w:sz w:val="11"/>
                <w:szCs w:val="11"/>
                <w:b w:val="1"/>
                <w:bCs w:val="1"/>
                <w:color w:val="auto"/>
              </w:rPr>
              <w:t>2019</w:t>
            </w:r>
          </w:p>
        </w:tc>
        <w:tc>
          <w:tcPr>
            <w:tcW w:w="20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b w:val="1"/>
                <w:bCs w:val="1"/>
                <w:color w:val="auto"/>
              </w:rPr>
              <w:t>2020</w:t>
            </w:r>
          </w:p>
        </w:tc>
        <w:tc>
          <w:tcPr>
            <w:tcW w:w="8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2019</w:t>
            </w:r>
          </w:p>
        </w:tc>
        <w:tc>
          <w:tcPr>
            <w:tcW w:w="200" w:type="dxa"/>
            <w:vAlign w:val="bottom"/>
          </w:tcPr>
          <w:p>
            <w:pPr>
              <w:spacing w:after="0"/>
              <w:rPr>
                <w:sz w:val="12"/>
                <w:szCs w:val="12"/>
                <w:color w:val="auto"/>
              </w:rPr>
            </w:pPr>
          </w:p>
        </w:tc>
        <w:tc>
          <w:tcPr>
            <w:tcW w:w="520" w:type="dxa"/>
            <w:vAlign w:val="bottom"/>
          </w:tcPr>
          <w:p>
            <w:pPr>
              <w:jc w:val="right"/>
              <w:ind w:right="83"/>
              <w:spacing w:after="0"/>
              <w:rPr>
                <w:sz w:val="20"/>
                <w:szCs w:val="20"/>
                <w:color w:val="auto"/>
              </w:rPr>
            </w:pPr>
            <w:r>
              <w:rPr>
                <w:rFonts w:ascii="Arial" w:cs="Arial" w:eastAsia="Arial" w:hAnsi="Arial"/>
                <w:sz w:val="11"/>
                <w:szCs w:val="11"/>
                <w:b w:val="1"/>
                <w:bCs w:val="1"/>
                <w:color w:val="auto"/>
              </w:rPr>
              <w:t>2020</w:t>
            </w:r>
          </w:p>
        </w:tc>
        <w:tc>
          <w:tcPr>
            <w:tcW w:w="200" w:type="dxa"/>
            <w:vAlign w:val="bottom"/>
          </w:tcPr>
          <w:p>
            <w:pPr>
              <w:spacing w:after="0"/>
              <w:rPr>
                <w:sz w:val="12"/>
                <w:szCs w:val="12"/>
                <w:color w:val="auto"/>
              </w:rPr>
            </w:pPr>
          </w:p>
        </w:tc>
        <w:tc>
          <w:tcPr>
            <w:tcW w:w="500" w:type="dxa"/>
            <w:vAlign w:val="bottom"/>
          </w:tcPr>
          <w:p>
            <w:pPr>
              <w:jc w:val="right"/>
              <w:ind w:right="8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r>
      <w:tr>
        <w:trPr>
          <w:trHeight w:val="115"/>
        </w:trPr>
        <w:tc>
          <w:tcPr>
            <w:tcW w:w="2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top w:val="single" w:sz="8" w:color="auto"/>
            </w:tcBorders>
          </w:tcPr>
          <w:p>
            <w:pPr>
              <w:ind w:left="220"/>
              <w:spacing w:after="0" w:line="115" w:lineRule="exact"/>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0"/>
                <w:szCs w:val="10"/>
                <w:color w:val="auto"/>
              </w:rPr>
            </w:pPr>
          </w:p>
        </w:tc>
        <w:tc>
          <w:tcPr>
            <w:tcW w:w="680" w:type="dxa"/>
            <w:vAlign w:val="bottom"/>
            <w:tcBorders>
              <w:top w:val="single" w:sz="8" w:color="auto"/>
            </w:tcBorders>
          </w:tcPr>
          <w:p>
            <w:pPr>
              <w:jc w:val="right"/>
              <w:ind w:right="223"/>
              <w:spacing w:after="0" w:line="115" w:lineRule="exact"/>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0"/>
                <w:szCs w:val="10"/>
                <w:color w:val="auto"/>
              </w:rPr>
            </w:pPr>
          </w:p>
        </w:tc>
        <w:tc>
          <w:tcPr>
            <w:tcW w:w="56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00" w:type="dxa"/>
            <w:vAlign w:val="bottom"/>
          </w:tcPr>
          <w:p>
            <w:pPr>
              <w:spacing w:after="0"/>
              <w:rPr>
                <w:sz w:val="10"/>
                <w:szCs w:val="10"/>
                <w:color w:val="auto"/>
              </w:rPr>
            </w:pPr>
          </w:p>
        </w:tc>
        <w:tc>
          <w:tcPr>
            <w:tcW w:w="6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80" w:type="dxa"/>
            <w:vAlign w:val="bottom"/>
          </w:tcPr>
          <w:p>
            <w:pPr>
              <w:spacing w:after="0"/>
              <w:rPr>
                <w:sz w:val="10"/>
                <w:szCs w:val="10"/>
                <w:color w:val="auto"/>
              </w:rPr>
            </w:pPr>
          </w:p>
        </w:tc>
        <w:tc>
          <w:tcPr>
            <w:tcW w:w="5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80" w:type="dxa"/>
            <w:vAlign w:val="bottom"/>
          </w:tcPr>
          <w:p>
            <w:pPr>
              <w:spacing w:after="0"/>
              <w:rPr>
                <w:sz w:val="10"/>
                <w:szCs w:val="10"/>
                <w:color w:val="auto"/>
              </w:rPr>
            </w:pPr>
          </w:p>
        </w:tc>
        <w:tc>
          <w:tcPr>
            <w:tcW w:w="6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00" w:type="dxa"/>
            <w:vAlign w:val="bottom"/>
          </w:tcPr>
          <w:p>
            <w:pPr>
              <w:spacing w:after="0"/>
              <w:rPr>
                <w:sz w:val="10"/>
                <w:szCs w:val="10"/>
                <w:color w:val="auto"/>
              </w:rPr>
            </w:pPr>
          </w:p>
        </w:tc>
        <w:tc>
          <w:tcPr>
            <w:tcW w:w="5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9"/>
              </w:rPr>
              <w:t>S/(000)</w:t>
            </w:r>
          </w:p>
        </w:tc>
        <w:tc>
          <w:tcPr>
            <w:tcW w:w="200" w:type="dxa"/>
            <w:vAlign w:val="bottom"/>
          </w:tcPr>
          <w:p>
            <w:pPr>
              <w:spacing w:after="0"/>
              <w:rPr>
                <w:sz w:val="10"/>
                <w:szCs w:val="10"/>
                <w:color w:val="auto"/>
              </w:rPr>
            </w:pPr>
          </w:p>
        </w:tc>
        <w:tc>
          <w:tcPr>
            <w:tcW w:w="6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00" w:type="dxa"/>
            <w:vAlign w:val="bottom"/>
          </w:tcPr>
          <w:p>
            <w:pPr>
              <w:spacing w:after="0"/>
              <w:rPr>
                <w:sz w:val="10"/>
                <w:szCs w:val="10"/>
                <w:color w:val="auto"/>
              </w:rPr>
            </w:pPr>
          </w:p>
        </w:tc>
        <w:tc>
          <w:tcPr>
            <w:tcW w:w="5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00" w:type="dxa"/>
            <w:vAlign w:val="bottom"/>
          </w:tcPr>
          <w:p>
            <w:pPr>
              <w:spacing w:after="0"/>
              <w:rPr>
                <w:sz w:val="10"/>
                <w:szCs w:val="10"/>
                <w:color w:val="auto"/>
              </w:rPr>
            </w:pPr>
          </w:p>
        </w:tc>
        <w:tc>
          <w:tcPr>
            <w:tcW w:w="5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00" w:type="dxa"/>
            <w:vAlign w:val="bottom"/>
          </w:tcPr>
          <w:p>
            <w:pPr>
              <w:spacing w:after="0"/>
              <w:rPr>
                <w:sz w:val="10"/>
                <w:szCs w:val="10"/>
                <w:color w:val="auto"/>
              </w:rPr>
            </w:pPr>
          </w:p>
        </w:tc>
      </w:tr>
      <w:tr>
        <w:trPr>
          <w:trHeight w:val="123"/>
        </w:trPr>
        <w:tc>
          <w:tcPr>
            <w:tcW w:w="2900" w:type="dxa"/>
            <w:vAlign w:val="bottom"/>
            <w:gridSpan w:val="2"/>
            <w:shd w:val="clear" w:color="auto" w:fill="CCEEFF"/>
          </w:tcPr>
          <w:p>
            <w:pPr>
              <w:spacing w:after="0" w:line="123" w:lineRule="exact"/>
              <w:rPr>
                <w:sz w:val="20"/>
                <w:szCs w:val="20"/>
                <w:color w:val="auto"/>
              </w:rPr>
            </w:pPr>
            <w:r>
              <w:rPr>
                <w:rFonts w:ascii="Arial" w:cs="Arial" w:eastAsia="Arial" w:hAnsi="Arial"/>
                <w:sz w:val="11"/>
                <w:szCs w:val="11"/>
                <w:color w:val="auto"/>
              </w:rPr>
              <w:t>Credicorp Holding Colombia S.A.S. and Subsidiaries (a)</w:t>
            </w:r>
          </w:p>
        </w:tc>
        <w:tc>
          <w:tcPr>
            <w:tcW w:w="720" w:type="dxa"/>
            <w:vAlign w:val="bottom"/>
            <w:gridSpan w:val="2"/>
            <w:shd w:val="clear" w:color="auto" w:fill="CCEEFF"/>
          </w:tcPr>
          <w:p>
            <w:pPr>
              <w:ind w:left="220"/>
              <w:spacing w:after="0" w:line="123" w:lineRule="exact"/>
              <w:rPr>
                <w:sz w:val="20"/>
                <w:szCs w:val="20"/>
                <w:color w:val="auto"/>
              </w:rPr>
            </w:pPr>
            <w:r>
              <w:rPr>
                <w:rFonts w:ascii="Arial" w:cs="Arial" w:eastAsia="Arial" w:hAnsi="Arial"/>
                <w:sz w:val="11"/>
                <w:szCs w:val="11"/>
                <w:color w:val="auto"/>
              </w:rPr>
              <w:t>100.00</w:t>
            </w:r>
          </w:p>
        </w:tc>
        <w:tc>
          <w:tcPr>
            <w:tcW w:w="88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100.00</w:t>
            </w:r>
          </w:p>
        </w:tc>
        <w:tc>
          <w:tcPr>
            <w:tcW w:w="5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2,771,905</w:t>
            </w:r>
          </w:p>
        </w:tc>
        <w:tc>
          <w:tcPr>
            <w:tcW w:w="88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3,400,683</w:t>
            </w: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2,159,820</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2,692,520</w:t>
            </w:r>
          </w:p>
        </w:tc>
        <w:tc>
          <w:tcPr>
            <w:tcW w:w="520" w:type="dxa"/>
            <w:vAlign w:val="bottom"/>
            <w:shd w:val="clear" w:color="auto" w:fill="CCEEFF"/>
          </w:tcPr>
          <w:p>
            <w:pPr>
              <w:ind w:left="140"/>
              <w:spacing w:after="0" w:line="123" w:lineRule="exact"/>
              <w:rPr>
                <w:sz w:val="20"/>
                <w:szCs w:val="20"/>
                <w:color w:val="auto"/>
              </w:rPr>
            </w:pPr>
            <w:r>
              <w:rPr>
                <w:rFonts w:ascii="Arial" w:cs="Arial" w:eastAsia="Arial" w:hAnsi="Arial"/>
                <w:sz w:val="11"/>
                <w:szCs w:val="11"/>
                <w:color w:val="auto"/>
                <w:w w:val="90"/>
              </w:rPr>
              <w:t>612,085</w:t>
            </w:r>
          </w:p>
        </w:tc>
        <w:tc>
          <w:tcPr>
            <w:tcW w:w="1080" w:type="dxa"/>
            <w:vAlign w:val="bottom"/>
            <w:gridSpan w:val="3"/>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708,163</w:t>
            </w:r>
          </w:p>
        </w:tc>
        <w:tc>
          <w:tcPr>
            <w:tcW w:w="7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(2,444)</w:t>
            </w:r>
          </w:p>
        </w:tc>
        <w:tc>
          <w:tcPr>
            <w:tcW w:w="5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5,224</w:t>
            </w:r>
          </w:p>
        </w:tc>
        <w:tc>
          <w:tcPr>
            <w:tcW w:w="100" w:type="dxa"/>
            <w:vAlign w:val="bottom"/>
            <w:shd w:val="clear" w:color="auto" w:fill="CCEEFF"/>
          </w:tcPr>
          <w:p>
            <w:pPr>
              <w:spacing w:after="0"/>
              <w:rPr>
                <w:sz w:val="10"/>
                <w:szCs w:val="10"/>
                <w:color w:val="auto"/>
              </w:rPr>
            </w:pPr>
          </w:p>
        </w:tc>
      </w:tr>
      <w:tr>
        <w:trPr>
          <w:trHeight w:val="123"/>
        </w:trPr>
        <w:tc>
          <w:tcPr>
            <w:tcW w:w="2900" w:type="dxa"/>
            <w:vAlign w:val="bottom"/>
            <w:gridSpan w:val="2"/>
          </w:tcPr>
          <w:p>
            <w:pPr>
              <w:spacing w:after="0" w:line="123" w:lineRule="exact"/>
              <w:rPr>
                <w:sz w:val="20"/>
                <w:szCs w:val="20"/>
                <w:color w:val="auto"/>
              </w:rPr>
            </w:pPr>
            <w:r>
              <w:rPr>
                <w:rFonts w:ascii="Arial" w:cs="Arial" w:eastAsia="Arial" w:hAnsi="Arial"/>
                <w:sz w:val="11"/>
                <w:szCs w:val="11"/>
                <w:color w:val="auto"/>
              </w:rPr>
              <w:t>Credicorp Capital Holding Chile and Subsidiaries (b)</w:t>
            </w:r>
          </w:p>
        </w:tc>
        <w:tc>
          <w:tcPr>
            <w:tcW w:w="720" w:type="dxa"/>
            <w:vAlign w:val="bottom"/>
            <w:gridSpan w:val="2"/>
          </w:tcPr>
          <w:p>
            <w:pPr>
              <w:ind w:left="220"/>
              <w:spacing w:after="0" w:line="123" w:lineRule="exact"/>
              <w:rPr>
                <w:sz w:val="20"/>
                <w:szCs w:val="20"/>
                <w:color w:val="auto"/>
              </w:rPr>
            </w:pPr>
            <w:r>
              <w:rPr>
                <w:rFonts w:ascii="Arial" w:cs="Arial" w:eastAsia="Arial" w:hAnsi="Arial"/>
                <w:sz w:val="11"/>
                <w:szCs w:val="11"/>
                <w:color w:val="auto"/>
              </w:rPr>
              <w:t>100.00</w:t>
            </w:r>
          </w:p>
        </w:tc>
        <w:tc>
          <w:tcPr>
            <w:tcW w:w="88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100.00</w:t>
            </w:r>
          </w:p>
        </w:tc>
        <w:tc>
          <w:tcPr>
            <w:tcW w:w="560" w:type="dxa"/>
            <w:vAlign w:val="bottom"/>
          </w:tcPr>
          <w:p>
            <w:pPr>
              <w:jc w:val="right"/>
              <w:spacing w:after="0" w:line="123" w:lineRule="exact"/>
              <w:rPr>
                <w:sz w:val="20"/>
                <w:szCs w:val="20"/>
                <w:color w:val="auto"/>
              </w:rPr>
            </w:pPr>
            <w:r>
              <w:rPr>
                <w:rFonts w:ascii="Arial" w:cs="Arial" w:eastAsia="Arial" w:hAnsi="Arial"/>
                <w:sz w:val="11"/>
                <w:szCs w:val="11"/>
                <w:color w:val="auto"/>
              </w:rPr>
              <w:t>1,094,288</w:t>
            </w:r>
          </w:p>
        </w:tc>
        <w:tc>
          <w:tcPr>
            <w:tcW w:w="8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1,161,991</w:t>
            </w:r>
          </w:p>
        </w:tc>
        <w:tc>
          <w:tcPr>
            <w:tcW w:w="180" w:type="dxa"/>
            <w:vAlign w:val="bottom"/>
          </w:tcPr>
          <w:p>
            <w:pPr>
              <w:spacing w:after="0"/>
              <w:rPr>
                <w:sz w:val="10"/>
                <w:szCs w:val="10"/>
                <w:color w:val="auto"/>
              </w:rPr>
            </w:pPr>
          </w:p>
        </w:tc>
        <w:tc>
          <w:tcPr>
            <w:tcW w:w="76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950,257</w:t>
            </w:r>
          </w:p>
        </w:tc>
        <w:tc>
          <w:tcPr>
            <w:tcW w:w="88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1,017,072</w:t>
            </w:r>
          </w:p>
        </w:tc>
        <w:tc>
          <w:tcPr>
            <w:tcW w:w="520" w:type="dxa"/>
            <w:vAlign w:val="bottom"/>
          </w:tcPr>
          <w:p>
            <w:pPr>
              <w:ind w:left="140"/>
              <w:spacing w:after="0" w:line="123" w:lineRule="exact"/>
              <w:rPr>
                <w:sz w:val="20"/>
                <w:szCs w:val="20"/>
                <w:color w:val="auto"/>
              </w:rPr>
            </w:pPr>
            <w:r>
              <w:rPr>
                <w:rFonts w:ascii="Arial" w:cs="Arial" w:eastAsia="Arial" w:hAnsi="Arial"/>
                <w:sz w:val="11"/>
                <w:szCs w:val="11"/>
                <w:color w:val="auto"/>
                <w:w w:val="90"/>
              </w:rPr>
              <w:t>144,031</w:t>
            </w:r>
          </w:p>
        </w:tc>
        <w:tc>
          <w:tcPr>
            <w:tcW w:w="1080" w:type="dxa"/>
            <w:vAlign w:val="bottom"/>
            <w:gridSpan w:val="3"/>
          </w:tcPr>
          <w:p>
            <w:pPr>
              <w:jc w:val="right"/>
              <w:ind w:right="200"/>
              <w:spacing w:after="0" w:line="123" w:lineRule="exact"/>
              <w:rPr>
                <w:sz w:val="20"/>
                <w:szCs w:val="20"/>
                <w:color w:val="auto"/>
              </w:rPr>
            </w:pPr>
            <w:r>
              <w:rPr>
                <w:rFonts w:ascii="Arial" w:cs="Arial" w:eastAsia="Arial" w:hAnsi="Arial"/>
                <w:sz w:val="11"/>
                <w:szCs w:val="11"/>
                <w:color w:val="auto"/>
              </w:rPr>
              <w:t>144,919</w:t>
            </w:r>
          </w:p>
        </w:tc>
        <w:tc>
          <w:tcPr>
            <w:tcW w:w="72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(5,436)</w:t>
            </w:r>
          </w:p>
        </w:tc>
        <w:tc>
          <w:tcPr>
            <w:tcW w:w="500" w:type="dxa"/>
            <w:vAlign w:val="bottom"/>
          </w:tcPr>
          <w:p>
            <w:pPr>
              <w:jc w:val="right"/>
              <w:spacing w:after="0" w:line="123" w:lineRule="exact"/>
              <w:rPr>
                <w:sz w:val="20"/>
                <w:szCs w:val="20"/>
                <w:color w:val="auto"/>
              </w:rPr>
            </w:pPr>
            <w:r>
              <w:rPr>
                <w:rFonts w:ascii="Arial" w:cs="Arial" w:eastAsia="Arial" w:hAnsi="Arial"/>
                <w:sz w:val="11"/>
                <w:szCs w:val="11"/>
                <w:color w:val="auto"/>
              </w:rPr>
              <w:t>2,628</w:t>
            </w:r>
          </w:p>
        </w:tc>
        <w:tc>
          <w:tcPr>
            <w:tcW w:w="100" w:type="dxa"/>
            <w:vAlign w:val="bottom"/>
          </w:tcPr>
          <w:p>
            <w:pPr>
              <w:spacing w:after="0"/>
              <w:rPr>
                <w:sz w:val="10"/>
                <w:szCs w:val="10"/>
                <w:color w:val="auto"/>
              </w:rPr>
            </w:pPr>
          </w:p>
        </w:tc>
      </w:tr>
      <w:tr>
        <w:trPr>
          <w:trHeight w:val="123"/>
        </w:trPr>
        <w:tc>
          <w:tcPr>
            <w:tcW w:w="2900" w:type="dxa"/>
            <w:vAlign w:val="bottom"/>
            <w:gridSpan w:val="2"/>
            <w:shd w:val="clear" w:color="auto" w:fill="CCEEFF"/>
          </w:tcPr>
          <w:p>
            <w:pPr>
              <w:spacing w:after="0" w:line="123" w:lineRule="exact"/>
              <w:rPr>
                <w:sz w:val="20"/>
                <w:szCs w:val="20"/>
                <w:color w:val="auto"/>
              </w:rPr>
            </w:pPr>
            <w:r>
              <w:rPr>
                <w:rFonts w:ascii="Arial" w:cs="Arial" w:eastAsia="Arial" w:hAnsi="Arial"/>
                <w:sz w:val="11"/>
                <w:szCs w:val="11"/>
                <w:color w:val="auto"/>
              </w:rPr>
              <w:t>Credicorp Capital Holding Perú S.A. and Subsidiaries (c)</w:t>
            </w:r>
          </w:p>
        </w:tc>
        <w:tc>
          <w:tcPr>
            <w:tcW w:w="720" w:type="dxa"/>
            <w:vAlign w:val="bottom"/>
            <w:gridSpan w:val="2"/>
            <w:shd w:val="clear" w:color="auto" w:fill="CCEEFF"/>
          </w:tcPr>
          <w:p>
            <w:pPr>
              <w:ind w:left="220"/>
              <w:spacing w:after="0" w:line="123" w:lineRule="exact"/>
              <w:rPr>
                <w:sz w:val="20"/>
                <w:szCs w:val="20"/>
                <w:color w:val="auto"/>
              </w:rPr>
            </w:pPr>
            <w:r>
              <w:rPr>
                <w:rFonts w:ascii="Arial" w:cs="Arial" w:eastAsia="Arial" w:hAnsi="Arial"/>
                <w:sz w:val="11"/>
                <w:szCs w:val="11"/>
                <w:color w:val="auto"/>
              </w:rPr>
              <w:t>100.00</w:t>
            </w:r>
          </w:p>
        </w:tc>
        <w:tc>
          <w:tcPr>
            <w:tcW w:w="88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100.00</w:t>
            </w:r>
          </w:p>
        </w:tc>
        <w:tc>
          <w:tcPr>
            <w:tcW w:w="5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241,950</w:t>
            </w:r>
          </w:p>
        </w:tc>
        <w:tc>
          <w:tcPr>
            <w:tcW w:w="1060" w:type="dxa"/>
            <w:vAlign w:val="bottom"/>
            <w:gridSpan w:val="3"/>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228,421</w:t>
            </w:r>
          </w:p>
        </w:tc>
        <w:tc>
          <w:tcPr>
            <w:tcW w:w="76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125,208</w:t>
            </w:r>
          </w:p>
        </w:tc>
        <w:tc>
          <w:tcPr>
            <w:tcW w:w="88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114,913</w:t>
            </w:r>
          </w:p>
        </w:tc>
        <w:tc>
          <w:tcPr>
            <w:tcW w:w="520" w:type="dxa"/>
            <w:vAlign w:val="bottom"/>
            <w:shd w:val="clear" w:color="auto" w:fill="CCEEFF"/>
          </w:tcPr>
          <w:p>
            <w:pPr>
              <w:ind w:left="140"/>
              <w:spacing w:after="0" w:line="123" w:lineRule="exact"/>
              <w:rPr>
                <w:sz w:val="20"/>
                <w:szCs w:val="20"/>
                <w:color w:val="auto"/>
              </w:rPr>
            </w:pPr>
            <w:r>
              <w:rPr>
                <w:rFonts w:ascii="Arial" w:cs="Arial" w:eastAsia="Arial" w:hAnsi="Arial"/>
                <w:sz w:val="11"/>
                <w:szCs w:val="11"/>
                <w:color w:val="auto"/>
                <w:w w:val="90"/>
              </w:rPr>
              <w:t>116,742</w:t>
            </w:r>
          </w:p>
        </w:tc>
        <w:tc>
          <w:tcPr>
            <w:tcW w:w="1080" w:type="dxa"/>
            <w:vAlign w:val="bottom"/>
            <w:gridSpan w:val="3"/>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113,508</w:t>
            </w:r>
          </w:p>
        </w:tc>
        <w:tc>
          <w:tcPr>
            <w:tcW w:w="5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2,038</w:t>
            </w: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2,871</w:t>
            </w:r>
          </w:p>
        </w:tc>
        <w:tc>
          <w:tcPr>
            <w:tcW w:w="100" w:type="dxa"/>
            <w:vAlign w:val="bottom"/>
            <w:shd w:val="clear" w:color="auto" w:fill="CCEEFF"/>
          </w:tcPr>
          <w:p>
            <w:pPr>
              <w:spacing w:after="0"/>
              <w:rPr>
                <w:sz w:val="10"/>
                <w:szCs w:val="10"/>
                <w:color w:val="auto"/>
              </w:rPr>
            </w:pPr>
          </w:p>
        </w:tc>
      </w:tr>
    </w:tbl>
    <w:p>
      <w:pPr>
        <w:spacing w:after="0" w:line="381" w:lineRule="exact"/>
        <w:rPr>
          <w:sz w:val="20"/>
          <w:szCs w:val="20"/>
          <w:color w:val="auto"/>
        </w:rPr>
      </w:pPr>
    </w:p>
    <w:p>
      <w:pPr>
        <w:ind w:left="582" w:right="100" w:hanging="348"/>
        <w:spacing w:after="0" w:line="271" w:lineRule="auto"/>
        <w:tabs>
          <w:tab w:leader="none" w:pos="582" w:val="left"/>
        </w:tabs>
        <w:numPr>
          <w:ilvl w:val="1"/>
          <w:numId w:val="13"/>
        </w:numPr>
        <w:rPr>
          <w:rFonts w:ascii="Arial" w:cs="Arial" w:eastAsia="Arial" w:hAnsi="Arial"/>
          <w:sz w:val="16"/>
          <w:szCs w:val="16"/>
          <w:color w:val="auto"/>
        </w:rPr>
      </w:pPr>
      <w:r>
        <w:rPr>
          <w:rFonts w:ascii="Arial" w:cs="Arial" w:eastAsia="Arial" w:hAnsi="Arial"/>
          <w:sz w:val="16"/>
          <w:szCs w:val="16"/>
          <w:color w:val="auto"/>
        </w:rPr>
        <w:t>Credicorp Holding Colombia was incorporated in Colombia on March 5, 2012, and its main purpose is the administration, management and increase of its equity through the promotion of industrial and commercial activity, through investment in other companies or legal persons. Its main subsidiary is Credicorp Capital Colombia S.A.</w:t>
      </w:r>
    </w:p>
    <w:p>
      <w:pPr>
        <w:spacing w:after="0" w:line="162" w:lineRule="exact"/>
        <w:rPr>
          <w:rFonts w:ascii="Arial" w:cs="Arial" w:eastAsia="Arial" w:hAnsi="Arial"/>
          <w:sz w:val="16"/>
          <w:szCs w:val="16"/>
          <w:color w:val="auto"/>
        </w:rPr>
      </w:pPr>
    </w:p>
    <w:p>
      <w:pPr>
        <w:ind w:left="582" w:right="460" w:hanging="348"/>
        <w:spacing w:after="0" w:line="287" w:lineRule="auto"/>
        <w:tabs>
          <w:tab w:leader="none" w:pos="582" w:val="left"/>
        </w:tabs>
        <w:numPr>
          <w:ilvl w:val="1"/>
          <w:numId w:val="13"/>
        </w:numPr>
        <w:rPr>
          <w:rFonts w:ascii="Arial" w:cs="Arial" w:eastAsia="Arial" w:hAnsi="Arial"/>
          <w:sz w:val="16"/>
          <w:szCs w:val="16"/>
          <w:color w:val="auto"/>
        </w:rPr>
      </w:pPr>
      <w:r>
        <w:rPr>
          <w:rFonts w:ascii="Arial" w:cs="Arial" w:eastAsia="Arial" w:hAnsi="Arial"/>
          <w:sz w:val="16"/>
          <w:szCs w:val="16"/>
          <w:color w:val="auto"/>
        </w:rPr>
        <w:t>Credicorp Holding Chile was incorporated in Chile on July 18, 2012, and aims to invest for long-term profitable purposes, in corporeal goods (movable and immovable property) and incorporeal, located in Chile or abroad. Its main subsidiary is Credicorp Capital Chile S.A.</w:t>
      </w:r>
    </w:p>
    <w:p>
      <w:pPr>
        <w:spacing w:after="0" w:line="149" w:lineRule="exact"/>
        <w:rPr>
          <w:rFonts w:ascii="Arial" w:cs="Arial" w:eastAsia="Arial" w:hAnsi="Arial"/>
          <w:sz w:val="16"/>
          <w:szCs w:val="16"/>
          <w:color w:val="auto"/>
        </w:rPr>
      </w:pPr>
    </w:p>
    <w:p>
      <w:pPr>
        <w:ind w:left="582" w:right="480" w:hanging="348"/>
        <w:spacing w:after="0" w:line="271" w:lineRule="auto"/>
        <w:tabs>
          <w:tab w:leader="none" w:pos="582" w:val="left"/>
        </w:tabs>
        <w:numPr>
          <w:ilvl w:val="1"/>
          <w:numId w:val="13"/>
        </w:numPr>
        <w:rPr>
          <w:rFonts w:ascii="Arial" w:cs="Arial" w:eastAsia="Arial" w:hAnsi="Arial"/>
          <w:sz w:val="16"/>
          <w:szCs w:val="16"/>
          <w:color w:val="auto"/>
        </w:rPr>
      </w:pPr>
      <w:r>
        <w:rPr>
          <w:rFonts w:ascii="Arial" w:cs="Arial" w:eastAsia="Arial" w:hAnsi="Arial"/>
          <w:sz w:val="16"/>
          <w:szCs w:val="16"/>
          <w:color w:val="auto"/>
        </w:rPr>
        <w:t>Credicorp Capital Holding Perú S.A. was incorporated in Peru on October 30, 2014, and aims to be the Peruvian holding of investment banking. Its main subsidiary Credicorp Capital Perú S.A.A.; which has as its main activity the function of holding shares, participations and transferable securities in general, providing advisory services in corporate and financial matters, and investment in real estate.</w:t>
      </w:r>
    </w:p>
    <w:p>
      <w:pPr>
        <w:spacing w:after="0" w:line="162" w:lineRule="exact"/>
        <w:rPr>
          <w:rFonts w:ascii="Arial" w:cs="Arial" w:eastAsia="Arial" w:hAnsi="Arial"/>
          <w:sz w:val="16"/>
          <w:szCs w:val="16"/>
          <w:color w:val="auto"/>
        </w:rPr>
      </w:pPr>
    </w:p>
    <w:p>
      <w:pPr>
        <w:ind w:left="242" w:right="80" w:hanging="242"/>
        <w:spacing w:after="0" w:line="287" w:lineRule="auto"/>
        <w:tabs>
          <w:tab w:leader="none" w:pos="242" w:val="left"/>
        </w:tabs>
        <w:numPr>
          <w:ilvl w:val="0"/>
          <w:numId w:val="14"/>
        </w:numPr>
        <w:rPr>
          <w:rFonts w:ascii="Arial" w:cs="Arial" w:eastAsia="Arial" w:hAnsi="Arial"/>
          <w:sz w:val="16"/>
          <w:szCs w:val="16"/>
          <w:color w:val="auto"/>
        </w:rPr>
      </w:pPr>
      <w:r>
        <w:rPr>
          <w:rFonts w:ascii="Arial" w:cs="Arial" w:eastAsia="Arial" w:hAnsi="Arial"/>
          <w:sz w:val="16"/>
          <w:szCs w:val="16"/>
          <w:color w:val="auto"/>
        </w:rPr>
        <w:t>CCR Inc. was incorporated in 2000, its main activity is to manage loans granted to BCP by foreign financial entities, See Note 17(a)(vi). These loans are collateralized by transactions performed by BCP.</w:t>
      </w:r>
    </w:p>
    <w:p>
      <w:pPr>
        <w:spacing w:after="0" w:line="346" w:lineRule="exact"/>
        <w:rPr>
          <w:rFonts w:ascii="Arial" w:cs="Arial" w:eastAsia="Arial" w:hAnsi="Arial"/>
          <w:sz w:val="16"/>
          <w:szCs w:val="16"/>
          <w:color w:val="auto"/>
        </w:rPr>
      </w:pPr>
    </w:p>
    <w:p>
      <w:pPr>
        <w:ind w:left="5542" w:hanging="93"/>
        <w:spacing w:after="0"/>
        <w:tabs>
          <w:tab w:leader="none" w:pos="5542" w:val="left"/>
        </w:tabs>
        <w:numPr>
          <w:ilvl w:val="2"/>
          <w:numId w:val="14"/>
        </w:numPr>
        <w:rPr>
          <w:rFonts w:ascii="Arial" w:cs="Arial" w:eastAsia="Arial" w:hAnsi="Arial"/>
          <w:sz w:val="16"/>
          <w:szCs w:val="16"/>
          <w:color w:val="auto"/>
        </w:rPr>
      </w:pPr>
      <w:r>
        <w:rPr>
          <w:rFonts w:ascii="Arial" w:cs="Arial" w:eastAsia="Arial" w:hAnsi="Arial"/>
          <w:sz w:val="16"/>
          <w:szCs w:val="16"/>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39" w:right="339" w:bottom="1440" w:gutter="0" w:footer="0" w:header="0"/>
        </w:sectPr>
      </w:pPr>
    </w:p>
    <w:bookmarkStart w:id="23" w:name="page24"/>
    <w:bookmarkEnd w:id="23"/>
    <w:p>
      <w:pPr>
        <w:ind w:left="302" w:hanging="302"/>
        <w:spacing w:after="0"/>
        <w:tabs>
          <w:tab w:leader="none" w:pos="302"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International Financial Reporting Standards issued but not yet effective -</w:t>
      </w:r>
    </w:p>
    <w:p>
      <w:pPr>
        <w:spacing w:after="0" w:line="209" w:lineRule="exact"/>
        <w:rPr>
          <w:rFonts w:ascii="Arial" w:cs="Arial" w:eastAsia="Arial" w:hAnsi="Arial"/>
          <w:sz w:val="16"/>
          <w:szCs w:val="16"/>
          <w:color w:val="auto"/>
        </w:rPr>
      </w:pPr>
    </w:p>
    <w:p>
      <w:pPr>
        <w:ind w:left="302"/>
        <w:spacing w:after="0"/>
        <w:rPr>
          <w:rFonts w:ascii="Arial" w:cs="Arial" w:eastAsia="Arial" w:hAnsi="Arial"/>
          <w:sz w:val="16"/>
          <w:szCs w:val="16"/>
          <w:color w:val="auto"/>
        </w:rPr>
      </w:pPr>
      <w:r>
        <w:rPr>
          <w:rFonts w:ascii="Arial" w:cs="Arial" w:eastAsia="Arial" w:hAnsi="Arial"/>
          <w:sz w:val="16"/>
          <w:szCs w:val="16"/>
          <w:color w:val="auto"/>
        </w:rPr>
        <w:t>The Group decided not to early adopt the following standards and interpretations that were issued but are not effective as of March 31, 2020:</w:t>
      </w:r>
    </w:p>
    <w:p>
      <w:pPr>
        <w:spacing w:after="0" w:line="209" w:lineRule="exact"/>
        <w:rPr>
          <w:rFonts w:ascii="Arial" w:cs="Arial" w:eastAsia="Arial" w:hAnsi="Arial"/>
          <w:sz w:val="16"/>
          <w:szCs w:val="16"/>
          <w:color w:val="auto"/>
        </w:rPr>
      </w:pPr>
    </w:p>
    <w:p>
      <w:pPr>
        <w:ind w:left="702" w:hanging="407"/>
        <w:spacing w:after="0"/>
        <w:tabs>
          <w:tab w:leader="none" w:pos="702" w:val="left"/>
        </w:tabs>
        <w:numPr>
          <w:ilvl w:val="1"/>
          <w:numId w:val="15"/>
        </w:numPr>
        <w:rPr>
          <w:rFonts w:ascii="Arial" w:cs="Arial" w:eastAsia="Arial" w:hAnsi="Arial"/>
          <w:sz w:val="16"/>
          <w:szCs w:val="16"/>
          <w:color w:val="auto"/>
        </w:rPr>
      </w:pPr>
      <w:r>
        <w:rPr>
          <w:rFonts w:ascii="Arial" w:cs="Arial" w:eastAsia="Arial" w:hAnsi="Arial"/>
          <w:sz w:val="16"/>
          <w:szCs w:val="16"/>
          <w:color w:val="auto"/>
        </w:rPr>
        <w:t>IFRS 17 “Insurance Contracts” -</w:t>
      </w:r>
    </w:p>
    <w:p>
      <w:pPr>
        <w:spacing w:after="0" w:line="209" w:lineRule="exact"/>
        <w:rPr>
          <w:rFonts w:ascii="Arial" w:cs="Arial" w:eastAsia="Arial" w:hAnsi="Arial"/>
          <w:sz w:val="16"/>
          <w:szCs w:val="16"/>
          <w:color w:val="auto"/>
        </w:rPr>
      </w:pPr>
    </w:p>
    <w:p>
      <w:pPr>
        <w:ind w:left="682" w:right="360"/>
        <w:spacing w:after="0" w:line="287" w:lineRule="auto"/>
        <w:rPr>
          <w:rFonts w:ascii="Arial" w:cs="Arial" w:eastAsia="Arial" w:hAnsi="Arial"/>
          <w:sz w:val="16"/>
          <w:szCs w:val="16"/>
          <w:color w:val="auto"/>
        </w:rPr>
      </w:pPr>
      <w:r>
        <w:rPr>
          <w:rFonts w:ascii="Arial" w:cs="Arial" w:eastAsia="Arial" w:hAnsi="Arial"/>
          <w:sz w:val="16"/>
          <w:szCs w:val="16"/>
          <w:color w:val="auto"/>
        </w:rPr>
        <w:t>IFRS 17 was issued in May 2017 in replacement of IFRS 4 “Insurance Contracts”. This standard requires a current measurement model, where estimate are remeasured in each reporting period. The contracts are measured using the building blocks of:</w:t>
      </w:r>
    </w:p>
    <w:p>
      <w:pPr>
        <w:spacing w:after="0" w:line="149" w:lineRule="exact"/>
        <w:rPr>
          <w:rFonts w:ascii="Arial" w:cs="Arial" w:eastAsia="Arial" w:hAnsi="Arial"/>
          <w:sz w:val="16"/>
          <w:szCs w:val="16"/>
          <w:color w:val="auto"/>
        </w:rPr>
      </w:pPr>
    </w:p>
    <w:p>
      <w:pPr>
        <w:ind w:left="962" w:hanging="286"/>
        <w:spacing w:after="0"/>
        <w:tabs>
          <w:tab w:leader="none" w:pos="962" w:val="left"/>
        </w:tabs>
        <w:numPr>
          <w:ilvl w:val="2"/>
          <w:numId w:val="15"/>
        </w:numPr>
        <w:rPr>
          <w:rFonts w:ascii="Arial" w:cs="Arial" w:eastAsia="Arial" w:hAnsi="Arial"/>
          <w:sz w:val="16"/>
          <w:szCs w:val="16"/>
          <w:color w:val="auto"/>
        </w:rPr>
      </w:pPr>
      <w:r>
        <w:rPr>
          <w:rFonts w:ascii="Arial" w:cs="Arial" w:eastAsia="Arial" w:hAnsi="Arial"/>
          <w:sz w:val="16"/>
          <w:szCs w:val="16"/>
          <w:color w:val="auto"/>
        </w:rPr>
        <w:t>Discounted- weighted of probability cash flows</w:t>
      </w:r>
    </w:p>
    <w:p>
      <w:pPr>
        <w:spacing w:after="0" w:line="23" w:lineRule="exact"/>
        <w:rPr>
          <w:rFonts w:ascii="Arial" w:cs="Arial" w:eastAsia="Arial" w:hAnsi="Arial"/>
          <w:sz w:val="16"/>
          <w:szCs w:val="16"/>
          <w:color w:val="auto"/>
        </w:rPr>
      </w:pPr>
    </w:p>
    <w:p>
      <w:pPr>
        <w:ind w:left="962" w:hanging="286"/>
        <w:spacing w:after="0"/>
        <w:tabs>
          <w:tab w:leader="none" w:pos="962" w:val="left"/>
        </w:tabs>
        <w:numPr>
          <w:ilvl w:val="2"/>
          <w:numId w:val="15"/>
        </w:numPr>
        <w:rPr>
          <w:rFonts w:ascii="Arial" w:cs="Arial" w:eastAsia="Arial" w:hAnsi="Arial"/>
          <w:sz w:val="16"/>
          <w:szCs w:val="16"/>
          <w:color w:val="auto"/>
        </w:rPr>
      </w:pPr>
      <w:r>
        <w:rPr>
          <w:rFonts w:ascii="Arial" w:cs="Arial" w:eastAsia="Arial" w:hAnsi="Arial"/>
          <w:sz w:val="16"/>
          <w:szCs w:val="16"/>
          <w:color w:val="auto"/>
        </w:rPr>
        <w:t>An explicit risk adjustment, and</w:t>
      </w:r>
    </w:p>
    <w:p>
      <w:pPr>
        <w:spacing w:after="0" w:line="12" w:lineRule="exact"/>
        <w:rPr>
          <w:rFonts w:ascii="Arial" w:cs="Arial" w:eastAsia="Arial" w:hAnsi="Arial"/>
          <w:sz w:val="16"/>
          <w:szCs w:val="16"/>
          <w:color w:val="auto"/>
        </w:rPr>
      </w:pPr>
    </w:p>
    <w:p>
      <w:pPr>
        <w:ind w:left="962" w:hanging="286"/>
        <w:spacing w:after="0"/>
        <w:tabs>
          <w:tab w:leader="none" w:pos="962" w:val="left"/>
        </w:tabs>
        <w:numPr>
          <w:ilvl w:val="2"/>
          <w:numId w:val="15"/>
        </w:numPr>
        <w:rPr>
          <w:rFonts w:ascii="Arial" w:cs="Arial" w:eastAsia="Arial" w:hAnsi="Arial"/>
          <w:sz w:val="16"/>
          <w:szCs w:val="16"/>
          <w:color w:val="auto"/>
        </w:rPr>
      </w:pPr>
      <w:r>
        <w:rPr>
          <w:rFonts w:ascii="Arial" w:cs="Arial" w:eastAsia="Arial" w:hAnsi="Arial"/>
          <w:sz w:val="16"/>
          <w:szCs w:val="16"/>
          <w:color w:val="auto"/>
        </w:rPr>
        <w:t>A contractual service margin which represents the unearned profit of the contract recognized as income over the coverage.</w:t>
      </w:r>
    </w:p>
    <w:p>
      <w:pPr>
        <w:spacing w:after="0" w:line="198" w:lineRule="exact"/>
        <w:rPr>
          <w:sz w:val="20"/>
          <w:szCs w:val="20"/>
          <w:color w:val="auto"/>
        </w:rPr>
      </w:pPr>
    </w:p>
    <w:p>
      <w:pPr>
        <w:ind w:left="682" w:right="60"/>
        <w:spacing w:after="0" w:line="266" w:lineRule="auto"/>
        <w:rPr>
          <w:sz w:val="20"/>
          <w:szCs w:val="20"/>
          <w:color w:val="auto"/>
        </w:rPr>
      </w:pPr>
      <w:r>
        <w:rPr>
          <w:rFonts w:ascii="Arial" w:cs="Arial" w:eastAsia="Arial" w:hAnsi="Arial"/>
          <w:sz w:val="16"/>
          <w:szCs w:val="16"/>
          <w:color w:val="auto"/>
        </w:rPr>
        <w:t>IFRS 17 applies to all types of insurance contracts (life, non-life and reinsurance insurance), regardless of the type of entities that issue them, as well as certain guarantees and financial instruments with certain discretionary participation characteristics. The general objective of IFRS 17 is to provide an accounting model that is more useful and uniform for insurance entities. Unlike IFRS 4, which relies heavily on the application of existing / local accounting policies, IFRS 17 provides a comprehensive model for insurance contracts, which covers all relevant accounting aspects.</w:t>
      </w:r>
    </w:p>
    <w:p>
      <w:pPr>
        <w:spacing w:after="0" w:line="167" w:lineRule="exact"/>
        <w:rPr>
          <w:sz w:val="20"/>
          <w:szCs w:val="20"/>
          <w:color w:val="auto"/>
        </w:rPr>
      </w:pPr>
    </w:p>
    <w:p>
      <w:pPr>
        <w:ind w:left="682"/>
        <w:spacing w:after="0"/>
        <w:rPr>
          <w:sz w:val="20"/>
          <w:szCs w:val="20"/>
          <w:color w:val="auto"/>
        </w:rPr>
      </w:pPr>
      <w:r>
        <w:rPr>
          <w:rFonts w:ascii="Arial" w:cs="Arial" w:eastAsia="Arial" w:hAnsi="Arial"/>
          <w:sz w:val="15"/>
          <w:szCs w:val="15"/>
          <w:color w:val="auto"/>
        </w:rPr>
        <w:t>The standard permits a choice between recognizing the changes in discount rates, either in the statement of income or directly in other comprehensive income.</w:t>
      </w:r>
    </w:p>
    <w:p>
      <w:pPr>
        <w:spacing w:after="0" w:line="35" w:lineRule="exact"/>
        <w:rPr>
          <w:sz w:val="20"/>
          <w:szCs w:val="20"/>
          <w:color w:val="auto"/>
        </w:rPr>
      </w:pPr>
    </w:p>
    <w:p>
      <w:pPr>
        <w:ind w:left="682"/>
        <w:spacing w:after="0"/>
        <w:rPr>
          <w:sz w:val="20"/>
          <w:szCs w:val="20"/>
          <w:color w:val="auto"/>
        </w:rPr>
      </w:pPr>
      <w:r>
        <w:rPr>
          <w:rFonts w:ascii="Arial" w:cs="Arial" w:eastAsia="Arial" w:hAnsi="Arial"/>
          <w:sz w:val="16"/>
          <w:szCs w:val="16"/>
          <w:color w:val="auto"/>
        </w:rPr>
        <w:t>The choice probably reflects how insurers record their financial assets according to IFRS 9.</w:t>
      </w:r>
    </w:p>
    <w:p>
      <w:pPr>
        <w:spacing w:after="0" w:line="198" w:lineRule="exact"/>
        <w:rPr>
          <w:sz w:val="20"/>
          <w:szCs w:val="20"/>
          <w:color w:val="auto"/>
        </w:rPr>
      </w:pPr>
    </w:p>
    <w:p>
      <w:pPr>
        <w:ind w:left="682"/>
        <w:spacing w:after="0" w:line="287" w:lineRule="auto"/>
        <w:rPr>
          <w:sz w:val="20"/>
          <w:szCs w:val="20"/>
          <w:color w:val="auto"/>
        </w:rPr>
      </w:pPr>
      <w:r>
        <w:rPr>
          <w:rFonts w:ascii="Arial" w:cs="Arial" w:eastAsia="Arial" w:hAnsi="Arial"/>
          <w:sz w:val="16"/>
          <w:szCs w:val="16"/>
          <w:color w:val="auto"/>
        </w:rPr>
        <w:t>An optional, simplified premium allocation approach is permitted for the liability for the remaining coverage for short duration contracts, which are often written by non-life insurers.</w:t>
      </w:r>
    </w:p>
    <w:p>
      <w:pPr>
        <w:spacing w:after="0" w:line="150" w:lineRule="exact"/>
        <w:rPr>
          <w:sz w:val="20"/>
          <w:szCs w:val="20"/>
          <w:color w:val="auto"/>
        </w:rPr>
      </w:pPr>
    </w:p>
    <w:p>
      <w:pPr>
        <w:ind w:left="682" w:right="60"/>
        <w:spacing w:after="0" w:line="266" w:lineRule="auto"/>
        <w:rPr>
          <w:sz w:val="20"/>
          <w:szCs w:val="20"/>
          <w:color w:val="auto"/>
        </w:rPr>
      </w:pPr>
      <w:r>
        <w:rPr>
          <w:rFonts w:ascii="Arial" w:cs="Arial" w:eastAsia="Arial" w:hAnsi="Arial"/>
          <w:sz w:val="16"/>
          <w:szCs w:val="16"/>
          <w:color w:val="auto"/>
        </w:rPr>
        <w:t>There is a modification of the general measurement model denominated “Variable commissions method” for certain contracts of insurers with life insurance in which the insured share the yields from the underlying elements. Upon applying the variable commissions’ method, the entity’s participation in changes in fair value of the underlying elements is included in the contractual service margin. Therefore, it is probable that the results of the insurers that use this model will be less volatile than under the general model.</w:t>
      </w:r>
    </w:p>
    <w:p>
      <w:pPr>
        <w:spacing w:after="0" w:line="167" w:lineRule="exact"/>
        <w:rPr>
          <w:sz w:val="20"/>
          <w:szCs w:val="20"/>
          <w:color w:val="auto"/>
        </w:rPr>
      </w:pPr>
    </w:p>
    <w:p>
      <w:pPr>
        <w:ind w:left="682" w:right="480"/>
        <w:spacing w:after="0" w:line="287" w:lineRule="auto"/>
        <w:rPr>
          <w:sz w:val="20"/>
          <w:szCs w:val="20"/>
          <w:color w:val="auto"/>
        </w:rPr>
      </w:pPr>
      <w:r>
        <w:rPr>
          <w:rFonts w:ascii="Arial" w:cs="Arial" w:eastAsia="Arial" w:hAnsi="Arial"/>
          <w:sz w:val="16"/>
          <w:szCs w:val="16"/>
          <w:color w:val="auto"/>
        </w:rPr>
        <w:t>The new rules will affect the financial statements and key performance indicators of all entities that issue insurance contracts or investment contracts with discretionary participation features.</w:t>
      </w:r>
    </w:p>
    <w:p>
      <w:pPr>
        <w:spacing w:after="0" w:line="150" w:lineRule="exact"/>
        <w:rPr>
          <w:sz w:val="20"/>
          <w:szCs w:val="20"/>
          <w:color w:val="auto"/>
        </w:rPr>
      </w:pPr>
    </w:p>
    <w:p>
      <w:pPr>
        <w:ind w:left="682" w:right="540"/>
        <w:spacing w:after="0" w:line="287" w:lineRule="auto"/>
        <w:rPr>
          <w:sz w:val="20"/>
          <w:szCs w:val="20"/>
          <w:color w:val="auto"/>
        </w:rPr>
      </w:pPr>
      <w:r>
        <w:rPr>
          <w:rFonts w:ascii="Arial" w:cs="Arial" w:eastAsia="Arial" w:hAnsi="Arial"/>
          <w:sz w:val="16"/>
          <w:szCs w:val="16"/>
          <w:color w:val="auto"/>
        </w:rPr>
        <w:t>Also, its implementation will modify the recognition, measurement, presentation and disclosure of insurance contracts having a significant impact on the underlying valuation models, systems, processes, internal controls and other fundamental aspects of the insurance business.</w:t>
      </w:r>
    </w:p>
    <w:p>
      <w:pPr>
        <w:spacing w:after="0" w:line="150" w:lineRule="exact"/>
        <w:rPr>
          <w:sz w:val="20"/>
          <w:szCs w:val="20"/>
          <w:color w:val="auto"/>
        </w:rPr>
      </w:pPr>
    </w:p>
    <w:p>
      <w:pPr>
        <w:ind w:left="682" w:right="160"/>
        <w:spacing w:after="0" w:line="287" w:lineRule="auto"/>
        <w:rPr>
          <w:sz w:val="20"/>
          <w:szCs w:val="20"/>
          <w:color w:val="auto"/>
        </w:rPr>
      </w:pPr>
      <w:r>
        <w:rPr>
          <w:rFonts w:ascii="Arial" w:cs="Arial" w:eastAsia="Arial" w:hAnsi="Arial"/>
          <w:sz w:val="16"/>
          <w:szCs w:val="16"/>
          <w:color w:val="auto"/>
        </w:rPr>
        <w:t>The Group has established governance structures related to the IFRS 17 project with the Audit Committee as the highest instance. As required by the standard, currently, the entities that make up the Group are in the process of determining the impact of their application.</w:t>
      </w:r>
    </w:p>
    <w:p>
      <w:pPr>
        <w:spacing w:after="0" w:line="150" w:lineRule="exact"/>
        <w:rPr>
          <w:sz w:val="20"/>
          <w:szCs w:val="20"/>
          <w:color w:val="auto"/>
        </w:rPr>
      </w:pPr>
    </w:p>
    <w:p>
      <w:pPr>
        <w:ind w:left="682" w:right="80"/>
        <w:spacing w:after="0" w:line="287" w:lineRule="auto"/>
        <w:rPr>
          <w:sz w:val="20"/>
          <w:szCs w:val="20"/>
          <w:color w:val="auto"/>
        </w:rPr>
      </w:pPr>
      <w:r>
        <w:rPr>
          <w:rFonts w:ascii="Arial" w:cs="Arial" w:eastAsia="Arial" w:hAnsi="Arial"/>
          <w:sz w:val="16"/>
          <w:szCs w:val="16"/>
          <w:color w:val="auto"/>
        </w:rPr>
        <w:t>Initially, IFRS 17 would apply to annual periods beginning on or after January 1, 2021; however, on November 14, 2018, the IASB agreed to defer the effective date of application to annual periods beginning on or after January 1, 2022.</w:t>
      </w:r>
    </w:p>
    <w:p>
      <w:pPr>
        <w:spacing w:after="0" w:line="34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39" w:right="339" w:bottom="1440" w:gutter="0" w:footer="0" w:header="0"/>
        </w:sectPr>
      </w:pPr>
    </w:p>
    <w:bookmarkStart w:id="24" w:name="page25"/>
    <w:bookmarkEnd w:id="24"/>
    <w:p>
      <w:pPr>
        <w:ind w:left="289" w:right="40" w:hanging="289"/>
        <w:spacing w:after="0" w:line="287" w:lineRule="auto"/>
        <w:tabs>
          <w:tab w:leader="none" w:pos="2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Amendments to IFRS 10 “Consolidated Financial Statements” and IAS 28 “Investments in associates and joint ventures”: Sale or contribution of assets between an investor and its associate or joint venture –</w:t>
      </w:r>
    </w:p>
    <w:p>
      <w:pPr>
        <w:spacing w:after="0" w:line="149" w:lineRule="exact"/>
        <w:rPr>
          <w:rFonts w:ascii="Arial" w:cs="Arial" w:eastAsia="Arial" w:hAnsi="Arial"/>
          <w:sz w:val="16"/>
          <w:szCs w:val="16"/>
          <w:color w:val="auto"/>
        </w:rPr>
      </w:pPr>
    </w:p>
    <w:p>
      <w:pPr>
        <w:ind w:left="309"/>
        <w:spacing w:after="0"/>
        <w:rPr>
          <w:rFonts w:ascii="Arial" w:cs="Arial" w:eastAsia="Arial" w:hAnsi="Arial"/>
          <w:sz w:val="16"/>
          <w:szCs w:val="16"/>
          <w:color w:val="auto"/>
        </w:rPr>
      </w:pPr>
      <w:r>
        <w:rPr>
          <w:rFonts w:ascii="Arial" w:cs="Arial" w:eastAsia="Arial" w:hAnsi="Arial"/>
          <w:sz w:val="16"/>
          <w:szCs w:val="16"/>
          <w:color w:val="auto"/>
        </w:rPr>
        <w:t>The IASB made limited scope amendments to IFRS 10 and IAS 28.</w:t>
      </w:r>
    </w:p>
    <w:p>
      <w:pPr>
        <w:spacing w:after="0" w:line="209" w:lineRule="exact"/>
        <w:rPr>
          <w:rFonts w:ascii="Arial" w:cs="Arial" w:eastAsia="Arial" w:hAnsi="Arial"/>
          <w:sz w:val="16"/>
          <w:szCs w:val="16"/>
          <w:color w:val="auto"/>
        </w:rPr>
      </w:pPr>
    </w:p>
    <w:p>
      <w:pPr>
        <w:ind w:left="289" w:firstLine="9"/>
        <w:spacing w:after="0" w:line="271" w:lineRule="auto"/>
        <w:rPr>
          <w:rFonts w:ascii="Arial" w:cs="Arial" w:eastAsia="Arial" w:hAnsi="Arial"/>
          <w:sz w:val="16"/>
          <w:szCs w:val="16"/>
          <w:color w:val="auto"/>
        </w:rPr>
      </w:pPr>
      <w:r>
        <w:rPr>
          <w:rFonts w:ascii="Arial" w:cs="Arial" w:eastAsia="Arial" w:hAnsi="Arial"/>
          <w:sz w:val="16"/>
          <w:szCs w:val="16"/>
          <w:color w:val="auto"/>
        </w:rPr>
        <w:t>The amendments clarify the accounting treatment of the sales or contribution of assets between an investor and his associates or joint venture. These amendments confirm that the accounting treatment depends on whether the non-monetary assets sold or contributed to an associate or joint venture constitutes “a business” (as defined in IFRS 3 “Business combinations”).</w:t>
      </w:r>
    </w:p>
    <w:p>
      <w:pPr>
        <w:spacing w:after="0" w:line="162" w:lineRule="exact"/>
        <w:rPr>
          <w:rFonts w:ascii="Arial" w:cs="Arial" w:eastAsia="Arial" w:hAnsi="Arial"/>
          <w:sz w:val="16"/>
          <w:szCs w:val="16"/>
          <w:color w:val="auto"/>
        </w:rPr>
      </w:pPr>
    </w:p>
    <w:p>
      <w:pPr>
        <w:jc w:val="both"/>
        <w:ind w:left="289" w:right="40" w:firstLine="9"/>
        <w:spacing w:after="0" w:line="271" w:lineRule="auto"/>
        <w:rPr>
          <w:rFonts w:ascii="Arial" w:cs="Arial" w:eastAsia="Arial" w:hAnsi="Arial"/>
          <w:sz w:val="16"/>
          <w:szCs w:val="16"/>
          <w:color w:val="auto"/>
        </w:rPr>
      </w:pPr>
      <w:r>
        <w:rPr>
          <w:rFonts w:ascii="Arial" w:cs="Arial" w:eastAsia="Arial" w:hAnsi="Arial"/>
          <w:sz w:val="16"/>
          <w:szCs w:val="16"/>
          <w:color w:val="auto"/>
        </w:rPr>
        <w:t>If the non-monetary assets constitute a business, the investor will recognize the total gain or loss on the sale or contribution of assets. If the assets do not comply with the definition of “business”, the investor will recognize the gain or loss only in proportion to the investor’s investment in the associate or joint venture. The amendments will apply prospectively.</w:t>
      </w:r>
    </w:p>
    <w:p>
      <w:pPr>
        <w:spacing w:after="0" w:line="162" w:lineRule="exact"/>
        <w:rPr>
          <w:rFonts w:ascii="Arial" w:cs="Arial" w:eastAsia="Arial" w:hAnsi="Arial"/>
          <w:sz w:val="16"/>
          <w:szCs w:val="16"/>
          <w:color w:val="auto"/>
        </w:rPr>
      </w:pPr>
    </w:p>
    <w:p>
      <w:pPr>
        <w:ind w:left="309"/>
        <w:spacing w:after="0"/>
        <w:rPr>
          <w:rFonts w:ascii="Arial" w:cs="Arial" w:eastAsia="Arial" w:hAnsi="Arial"/>
          <w:sz w:val="16"/>
          <w:szCs w:val="16"/>
          <w:color w:val="auto"/>
        </w:rPr>
      </w:pPr>
      <w:r>
        <w:rPr>
          <w:rFonts w:ascii="Arial" w:cs="Arial" w:eastAsia="Arial" w:hAnsi="Arial"/>
          <w:sz w:val="16"/>
          <w:szCs w:val="16"/>
          <w:color w:val="auto"/>
        </w:rPr>
        <w:t>The IASB decided to defer the application date of this amendment until it has completed its research project on the equity method.</w:t>
      </w:r>
    </w:p>
    <w:p>
      <w:pPr>
        <w:spacing w:after="0" w:line="209" w:lineRule="exact"/>
        <w:rPr>
          <w:sz w:val="20"/>
          <w:szCs w:val="20"/>
          <w:color w:val="auto"/>
        </w:rPr>
      </w:pPr>
    </w:p>
    <w:p>
      <w:pPr>
        <w:ind w:left="9" w:right="360"/>
        <w:spacing w:after="0" w:line="287" w:lineRule="auto"/>
        <w:rPr>
          <w:sz w:val="20"/>
          <w:szCs w:val="20"/>
          <w:color w:val="auto"/>
        </w:rPr>
      </w:pPr>
      <w:r>
        <w:rPr>
          <w:rFonts w:ascii="Arial" w:cs="Arial" w:eastAsia="Arial" w:hAnsi="Arial"/>
          <w:sz w:val="16"/>
          <w:szCs w:val="16"/>
          <w:color w:val="auto"/>
        </w:rPr>
        <w:t>The Group is in the process of evaluating the impact of the application of these standards, and to date, it considers that there will be no significant impact on the consolidated financial statements, except for IFRS 17.</w:t>
      </w:r>
    </w:p>
    <w:p>
      <w:pPr>
        <w:spacing w:after="0" w:line="150" w:lineRule="exact"/>
        <w:rPr>
          <w:sz w:val="20"/>
          <w:szCs w:val="20"/>
          <w:color w:val="auto"/>
        </w:rPr>
      </w:pPr>
    </w:p>
    <w:p>
      <w:pPr>
        <w:ind w:left="9" w:right="100"/>
        <w:spacing w:after="0" w:line="287" w:lineRule="auto"/>
        <w:rPr>
          <w:sz w:val="20"/>
          <w:szCs w:val="20"/>
          <w:color w:val="auto"/>
        </w:rPr>
      </w:pPr>
      <w:r>
        <w:rPr>
          <w:rFonts w:ascii="Arial" w:cs="Arial" w:eastAsia="Arial" w:hAnsi="Arial"/>
          <w:sz w:val="16"/>
          <w:szCs w:val="16"/>
          <w:color w:val="auto"/>
        </w:rPr>
        <w:t>Likewise, there are no other standards or amendments to standards which have not yet become effective and are expected to have a significant impact on the Group, either in the current or future periods, as well as on expected future transactions.</w:t>
      </w:r>
    </w:p>
    <w:p>
      <w:pPr>
        <w:spacing w:after="0" w:line="346" w:lineRule="exact"/>
        <w:rPr>
          <w:sz w:val="20"/>
          <w:szCs w:val="20"/>
          <w:color w:val="auto"/>
        </w:rPr>
      </w:pPr>
    </w:p>
    <w:p>
      <w:pPr>
        <w:jc w:val="center"/>
        <w:ind w:right="371"/>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15875</wp:posOffset>
            </wp:positionV>
            <wp:extent cx="714438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849"/>
          </w:cols>
          <w:pgMar w:left="711" w:top="83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2"/>
        </w:trPr>
        <w:tc>
          <w:tcPr>
            <w:tcW w:w="8420" w:type="dxa"/>
            <w:vAlign w:val="bottom"/>
            <w:gridSpan w:val="2"/>
          </w:tcPr>
          <w:p>
            <w:pPr>
              <w:spacing w:after="0"/>
              <w:rPr>
                <w:sz w:val="20"/>
                <w:szCs w:val="20"/>
                <w:color w:val="auto"/>
              </w:rPr>
            </w:pPr>
            <w:r>
              <w:rPr>
                <w:rFonts w:ascii="Arial" w:cs="Arial" w:eastAsia="Arial" w:hAnsi="Arial"/>
                <w:sz w:val="16"/>
                <w:szCs w:val="16"/>
                <w:b w:val="1"/>
                <w:bCs w:val="1"/>
                <w:color w:val="auto"/>
              </w:rPr>
              <w:t>4   CASH AND DUE FROM BANKS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93"/>
        </w:trPr>
        <w:tc>
          <w:tcPr>
            <w:tcW w:w="8420" w:type="dxa"/>
            <w:vAlign w:val="bottom"/>
            <w:gridSpan w:val="2"/>
          </w:tcPr>
          <w:p>
            <w:pPr>
              <w:ind w:left="300"/>
              <w:spacing w:after="0"/>
              <w:rPr>
                <w:sz w:val="20"/>
                <w:szCs w:val="20"/>
                <w:color w:val="auto"/>
              </w:rPr>
            </w:pPr>
            <w:r>
              <w:rPr>
                <w:rFonts w:ascii="Arial" w:cs="Arial" w:eastAsia="Arial" w:hAnsi="Arial"/>
                <w:sz w:val="16"/>
                <w:szCs w:val="16"/>
                <w:color w:val="auto"/>
              </w:rPr>
              <w:t>a)  The composition of the item is presented below:</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58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860" w:type="dxa"/>
            <w:vAlign w:val="bottom"/>
            <w:gridSpan w:val="5"/>
          </w:tcPr>
          <w:p>
            <w:pPr>
              <w:ind w:left="40"/>
              <w:spacing w:after="0"/>
              <w:rPr>
                <w:sz w:val="20"/>
                <w:szCs w:val="20"/>
                <w:color w:val="auto"/>
              </w:rPr>
            </w:pPr>
            <w:r>
              <w:rPr>
                <w:rFonts w:ascii="Arial" w:cs="Arial" w:eastAsia="Arial" w:hAnsi="Arial"/>
                <w:sz w:val="16"/>
                <w:szCs w:val="16"/>
                <w:b w:val="1"/>
                <w:bCs w:val="1"/>
                <w:color w:val="auto"/>
                <w:w w:val="99"/>
              </w:rPr>
              <w:t>As of March 31,   As of December 31,</w:t>
            </w:r>
          </w:p>
        </w:tc>
      </w:tr>
      <w:tr>
        <w:trPr>
          <w:trHeight w:val="212"/>
        </w:trPr>
        <w:tc>
          <w:tcPr>
            <w:tcW w:w="5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8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140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0"/>
        </w:trPr>
        <w:tc>
          <w:tcPr>
            <w:tcW w:w="58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1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100" w:type="dxa"/>
            <w:vAlign w:val="bottom"/>
            <w:gridSpan w:val="2"/>
          </w:tcPr>
          <w:p>
            <w:pPr>
              <w:spacing w:after="0"/>
              <w:rPr>
                <w:sz w:val="16"/>
                <w:szCs w:val="16"/>
                <w:color w:val="auto"/>
              </w:rPr>
            </w:pPr>
          </w:p>
        </w:tc>
      </w:tr>
      <w:tr>
        <w:trPr>
          <w:trHeight w:val="197"/>
        </w:trPr>
        <w:tc>
          <w:tcPr>
            <w:tcW w:w="580" w:type="dxa"/>
            <w:vAlign w:val="bottom"/>
          </w:tcPr>
          <w:p>
            <w:pPr>
              <w:spacing w:after="0"/>
              <w:rPr>
                <w:sz w:val="17"/>
                <w:szCs w:val="17"/>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Cash and clearing (b)</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5,249,377</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4,917,674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7"/>
        </w:trPr>
        <w:tc>
          <w:tcPr>
            <w:tcW w:w="580" w:type="dxa"/>
            <w:vAlign w:val="bottom"/>
          </w:tcPr>
          <w:p>
            <w:pPr>
              <w:spacing w:after="0"/>
              <w:rPr>
                <w:sz w:val="17"/>
                <w:szCs w:val="17"/>
                <w:color w:val="auto"/>
              </w:rPr>
            </w:pPr>
          </w:p>
        </w:tc>
        <w:tc>
          <w:tcPr>
            <w:tcW w:w="7840" w:type="dxa"/>
            <w:vAlign w:val="bottom"/>
          </w:tcPr>
          <w:p>
            <w:pPr>
              <w:spacing w:after="0"/>
              <w:rPr>
                <w:sz w:val="20"/>
                <w:szCs w:val="20"/>
                <w:color w:val="auto"/>
              </w:rPr>
            </w:pPr>
            <w:r>
              <w:rPr>
                <w:rFonts w:ascii="Arial" w:cs="Arial" w:eastAsia="Arial" w:hAnsi="Arial"/>
                <w:sz w:val="16"/>
                <w:szCs w:val="16"/>
                <w:color w:val="auto"/>
              </w:rPr>
              <w:t>Deposits with Central Reserve Bank of Peru (BCRP) (b)</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16,626,007</w:t>
            </w: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18,367,651</w:t>
            </w:r>
          </w:p>
        </w:tc>
        <w:tc>
          <w:tcPr>
            <w:tcW w:w="80" w:type="dxa"/>
            <w:vAlign w:val="bottom"/>
          </w:tcPr>
          <w:p>
            <w:pPr>
              <w:spacing w:after="0"/>
              <w:rPr>
                <w:sz w:val="17"/>
                <w:szCs w:val="17"/>
                <w:color w:val="auto"/>
              </w:rPr>
            </w:pPr>
          </w:p>
        </w:tc>
      </w:tr>
      <w:tr>
        <w:trPr>
          <w:trHeight w:val="197"/>
        </w:trPr>
        <w:tc>
          <w:tcPr>
            <w:tcW w:w="580" w:type="dxa"/>
            <w:vAlign w:val="bottom"/>
          </w:tcPr>
          <w:p>
            <w:pPr>
              <w:spacing w:after="0"/>
              <w:rPr>
                <w:sz w:val="17"/>
                <w:szCs w:val="17"/>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Deposits with Central Bank of Bolivia</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927,759</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646,865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7"/>
        </w:trPr>
        <w:tc>
          <w:tcPr>
            <w:tcW w:w="580" w:type="dxa"/>
            <w:vAlign w:val="bottom"/>
          </w:tcPr>
          <w:p>
            <w:pPr>
              <w:spacing w:after="0"/>
              <w:rPr>
                <w:sz w:val="17"/>
                <w:szCs w:val="17"/>
                <w:color w:val="auto"/>
              </w:rPr>
            </w:pPr>
          </w:p>
        </w:tc>
        <w:tc>
          <w:tcPr>
            <w:tcW w:w="7840" w:type="dxa"/>
            <w:vAlign w:val="bottom"/>
          </w:tcPr>
          <w:p>
            <w:pPr>
              <w:spacing w:after="0"/>
              <w:rPr>
                <w:sz w:val="20"/>
                <w:szCs w:val="20"/>
                <w:color w:val="auto"/>
              </w:rPr>
            </w:pPr>
            <w:r>
              <w:rPr>
                <w:rFonts w:ascii="Arial" w:cs="Arial" w:eastAsia="Arial" w:hAnsi="Arial"/>
                <w:sz w:val="16"/>
                <w:szCs w:val="16"/>
                <w:color w:val="auto"/>
              </w:rPr>
              <w:t>Deposits with foreign banks (c)</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2,598,983</w:t>
            </w: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1,408,117</w:t>
            </w:r>
          </w:p>
        </w:tc>
        <w:tc>
          <w:tcPr>
            <w:tcW w:w="80" w:type="dxa"/>
            <w:vAlign w:val="bottom"/>
          </w:tcPr>
          <w:p>
            <w:pPr>
              <w:spacing w:after="0"/>
              <w:rPr>
                <w:sz w:val="17"/>
                <w:szCs w:val="17"/>
                <w:color w:val="auto"/>
              </w:rPr>
            </w:pPr>
          </w:p>
        </w:tc>
      </w:tr>
      <w:tr>
        <w:trPr>
          <w:trHeight w:val="197"/>
        </w:trPr>
        <w:tc>
          <w:tcPr>
            <w:tcW w:w="580" w:type="dxa"/>
            <w:vAlign w:val="bottom"/>
          </w:tcPr>
          <w:p>
            <w:pPr>
              <w:spacing w:after="0"/>
              <w:rPr>
                <w:sz w:val="17"/>
                <w:szCs w:val="17"/>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Deposits with local banks (c)</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526,810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481,412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7"/>
        </w:trPr>
        <w:tc>
          <w:tcPr>
            <w:tcW w:w="580" w:type="dxa"/>
            <w:vAlign w:val="bottom"/>
          </w:tcPr>
          <w:p>
            <w:pPr>
              <w:spacing w:after="0"/>
              <w:rPr>
                <w:sz w:val="17"/>
                <w:szCs w:val="17"/>
                <w:color w:val="auto"/>
              </w:rPr>
            </w:pPr>
          </w:p>
        </w:tc>
        <w:tc>
          <w:tcPr>
            <w:tcW w:w="7840" w:type="dxa"/>
            <w:vAlign w:val="bottom"/>
          </w:tcPr>
          <w:p>
            <w:pPr>
              <w:spacing w:after="0"/>
              <w:rPr>
                <w:sz w:val="20"/>
                <w:szCs w:val="20"/>
                <w:color w:val="auto"/>
              </w:rPr>
            </w:pPr>
            <w:r>
              <w:rPr>
                <w:rFonts w:ascii="Arial" w:cs="Arial" w:eastAsia="Arial" w:hAnsi="Arial"/>
                <w:sz w:val="16"/>
                <w:szCs w:val="16"/>
                <w:color w:val="auto"/>
              </w:rPr>
              <w:t>Interbank funds</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376,289</w:t>
            </w:r>
          </w:p>
        </w:tc>
        <w:tc>
          <w:tcPr>
            <w:tcW w:w="1400" w:type="dxa"/>
            <w:vAlign w:val="bottom"/>
          </w:tcPr>
          <w:p>
            <w:pPr>
              <w:jc w:val="right"/>
              <w:spacing w:after="0"/>
              <w:rPr>
                <w:sz w:val="20"/>
                <w:szCs w:val="20"/>
                <w:color w:val="auto"/>
              </w:rPr>
            </w:pPr>
            <w:r>
              <w:rPr>
                <w:rFonts w:ascii="Arial" w:cs="Arial" w:eastAsia="Arial" w:hAnsi="Arial"/>
                <w:sz w:val="16"/>
                <w:szCs w:val="16"/>
                <w:color w:val="auto"/>
              </w:rPr>
              <w:t>137,722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58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Accrued interest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6,969</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14,601</w:t>
            </w:r>
          </w:p>
        </w:tc>
        <w:tc>
          <w:tcPr>
            <w:tcW w:w="80" w:type="dxa"/>
            <w:vAlign w:val="bottom"/>
            <w:shd w:val="clear" w:color="auto" w:fill="CCEEFF"/>
          </w:tcPr>
          <w:p>
            <w:pPr>
              <w:spacing w:after="0"/>
              <w:rPr>
                <w:sz w:val="18"/>
                <w:szCs w:val="18"/>
                <w:color w:val="auto"/>
              </w:rPr>
            </w:pPr>
          </w:p>
        </w:tc>
      </w:tr>
      <w:tr>
        <w:trPr>
          <w:trHeight w:val="189"/>
        </w:trPr>
        <w:tc>
          <w:tcPr>
            <w:tcW w:w="580" w:type="dxa"/>
            <w:vAlign w:val="bottom"/>
          </w:tcPr>
          <w:p>
            <w:pPr>
              <w:spacing w:after="0"/>
              <w:rPr>
                <w:sz w:val="16"/>
                <w:szCs w:val="16"/>
                <w:color w:val="auto"/>
              </w:rPr>
            </w:pPr>
          </w:p>
        </w:tc>
        <w:tc>
          <w:tcPr>
            <w:tcW w:w="7840" w:type="dxa"/>
            <w:vAlign w:val="bottom"/>
          </w:tcPr>
          <w:p>
            <w:pPr>
              <w:spacing w:after="0"/>
              <w:rPr>
                <w:sz w:val="20"/>
                <w:szCs w:val="20"/>
                <w:color w:val="auto"/>
              </w:rPr>
            </w:pPr>
            <w:r>
              <w:rPr>
                <w:rFonts w:ascii="Arial" w:cs="Arial" w:eastAsia="Arial" w:hAnsi="Arial"/>
                <w:sz w:val="16"/>
                <w:szCs w:val="16"/>
                <w:color w:val="auto"/>
              </w:rPr>
              <w:t>Total cash and cash equivalents</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26,312,194</w:t>
            </w:r>
          </w:p>
        </w:tc>
        <w:tc>
          <w:tcPr>
            <w:tcW w:w="180" w:type="dxa"/>
            <w:vAlign w:val="bottom"/>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25,974,042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58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Restricted funds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13,592</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12,720</w:t>
            </w:r>
          </w:p>
        </w:tc>
        <w:tc>
          <w:tcPr>
            <w:tcW w:w="80" w:type="dxa"/>
            <w:vAlign w:val="bottom"/>
            <w:shd w:val="clear" w:color="auto" w:fill="CCEEFF"/>
          </w:tcPr>
          <w:p>
            <w:pPr>
              <w:spacing w:after="0"/>
              <w:rPr>
                <w:sz w:val="18"/>
                <w:szCs w:val="18"/>
                <w:color w:val="auto"/>
              </w:rPr>
            </w:pPr>
          </w:p>
        </w:tc>
      </w:tr>
      <w:tr>
        <w:trPr>
          <w:trHeight w:val="201"/>
        </w:trPr>
        <w:tc>
          <w:tcPr>
            <w:tcW w:w="580" w:type="dxa"/>
            <w:vAlign w:val="bottom"/>
          </w:tcPr>
          <w:p>
            <w:pPr>
              <w:spacing w:after="0"/>
              <w:rPr>
                <w:sz w:val="17"/>
                <w:szCs w:val="17"/>
                <w:color w:val="auto"/>
              </w:rPr>
            </w:pPr>
          </w:p>
        </w:tc>
        <w:tc>
          <w:tcPr>
            <w:tcW w:w="7840" w:type="dxa"/>
            <w:vAlign w:val="bottom"/>
          </w:tcPr>
          <w:p>
            <w:pPr>
              <w:spacing w:after="0"/>
              <w:rPr>
                <w:sz w:val="20"/>
                <w:szCs w:val="20"/>
                <w:color w:val="auto"/>
              </w:rPr>
            </w:pPr>
            <w:r>
              <w:rPr>
                <w:rFonts w:ascii="Arial" w:cs="Arial" w:eastAsia="Arial" w:hAnsi="Arial"/>
                <w:sz w:val="16"/>
                <w:szCs w:val="16"/>
                <w:b w:val="1"/>
                <w:bCs w:val="1"/>
                <w:color w:val="auto"/>
              </w:rPr>
              <w:t>Total cash</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26,325,786</w:t>
            </w:r>
          </w:p>
        </w:tc>
        <w:tc>
          <w:tcPr>
            <w:tcW w:w="18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25,986,762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Cash and cash equivalents presented in the interim condensed consolidated statement of cash flows exclude restricted funds.</w:t>
      </w:r>
    </w:p>
    <w:p>
      <w:pPr>
        <w:spacing w:after="0" w:line="209" w:lineRule="exact"/>
        <w:rPr>
          <w:sz w:val="20"/>
          <w:szCs w:val="20"/>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Cash and clearing and deposits with Central Reserve Bank of Peru -</w:t>
      </w:r>
    </w:p>
    <w:p>
      <w:pPr>
        <w:spacing w:after="0" w:line="209" w:lineRule="exact"/>
        <w:rPr>
          <w:rFonts w:ascii="Arial" w:cs="Arial" w:eastAsia="Arial" w:hAnsi="Arial"/>
          <w:sz w:val="16"/>
          <w:szCs w:val="16"/>
          <w:color w:val="auto"/>
        </w:rPr>
      </w:pPr>
    </w:p>
    <w:p>
      <w:pPr>
        <w:ind w:left="580" w:right="300"/>
        <w:spacing w:after="0" w:line="287" w:lineRule="auto"/>
        <w:rPr>
          <w:rFonts w:ascii="Arial" w:cs="Arial" w:eastAsia="Arial" w:hAnsi="Arial"/>
          <w:sz w:val="16"/>
          <w:szCs w:val="16"/>
          <w:color w:val="auto"/>
        </w:rPr>
      </w:pPr>
      <w:r>
        <w:rPr>
          <w:rFonts w:ascii="Arial" w:cs="Arial" w:eastAsia="Arial" w:hAnsi="Arial"/>
          <w:sz w:val="16"/>
          <w:szCs w:val="16"/>
          <w:color w:val="auto"/>
        </w:rPr>
        <w:t>These accounts mainly include the legal cash requirements that Subsidiaries of Credicorp, incorporated in Peru, must keep to be able to honor their obligations with the public. The composition of these funds is as follows:</w:t>
      </w:r>
    </w:p>
    <w:p>
      <w:pPr>
        <w:sectPr>
          <w:pgSz w:w="11900" w:h="16838" w:orient="portrait"/>
          <w:cols w:equalWidth="0" w:num="1">
            <w:col w:w="11280"/>
          </w:cols>
          <w:pgMar w:left="320" w:top="83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Legal cash requirements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-105410</wp:posOffset>
            </wp:positionV>
            <wp:extent cx="6785610" cy="125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85610" cy="125095"/>
                    </a:xfrm>
                    <a:prstGeom prst="rect">
                      <a:avLst/>
                    </a:prstGeom>
                    <a:noFill/>
                  </pic:spPr>
                </pic:pic>
              </a:graphicData>
            </a:graphic>
          </wp:anchor>
        </w:drawing>
      </w:r>
    </w:p>
    <w:p>
      <w:pPr>
        <w:spacing w:after="0" w:line="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Deposits with Central Reserve Bank of Peru</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Cash in vaults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-115570</wp:posOffset>
            </wp:positionV>
            <wp:extent cx="6785610" cy="132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85610" cy="13271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6"/>
          <w:szCs w:val="16"/>
          <w:b w:val="1"/>
          <w:bCs w:val="1"/>
          <w:color w:val="auto"/>
        </w:rPr>
        <w:t>Total legal cash requirements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16"/>
          <w:szCs w:val="16"/>
          <w:b w:val="1"/>
          <w:bCs w:val="1"/>
          <w:color w:val="auto"/>
        </w:rPr>
        <w:t>As of March 31,</w:t>
      </w:r>
      <w:r>
        <w:rPr>
          <w:sz w:val="20"/>
          <w:szCs w:val="20"/>
          <w:color w:val="auto"/>
        </w:rPr>
        <w:tab/>
      </w:r>
      <w:r>
        <w:rPr>
          <w:rFonts w:ascii="Arial" w:cs="Arial" w:eastAsia="Arial" w:hAnsi="Arial"/>
          <w:sz w:val="14"/>
          <w:szCs w:val="14"/>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18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140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7"/>
                <w:szCs w:val="17"/>
                <w:color w:val="auto"/>
              </w:rPr>
            </w:pPr>
          </w:p>
        </w:tc>
      </w:tr>
      <w:tr>
        <w:trPr>
          <w:trHeight w:val="204"/>
        </w:trPr>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18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0" w:type="dxa"/>
            <w:vAlign w:val="bottom"/>
          </w:tcPr>
          <w:p>
            <w:pPr>
              <w:spacing w:after="0"/>
              <w:rPr>
                <w:sz w:val="17"/>
                <w:szCs w:val="17"/>
                <w:color w:val="auto"/>
              </w:rPr>
            </w:pPr>
          </w:p>
        </w:tc>
      </w:tr>
      <w:tr>
        <w:trPr>
          <w:trHeight w:val="377"/>
        </w:trPr>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9,989,397</w:t>
            </w: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13,727,222</w:t>
            </w:r>
          </w:p>
        </w:tc>
      </w:tr>
      <w:tr>
        <w:trPr>
          <w:trHeight w:val="209"/>
        </w:trPr>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4,462,793</w:t>
            </w:r>
          </w:p>
        </w:tc>
        <w:tc>
          <w:tcPr>
            <w:tcW w:w="1400" w:type="dxa"/>
            <w:vAlign w:val="bottom"/>
          </w:tcPr>
          <w:p>
            <w:pPr>
              <w:jc w:val="right"/>
              <w:spacing w:after="0"/>
              <w:rPr>
                <w:sz w:val="20"/>
                <w:szCs w:val="20"/>
                <w:color w:val="auto"/>
              </w:rPr>
            </w:pPr>
            <w:r>
              <w:rPr>
                <w:rFonts w:ascii="Arial" w:cs="Arial" w:eastAsia="Arial" w:hAnsi="Arial"/>
                <w:sz w:val="16"/>
                <w:szCs w:val="16"/>
                <w:color w:val="auto"/>
              </w:rPr>
              <w:t>4,132,347</w:t>
            </w:r>
          </w:p>
        </w:tc>
        <w:tc>
          <w:tcPr>
            <w:tcW w:w="20" w:type="dxa"/>
            <w:vAlign w:val="bottom"/>
          </w:tcPr>
          <w:p>
            <w:pPr>
              <w:spacing w:after="0"/>
              <w:rPr>
                <w:sz w:val="18"/>
                <w:szCs w:val="18"/>
                <w:color w:val="auto"/>
              </w:rPr>
            </w:pPr>
          </w:p>
        </w:tc>
      </w:tr>
      <w:tr>
        <w:trPr>
          <w:trHeight w:val="201"/>
        </w:trPr>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14,452,190</w:t>
            </w:r>
          </w:p>
        </w:tc>
        <w:tc>
          <w:tcPr>
            <w:tcW w:w="18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17,859,569</w:t>
            </w:r>
          </w:p>
        </w:tc>
        <w:tc>
          <w:tcPr>
            <w:tcW w:w="20" w:type="dxa"/>
            <w:vAlign w:val="bottom"/>
            <w:tcBorders>
              <w:bottom w:val="single" w:sz="8" w:color="auto"/>
            </w:tcBorders>
          </w:tcPr>
          <w:p>
            <w:pPr>
              <w:spacing w:after="0"/>
              <w:rPr>
                <w:sz w:val="17"/>
                <w:szCs w:val="17"/>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700" w:space="720"/>
            <w:col w:w="2860"/>
          </w:cols>
          <w:pgMar w:left="320" w:top="835" w:right="299" w:bottom="1440" w:gutter="0" w:footer="0" w:header="0"/>
          <w:type w:val="continuous"/>
        </w:sectPr>
      </w:pPr>
    </w:p>
    <w:tbl>
      <w:tblPr>
        <w:tblLayout w:type="fixed"/>
        <w:tblInd w:w="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434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920" w:type="dxa"/>
            <w:vAlign w:val="bottom"/>
            <w:gridSpan w:val="2"/>
          </w:tcPr>
          <w:p>
            <w:pPr>
              <w:ind w:left="580"/>
              <w:spacing w:after="0"/>
              <w:rPr>
                <w:sz w:val="20"/>
                <w:szCs w:val="20"/>
                <w:color w:val="auto"/>
              </w:rPr>
            </w:pPr>
            <w:r>
              <w:rPr>
                <w:rFonts w:ascii="Arial" w:cs="Arial" w:eastAsia="Arial" w:hAnsi="Arial"/>
                <w:sz w:val="16"/>
                <w:szCs w:val="16"/>
                <w:b w:val="1"/>
                <w:bCs w:val="1"/>
                <w:color w:val="auto"/>
              </w:rPr>
              <w:t>Additional funds</w:t>
            </w:r>
          </w:p>
        </w:tc>
        <w:tc>
          <w:tcPr>
            <w:tcW w:w="3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Overnight deposits with Central Reserve Bank of Peru (ii)</w:t>
            </w:r>
          </w:p>
        </w:tc>
        <w:tc>
          <w:tcPr>
            <w:tcW w:w="4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6,636,610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4,640,429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Cash in vaults of Bank and others</w:t>
            </w:r>
          </w:p>
        </w:tc>
        <w:tc>
          <w:tcPr>
            <w:tcW w:w="4860" w:type="dxa"/>
            <w:vAlign w:val="bottom"/>
            <w:gridSpan w:val="3"/>
          </w:tcPr>
          <w:p>
            <w:pPr>
              <w:jc w:val="right"/>
              <w:ind w:right="180"/>
              <w:spacing w:after="0"/>
              <w:rPr>
                <w:sz w:val="20"/>
                <w:szCs w:val="20"/>
                <w:color w:val="auto"/>
              </w:rPr>
            </w:pPr>
            <w:r>
              <w:rPr>
                <w:rFonts w:ascii="Arial" w:cs="Arial" w:eastAsia="Arial" w:hAnsi="Arial"/>
                <w:sz w:val="16"/>
                <w:szCs w:val="16"/>
                <w:color w:val="auto"/>
              </w:rPr>
              <w:t>786,584</w:t>
            </w:r>
          </w:p>
        </w:tc>
        <w:tc>
          <w:tcPr>
            <w:tcW w:w="1400" w:type="dxa"/>
            <w:vAlign w:val="bottom"/>
          </w:tcPr>
          <w:p>
            <w:pPr>
              <w:jc w:val="right"/>
              <w:spacing w:after="0"/>
              <w:rPr>
                <w:sz w:val="20"/>
                <w:szCs w:val="20"/>
                <w:color w:val="auto"/>
              </w:rPr>
            </w:pPr>
            <w:r>
              <w:rPr>
                <w:rFonts w:ascii="Arial" w:cs="Arial" w:eastAsia="Arial" w:hAnsi="Arial"/>
                <w:sz w:val="16"/>
                <w:szCs w:val="16"/>
                <w:color w:val="auto"/>
              </w:rPr>
              <w:t>785,327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additional funds</w:t>
            </w:r>
          </w:p>
        </w:tc>
        <w:tc>
          <w:tcPr>
            <w:tcW w:w="35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7,423,194</w:t>
            </w:r>
          </w:p>
        </w:tc>
        <w:tc>
          <w:tcPr>
            <w:tcW w:w="1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5,425,756</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8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350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21,875,384</w:t>
            </w:r>
          </w:p>
        </w:tc>
        <w:tc>
          <w:tcPr>
            <w:tcW w:w="18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23,285,325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500" w:type="dxa"/>
            <w:vAlign w:val="bottom"/>
            <w:vMerge w:val="restart"/>
          </w:tcPr>
          <w:p>
            <w:pPr>
              <w:jc w:val="right"/>
              <w:ind w:right="2538"/>
              <w:spacing w:after="0"/>
              <w:rPr>
                <w:sz w:val="20"/>
                <w:szCs w:val="20"/>
                <w:color w:val="auto"/>
              </w:rPr>
            </w:pPr>
            <w:r>
              <w:rPr>
                <w:rFonts w:ascii="Arial" w:cs="Arial" w:eastAsia="Arial" w:hAnsi="Arial"/>
                <w:sz w:val="16"/>
                <w:szCs w:val="16"/>
                <w:color w:val="auto"/>
              </w:rPr>
              <w:t>-20-</w:t>
            </w: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5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835" w:right="299" w:bottom="1440" w:gutter="0" w:footer="0" w:header="0"/>
          <w:type w:val="continuous"/>
        </w:sectPr>
      </w:pPr>
    </w:p>
    <w:bookmarkStart w:id="26" w:name="page27"/>
    <w:bookmarkEnd w:id="26"/>
    <w:p>
      <w:pPr>
        <w:ind w:left="407" w:right="20" w:hanging="235"/>
        <w:spacing w:after="0" w:line="271" w:lineRule="auto"/>
        <w:tabs>
          <w:tab w:leader="none" w:pos="407"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of March 31, 2020, cash and deposits subject to legal cash requirements in local and foreign currency are subject to an implicit rate of 5.01 percent and 35.42 percent, respectively, on the total balance of obligations subject to legal cash requirements, as required by the BCRP (5.01 percent and 35.06 percent, respectively, as of December 31, 2019).</w:t>
      </w:r>
    </w:p>
    <w:p>
      <w:pPr>
        <w:spacing w:after="0" w:line="163" w:lineRule="exact"/>
        <w:rPr>
          <w:sz w:val="20"/>
          <w:szCs w:val="20"/>
          <w:color w:val="auto"/>
        </w:rPr>
      </w:pPr>
    </w:p>
    <w:p>
      <w:pPr>
        <w:ind w:left="287"/>
        <w:spacing w:after="0"/>
        <w:rPr>
          <w:sz w:val="20"/>
          <w:szCs w:val="20"/>
          <w:color w:val="auto"/>
        </w:rPr>
      </w:pPr>
      <w:r>
        <w:rPr>
          <w:rFonts w:ascii="Arial" w:cs="Arial" w:eastAsia="Arial" w:hAnsi="Arial"/>
          <w:sz w:val="16"/>
          <w:szCs w:val="16"/>
          <w:color w:val="auto"/>
        </w:rPr>
        <w:t>In Management's opinion, the Group has complied with the calculation legal cash requirements established by current regulations.</w:t>
      </w:r>
    </w:p>
    <w:p>
      <w:pPr>
        <w:spacing w:after="0" w:line="209" w:lineRule="exact"/>
        <w:rPr>
          <w:sz w:val="20"/>
          <w:szCs w:val="20"/>
          <w:color w:val="auto"/>
        </w:rPr>
      </w:pPr>
    </w:p>
    <w:p>
      <w:pPr>
        <w:ind w:left="407" w:hanging="235"/>
        <w:spacing w:after="0" w:line="271" w:lineRule="auto"/>
        <w:tabs>
          <w:tab w:leader="none" w:pos="407"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March 31, 2020, the Group maintains three "overnight" deposits with the BCRP, of which are two denominated in soles for S/690.6 million and one in U.S Dollars for US$1,730.0 million, equivalent to S/5,946.0 million. At said date, the deposit in soles and deposits in U.S Dollars accrue interest at annual rates of 0.25 percent and 0.17 percent, respectively, and have maturities at 1 day.</w:t>
      </w:r>
    </w:p>
    <w:p>
      <w:pPr>
        <w:spacing w:after="0" w:line="163" w:lineRule="exact"/>
        <w:rPr>
          <w:sz w:val="20"/>
          <w:szCs w:val="20"/>
          <w:color w:val="auto"/>
        </w:rPr>
      </w:pPr>
    </w:p>
    <w:p>
      <w:pPr>
        <w:ind w:left="287" w:right="40"/>
        <w:spacing w:after="0" w:line="271" w:lineRule="auto"/>
        <w:rPr>
          <w:sz w:val="20"/>
          <w:szCs w:val="20"/>
          <w:color w:val="auto"/>
        </w:rPr>
      </w:pPr>
      <w:r>
        <w:rPr>
          <w:rFonts w:ascii="Arial" w:cs="Arial" w:eastAsia="Arial" w:hAnsi="Arial"/>
          <w:sz w:val="16"/>
          <w:szCs w:val="16"/>
          <w:color w:val="auto"/>
        </w:rPr>
        <w:t>As of December 31, 2019, the Group maintains three “overnight” deposits with the BCRP, which are one denominated in soles for S/360.0 million and two in U.S Dollars for US$1,291.6 million, equivalent to S/4,280.4 million. At said date, deposit in soles and deposits in U.S Dollars accrue interest at annual rates of 1.00 percent and 1.57 percent, respectively, and have maturities at 2 days.</w:t>
      </w:r>
    </w:p>
    <w:p>
      <w:pPr>
        <w:spacing w:after="0" w:line="163" w:lineRule="exact"/>
        <w:rPr>
          <w:sz w:val="20"/>
          <w:szCs w:val="20"/>
          <w:color w:val="auto"/>
        </w:rPr>
      </w:pPr>
    </w:p>
    <w:p>
      <w:pPr>
        <w:ind w:left="287" w:hanging="287"/>
        <w:spacing w:after="0"/>
        <w:tabs>
          <w:tab w:leader="none" w:pos="287"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Deposits with local and foreign banks -</w:t>
      </w:r>
    </w:p>
    <w:p>
      <w:pPr>
        <w:spacing w:after="0" w:line="209" w:lineRule="exact"/>
        <w:rPr>
          <w:sz w:val="20"/>
          <w:szCs w:val="20"/>
          <w:color w:val="auto"/>
        </w:rPr>
      </w:pPr>
    </w:p>
    <w:p>
      <w:pPr>
        <w:ind w:left="7" w:right="260"/>
        <w:spacing w:after="0" w:line="287" w:lineRule="auto"/>
        <w:rPr>
          <w:sz w:val="20"/>
          <w:szCs w:val="20"/>
          <w:color w:val="auto"/>
        </w:rPr>
      </w:pPr>
      <w:r>
        <w:rPr>
          <w:rFonts w:ascii="Arial" w:cs="Arial" w:eastAsia="Arial" w:hAnsi="Arial"/>
          <w:sz w:val="16"/>
          <w:szCs w:val="16"/>
          <w:color w:val="auto"/>
        </w:rPr>
        <w:t>Deposits with local and foreign banks mainly consist of balances in soles and U.S. dollars; these are cash in hand and earn interest at market rates. As of March 31, 2020 and December 31, 2019 Credicorp and its Subsidiaries do not maintain significant deposits with any bank in particular.</w:t>
      </w:r>
    </w:p>
    <w:p>
      <w:pPr>
        <w:spacing w:after="0" w:line="346" w:lineRule="exact"/>
        <w:rPr>
          <w:sz w:val="20"/>
          <w:szCs w:val="20"/>
          <w:color w:val="auto"/>
        </w:rPr>
      </w:pPr>
    </w:p>
    <w:p>
      <w:pPr>
        <w:jc w:val="center"/>
        <w:ind w:right="273"/>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15875</wp:posOffset>
            </wp:positionV>
            <wp:extent cx="714438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947"/>
          </w:cols>
          <w:pgMar w:left="613" w:top="839" w:right="339" w:bottom="1440" w:gutter="0" w:footer="0" w:header="0"/>
        </w:sectPr>
      </w:pPr>
    </w:p>
    <w:bookmarkStart w:id="27" w:name="page28"/>
    <w:bookmarkEnd w:id="27"/>
    <w:p>
      <w:pPr>
        <w:ind w:left="302" w:right="500" w:hanging="302"/>
        <w:spacing w:after="0" w:line="292" w:lineRule="auto"/>
        <w:tabs>
          <w:tab w:leader="none" w:pos="302"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CASH COLLATERAL, REVERSE REPURCHASE AGREEMENTS AND SECURITIES BORROWING AND PAYABLES FROM REPURCHASE AGREEMENTS AND SECURITIES LENDING</w:t>
      </w:r>
    </w:p>
    <w:p>
      <w:pPr>
        <w:sectPr>
          <w:pgSz w:w="11900" w:h="16838" w:orient="portrait"/>
          <w:cols w:equalWidth="0" w:num="1">
            <w:col w:w="11182"/>
          </w:cols>
          <w:pgMar w:left="318" w:top="835" w:right="399" w:bottom="1440" w:gutter="0" w:footer="0" w:header="0"/>
        </w:sectPr>
      </w:pPr>
    </w:p>
    <w:p>
      <w:pPr>
        <w:spacing w:after="0" w:line="146" w:lineRule="exact"/>
        <w:rPr>
          <w:sz w:val="20"/>
          <w:szCs w:val="20"/>
          <w:color w:val="auto"/>
        </w:rPr>
      </w:pPr>
    </w:p>
    <w:p>
      <w:pPr>
        <w:ind w:left="582" w:hanging="287"/>
        <w:spacing w:after="0"/>
        <w:tabs>
          <w:tab w:leader="none" w:pos="582"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present below the composition of cash collateral, reverse repurchase agreements and securities borrowing:</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33" w:lineRule="exact"/>
        <w:rPr>
          <w:rFonts w:ascii="Arial" w:cs="Arial" w:eastAsia="Arial" w:hAnsi="Arial"/>
          <w:sz w:val="14"/>
          <w:szCs w:val="14"/>
          <w:color w:val="auto"/>
        </w:rPr>
      </w:pPr>
    </w:p>
    <w:p>
      <w:pPr>
        <w:ind w:left="582" w:right="2860"/>
        <w:spacing w:after="0" w:line="261" w:lineRule="auto"/>
        <w:rPr>
          <w:rFonts w:ascii="Arial" w:cs="Arial" w:eastAsia="Arial" w:hAnsi="Arial"/>
          <w:sz w:val="14"/>
          <w:szCs w:val="14"/>
          <w:color w:val="auto"/>
        </w:rPr>
      </w:pPr>
      <w:r>
        <w:rPr>
          <w:rFonts w:ascii="Arial" w:cs="Arial" w:eastAsia="Arial" w:hAnsi="Arial"/>
          <w:sz w:val="16"/>
          <w:szCs w:val="16"/>
          <w:color w:val="auto"/>
        </w:rPr>
        <w:t>Cash collateral on repurchase agreements and security lendings (i) Reverse repurchase agreement and security borrowings Receivables for short sales</w:t>
      </w:r>
    </w:p>
    <w:p>
      <w:pPr>
        <w:ind w:left="582"/>
        <w:spacing w:after="0"/>
        <w:rPr>
          <w:rFonts w:ascii="Arial" w:cs="Arial" w:eastAsia="Arial" w:hAnsi="Arial"/>
          <w:sz w:val="14"/>
          <w:szCs w:val="14"/>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-489585</wp:posOffset>
            </wp:positionV>
            <wp:extent cx="6785610" cy="1250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85610" cy="125095"/>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-240030</wp:posOffset>
            </wp:positionV>
            <wp:extent cx="6785610" cy="132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85610" cy="132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16"/>
          <w:szCs w:val="16"/>
          <w:b w:val="1"/>
          <w:bCs w:val="1"/>
          <w:color w:val="auto"/>
        </w:rPr>
        <w:t>As of March 31,</w:t>
      </w:r>
      <w:r>
        <w:rPr>
          <w:sz w:val="20"/>
          <w:szCs w:val="20"/>
          <w:color w:val="auto"/>
        </w:rPr>
        <w:tab/>
      </w:r>
      <w:r>
        <w:rPr>
          <w:rFonts w:ascii="Arial" w:cs="Arial" w:eastAsia="Arial" w:hAnsi="Arial"/>
          <w:sz w:val="14"/>
          <w:szCs w:val="14"/>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18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7"/>
                <w:szCs w:val="17"/>
                <w:color w:val="auto"/>
              </w:rPr>
            </w:pPr>
          </w:p>
        </w:tc>
        <w:tc>
          <w:tcPr>
            <w:tcW w:w="140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2019</w:t>
            </w:r>
          </w:p>
        </w:tc>
      </w:tr>
      <w:tr>
        <w:trPr>
          <w:trHeight w:val="176"/>
        </w:trPr>
        <w:tc>
          <w:tcPr>
            <w:tcW w:w="118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5"/>
              </w:rPr>
              <w:t>S/(000)</w:t>
            </w:r>
          </w:p>
        </w:tc>
        <w:tc>
          <w:tcPr>
            <w:tcW w:w="180" w:type="dxa"/>
            <w:vAlign w:val="bottom"/>
          </w:tcPr>
          <w:p>
            <w:pPr>
              <w:spacing w:after="0"/>
              <w:rPr>
                <w:sz w:val="15"/>
                <w:szCs w:val="15"/>
                <w:color w:val="auto"/>
              </w:rPr>
            </w:pPr>
          </w:p>
        </w:tc>
        <w:tc>
          <w:tcPr>
            <w:tcW w:w="140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1"/>
              </w:rPr>
              <w:t>S/(000)</w:t>
            </w:r>
          </w:p>
        </w:tc>
      </w:tr>
      <w:tr>
        <w:trPr>
          <w:trHeight w:val="197"/>
        </w:trPr>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3,455,245</w:t>
            </w:r>
          </w:p>
        </w:tc>
        <w:tc>
          <w:tcPr>
            <w:tcW w:w="1400" w:type="dxa"/>
            <w:vAlign w:val="bottom"/>
          </w:tcPr>
          <w:p>
            <w:pPr>
              <w:jc w:val="right"/>
              <w:spacing w:after="0"/>
              <w:rPr>
                <w:sz w:val="20"/>
                <w:szCs w:val="20"/>
                <w:color w:val="auto"/>
              </w:rPr>
            </w:pPr>
            <w:r>
              <w:rPr>
                <w:rFonts w:ascii="Arial" w:cs="Arial" w:eastAsia="Arial" w:hAnsi="Arial"/>
                <w:sz w:val="16"/>
                <w:szCs w:val="16"/>
                <w:color w:val="auto"/>
              </w:rPr>
              <w:t>3,293,837</w:t>
            </w:r>
          </w:p>
        </w:tc>
      </w:tr>
      <w:tr>
        <w:trPr>
          <w:trHeight w:val="208"/>
        </w:trPr>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969,100</w:t>
            </w:r>
          </w:p>
        </w:tc>
        <w:tc>
          <w:tcPr>
            <w:tcW w:w="1400" w:type="dxa"/>
            <w:vAlign w:val="bottom"/>
          </w:tcPr>
          <w:p>
            <w:pPr>
              <w:jc w:val="right"/>
              <w:spacing w:after="0"/>
              <w:rPr>
                <w:sz w:val="20"/>
                <w:szCs w:val="20"/>
                <w:color w:val="auto"/>
              </w:rPr>
            </w:pPr>
            <w:r>
              <w:rPr>
                <w:rFonts w:ascii="Arial" w:cs="Arial" w:eastAsia="Arial" w:hAnsi="Arial"/>
                <w:sz w:val="16"/>
                <w:szCs w:val="16"/>
                <w:color w:val="auto"/>
              </w:rPr>
              <w:t>899,435</w:t>
            </w:r>
          </w:p>
        </w:tc>
      </w:tr>
    </w:tbl>
    <w:p>
      <w:pPr>
        <w:spacing w:after="0" w:line="1" w:lineRule="exact"/>
        <w:rPr>
          <w:sz w:val="20"/>
          <w:szCs w:val="20"/>
          <w:color w:val="auto"/>
        </w:rPr>
      </w:pPr>
    </w:p>
    <w:p>
      <w:pPr>
        <w:ind w:left="2300" w:hanging="1183"/>
        <w:spacing w:after="0"/>
        <w:tabs>
          <w:tab w:leader="none" w:pos="23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95,252</w:t>
      </w:r>
    </w:p>
    <w:p>
      <w:pPr>
        <w:spacing w:after="0" w:line="48"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6"/>
          <w:szCs w:val="16"/>
          <w:color w:val="auto"/>
        </w:rPr>
        <w:t>4,424,345</w:t>
      </w:r>
      <w:r>
        <w:rPr>
          <w:rFonts w:ascii="Arial" w:cs="Arial" w:eastAsia="Arial" w:hAnsi="Arial"/>
          <w:sz w:val="14"/>
          <w:szCs w:val="14"/>
          <w:color w:val="auto"/>
        </w:rPr>
        <w:t>4,288,524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1746885"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46885" cy="234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-123825</wp:posOffset>
            </wp:positionV>
            <wp:extent cx="174688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4688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2" w:space="620"/>
            <w:col w:w="2760"/>
          </w:cols>
          <w:pgMar w:left="318" w:top="835" w:right="399" w:bottom="1440" w:gutter="0" w:footer="0" w:header="0"/>
          <w:type w:val="continuous"/>
        </w:sectPr>
      </w:pPr>
    </w:p>
    <w:p>
      <w:pPr>
        <w:spacing w:after="0" w:line="46" w:lineRule="exact"/>
        <w:rPr>
          <w:sz w:val="20"/>
          <w:szCs w:val="20"/>
          <w:color w:val="auto"/>
        </w:rPr>
      </w:pPr>
    </w:p>
    <w:p>
      <w:pPr>
        <w:ind w:left="582" w:hanging="287"/>
        <w:spacing w:after="0" w:line="271" w:lineRule="auto"/>
        <w:tabs>
          <w:tab w:leader="none" w:pos="582"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 of March 31, 2020, the balance mainly comprises cash collateral for approximately US$835.5 million, equivalent to S/2,871.6 million, delivered to BCRP to secure a borrowing in soles of approximately S/2,822.6 million from the same entity (cash collateral for approximately US$844.5 million, equivalent to S/2,798.7 million, and borrowing of approximately S/2,800.4 million, as of December 31, 2019).</w:t>
      </w:r>
    </w:p>
    <w:p>
      <w:pPr>
        <w:spacing w:after="0" w:line="162" w:lineRule="exact"/>
        <w:rPr>
          <w:rFonts w:ascii="Arial" w:cs="Arial" w:eastAsia="Arial" w:hAnsi="Arial"/>
          <w:sz w:val="16"/>
          <w:szCs w:val="16"/>
          <w:color w:val="auto"/>
        </w:rPr>
      </w:pPr>
    </w:p>
    <w:p>
      <w:pPr>
        <w:ind w:left="582" w:right="260"/>
        <w:spacing w:after="0" w:line="322" w:lineRule="auto"/>
        <w:rPr>
          <w:rFonts w:ascii="Arial" w:cs="Arial" w:eastAsia="Arial" w:hAnsi="Arial"/>
          <w:sz w:val="16"/>
          <w:szCs w:val="16"/>
          <w:color w:val="auto"/>
        </w:rPr>
      </w:pPr>
      <w:r>
        <w:rPr>
          <w:rFonts w:ascii="Arial" w:cs="Arial" w:eastAsia="Arial" w:hAnsi="Arial"/>
          <w:sz w:val="15"/>
          <w:szCs w:val="15"/>
          <w:color w:val="auto"/>
        </w:rPr>
        <w:t>Cash collateral granted bears interest at an average annual effective interest rate according to market rates. The related liability is presented in “Payables from repurchase agreements and securities lending” of the interim condensed consolidated statement of financial position, see paragraph (c) below.</w:t>
      </w:r>
    </w:p>
    <w:p>
      <w:pPr>
        <w:spacing w:after="0" w:line="323" w:lineRule="exact"/>
        <w:rPr>
          <w:rFonts w:ascii="Arial" w:cs="Arial" w:eastAsia="Arial" w:hAnsi="Arial"/>
          <w:sz w:val="16"/>
          <w:szCs w:val="16"/>
          <w:color w:val="auto"/>
        </w:rPr>
      </w:pPr>
    </w:p>
    <w:p>
      <w:pPr>
        <w:ind w:left="5542" w:hanging="93"/>
        <w:spacing w:after="0"/>
        <w:tabs>
          <w:tab w:leader="none" w:pos="5542" w:val="left"/>
        </w:tabs>
        <w:numPr>
          <w:ilvl w:val="1"/>
          <w:numId w:val="24"/>
        </w:numPr>
        <w:rPr>
          <w:rFonts w:ascii="Arial" w:cs="Arial" w:eastAsia="Arial" w:hAnsi="Arial"/>
          <w:sz w:val="16"/>
          <w:szCs w:val="16"/>
          <w:color w:val="auto"/>
        </w:rPr>
      </w:pPr>
      <w:r>
        <w:rPr>
          <w:rFonts w:ascii="Arial" w:cs="Arial" w:eastAsia="Arial" w:hAnsi="Arial"/>
          <w:sz w:val="16"/>
          <w:szCs w:val="16"/>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182"/>
          </w:cols>
          <w:pgMar w:left="318" w:top="835" w:right="399" w:bottom="1440" w:gutter="0" w:footer="0" w:header="0"/>
          <w:type w:val="continuous"/>
        </w:sectPr>
      </w:pPr>
    </w:p>
    <w:bookmarkStart w:id="28" w:name="page29"/>
    <w:bookmarkEnd w:id="28"/>
    <w:p>
      <w:pPr>
        <w:ind w:left="300" w:hanging="287"/>
        <w:spacing w:after="0" w:line="287" w:lineRule="auto"/>
        <w:tabs>
          <w:tab w:leader="none" w:pos="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Credicorp, through its subsidiaries, obtains financing through “Payables from repurchase agreements and securities lending” by selling financial instruments and committing to repurchase them at future dates, including interest at a fixed rate. The details of said transactions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5"/>
          </w:tcPr>
          <w:p>
            <w:pPr>
              <w:ind w:left="200"/>
              <w:spacing w:after="0"/>
              <w:rPr>
                <w:sz w:val="20"/>
                <w:szCs w:val="20"/>
                <w:color w:val="auto"/>
              </w:rPr>
            </w:pPr>
            <w:r>
              <w:rPr>
                <w:rFonts w:ascii="Arial" w:cs="Arial" w:eastAsia="Arial" w:hAnsi="Arial"/>
                <w:sz w:val="11"/>
                <w:szCs w:val="11"/>
                <w:b w:val="1"/>
                <w:bCs w:val="1"/>
                <w:color w:val="auto"/>
              </w:rPr>
              <w:t>As of March 31, 2020</w:t>
            </w: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1"/>
                <w:szCs w:val="11"/>
                <w:b w:val="1"/>
                <w:bCs w:val="1"/>
                <w:color w:val="auto"/>
              </w:rPr>
              <w:t>As of December 31, 2019</w:t>
            </w:r>
          </w:p>
        </w:tc>
        <w:tc>
          <w:tcPr>
            <w:tcW w:w="5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99"/>
        </w:trPr>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jc w:val="right"/>
              <w:ind w:right="143"/>
              <w:spacing w:after="0" w:line="100" w:lineRule="exact"/>
              <w:rPr>
                <w:sz w:val="20"/>
                <w:szCs w:val="20"/>
                <w:color w:val="auto"/>
              </w:rPr>
            </w:pPr>
            <w:r>
              <w:rPr>
                <w:rFonts w:ascii="Arial" w:cs="Arial" w:eastAsia="Arial" w:hAnsi="Arial"/>
                <w:sz w:val="11"/>
                <w:szCs w:val="11"/>
                <w:b w:val="1"/>
                <w:bCs w:val="1"/>
                <w:color w:val="auto"/>
              </w:rPr>
              <w:t>Fair</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Fair</w:t>
            </w:r>
          </w:p>
        </w:tc>
        <w:tc>
          <w:tcPr>
            <w:tcW w:w="100" w:type="dxa"/>
            <w:vAlign w:val="bottom"/>
          </w:tcPr>
          <w:p>
            <w:pPr>
              <w:spacing w:after="0"/>
              <w:rPr>
                <w:sz w:val="8"/>
                <w:szCs w:val="8"/>
                <w:color w:val="auto"/>
              </w:rPr>
            </w:pPr>
          </w:p>
        </w:tc>
      </w:tr>
      <w:tr>
        <w:trPr>
          <w:trHeight w:val="123"/>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220"/>
              <w:spacing w:after="0" w:line="123" w:lineRule="exact"/>
              <w:rPr>
                <w:sz w:val="20"/>
                <w:szCs w:val="20"/>
                <w:color w:val="auto"/>
              </w:rPr>
            </w:pPr>
            <w:r>
              <w:rPr>
                <w:rFonts w:ascii="Arial" w:cs="Arial" w:eastAsia="Arial" w:hAnsi="Arial"/>
                <w:sz w:val="11"/>
                <w:szCs w:val="11"/>
                <w:b w:val="1"/>
                <w:bCs w:val="1"/>
                <w:color w:val="auto"/>
                <w:w w:val="92"/>
              </w:rPr>
              <w:t>Average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220"/>
              <w:spacing w:after="0" w:line="123" w:lineRule="exact"/>
              <w:rPr>
                <w:sz w:val="20"/>
                <w:szCs w:val="20"/>
                <w:color w:val="auto"/>
              </w:rPr>
            </w:pPr>
            <w:r>
              <w:rPr>
                <w:rFonts w:ascii="Arial" w:cs="Arial" w:eastAsia="Arial" w:hAnsi="Arial"/>
                <w:sz w:val="11"/>
                <w:szCs w:val="11"/>
                <w:b w:val="1"/>
                <w:bCs w:val="1"/>
                <w:color w:val="auto"/>
              </w:rPr>
              <w:t>From</w:t>
            </w:r>
          </w:p>
        </w:tc>
        <w:tc>
          <w:tcPr>
            <w:tcW w:w="760" w:type="dxa"/>
            <w:vAlign w:val="bottom"/>
            <w:gridSpan w:val="2"/>
          </w:tcPr>
          <w:p>
            <w:pPr>
              <w:jc w:val="center"/>
              <w:ind w:right="180"/>
              <w:spacing w:after="0" w:line="123" w:lineRule="exact"/>
              <w:rPr>
                <w:sz w:val="20"/>
                <w:szCs w:val="20"/>
                <w:color w:val="auto"/>
              </w:rPr>
            </w:pPr>
            <w:r>
              <w:rPr>
                <w:rFonts w:ascii="Arial" w:cs="Arial" w:eastAsia="Arial" w:hAnsi="Arial"/>
                <w:sz w:val="11"/>
                <w:szCs w:val="11"/>
                <w:b w:val="1"/>
                <w:bCs w:val="1"/>
                <w:color w:val="auto"/>
                <w:w w:val="98"/>
              </w:rPr>
              <w:t>More</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w w:val="91"/>
              </w:rPr>
              <w:t>value of</w:t>
            </w:r>
          </w:p>
        </w:tc>
        <w:tc>
          <w:tcPr>
            <w:tcW w:w="700" w:type="dxa"/>
            <w:vAlign w:val="bottom"/>
            <w:gridSpan w:val="2"/>
          </w:tcPr>
          <w:p>
            <w:pPr>
              <w:jc w:val="center"/>
              <w:ind w:right="180"/>
              <w:spacing w:after="0" w:line="123" w:lineRule="exact"/>
              <w:rPr>
                <w:sz w:val="20"/>
                <w:szCs w:val="20"/>
                <w:color w:val="auto"/>
              </w:rPr>
            </w:pPr>
            <w:r>
              <w:rPr>
                <w:rFonts w:ascii="Arial" w:cs="Arial" w:eastAsia="Arial" w:hAnsi="Arial"/>
                <w:sz w:val="11"/>
                <w:szCs w:val="11"/>
                <w:b w:val="1"/>
                <w:bCs w:val="1"/>
                <w:color w:val="auto"/>
                <w:w w:val="92"/>
              </w:rPr>
              <w:t>Average</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jc w:val="center"/>
              <w:ind w:right="200"/>
              <w:spacing w:after="0" w:line="123" w:lineRule="exact"/>
              <w:rPr>
                <w:sz w:val="20"/>
                <w:szCs w:val="20"/>
                <w:color w:val="auto"/>
              </w:rPr>
            </w:pPr>
            <w:r>
              <w:rPr>
                <w:rFonts w:ascii="Arial" w:cs="Arial" w:eastAsia="Arial" w:hAnsi="Arial"/>
                <w:sz w:val="11"/>
                <w:szCs w:val="11"/>
                <w:b w:val="1"/>
                <w:bCs w:val="1"/>
                <w:color w:val="auto"/>
              </w:rPr>
              <w:t>From</w:t>
            </w:r>
          </w:p>
        </w:tc>
        <w:tc>
          <w:tcPr>
            <w:tcW w:w="760" w:type="dxa"/>
            <w:vAlign w:val="bottom"/>
            <w:gridSpan w:val="2"/>
          </w:tcPr>
          <w:p>
            <w:pPr>
              <w:jc w:val="center"/>
              <w:ind w:right="180"/>
              <w:spacing w:after="0" w:line="123" w:lineRule="exact"/>
              <w:rPr>
                <w:sz w:val="20"/>
                <w:szCs w:val="20"/>
                <w:color w:val="auto"/>
              </w:rPr>
            </w:pPr>
            <w:r>
              <w:rPr>
                <w:rFonts w:ascii="Arial" w:cs="Arial" w:eastAsia="Arial" w:hAnsi="Arial"/>
                <w:sz w:val="11"/>
                <w:szCs w:val="11"/>
                <w:b w:val="1"/>
                <w:bCs w:val="1"/>
                <w:color w:val="auto"/>
                <w:w w:val="98"/>
              </w:rPr>
              <w:t>More</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91"/>
              </w:rPr>
              <w:t>value of</w:t>
            </w:r>
          </w:p>
        </w:tc>
      </w:tr>
      <w:tr>
        <w:trPr>
          <w:trHeight w:val="123"/>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220"/>
              <w:spacing w:after="0" w:line="123" w:lineRule="exact"/>
              <w:rPr>
                <w:sz w:val="20"/>
                <w:szCs w:val="20"/>
                <w:color w:val="auto"/>
              </w:rPr>
            </w:pPr>
            <w:r>
              <w:rPr>
                <w:rFonts w:ascii="Arial" w:cs="Arial" w:eastAsia="Arial" w:hAnsi="Arial"/>
                <w:sz w:val="11"/>
                <w:szCs w:val="11"/>
                <w:b w:val="1"/>
                <w:bCs w:val="1"/>
                <w:color w:val="auto"/>
                <w:w w:val="90"/>
              </w:rPr>
              <w:t>interest</w:t>
            </w:r>
          </w:p>
        </w:tc>
        <w:tc>
          <w:tcPr>
            <w:tcW w:w="62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6"/>
              </w:rPr>
              <w:t>Up to 3</w:t>
            </w:r>
          </w:p>
        </w:tc>
        <w:tc>
          <w:tcPr>
            <w:tcW w:w="700" w:type="dxa"/>
            <w:vAlign w:val="bottom"/>
            <w:gridSpan w:val="3"/>
          </w:tcPr>
          <w:p>
            <w:pPr>
              <w:jc w:val="center"/>
              <w:ind w:right="200"/>
              <w:spacing w:after="0" w:line="123" w:lineRule="exact"/>
              <w:rPr>
                <w:sz w:val="20"/>
                <w:szCs w:val="20"/>
                <w:color w:val="auto"/>
              </w:rPr>
            </w:pPr>
            <w:r>
              <w:rPr>
                <w:rFonts w:ascii="Arial" w:cs="Arial" w:eastAsia="Arial" w:hAnsi="Arial"/>
                <w:sz w:val="11"/>
                <w:szCs w:val="11"/>
                <w:b w:val="1"/>
                <w:bCs w:val="1"/>
                <w:color w:val="auto"/>
                <w:w w:val="91"/>
              </w:rPr>
              <w:t>3 to</w:t>
            </w:r>
          </w:p>
        </w:tc>
        <w:tc>
          <w:tcPr>
            <w:tcW w:w="760" w:type="dxa"/>
            <w:vAlign w:val="bottom"/>
            <w:gridSpan w:val="2"/>
          </w:tcPr>
          <w:p>
            <w:pPr>
              <w:jc w:val="center"/>
              <w:ind w:right="220"/>
              <w:spacing w:after="0" w:line="123" w:lineRule="exact"/>
              <w:rPr>
                <w:sz w:val="20"/>
                <w:szCs w:val="20"/>
                <w:color w:val="auto"/>
              </w:rPr>
            </w:pPr>
            <w:r>
              <w:rPr>
                <w:rFonts w:ascii="Arial" w:cs="Arial" w:eastAsia="Arial" w:hAnsi="Arial"/>
                <w:sz w:val="11"/>
                <w:szCs w:val="11"/>
                <w:b w:val="1"/>
                <w:bCs w:val="1"/>
                <w:color w:val="auto"/>
                <w:w w:val="94"/>
              </w:rPr>
              <w:t>than</w:t>
            </w:r>
          </w:p>
        </w:tc>
        <w:tc>
          <w:tcPr>
            <w:tcW w:w="780" w:type="dxa"/>
            <w:vAlign w:val="bottom"/>
            <w:gridSpan w:val="2"/>
          </w:tcPr>
          <w:p>
            <w:pPr>
              <w:jc w:val="center"/>
              <w:ind w:right="200"/>
              <w:spacing w:after="0" w:line="123" w:lineRule="exact"/>
              <w:rPr>
                <w:sz w:val="20"/>
                <w:szCs w:val="20"/>
                <w:color w:val="auto"/>
              </w:rPr>
            </w:pPr>
            <w:r>
              <w:rPr>
                <w:rFonts w:ascii="Arial" w:cs="Arial" w:eastAsia="Arial" w:hAnsi="Arial"/>
                <w:sz w:val="11"/>
                <w:szCs w:val="11"/>
                <w:b w:val="1"/>
                <w:bCs w:val="1"/>
                <w:color w:val="auto"/>
              </w:rPr>
              <w:t>Carrying</w:t>
            </w:r>
          </w:p>
        </w:tc>
        <w:tc>
          <w:tcPr>
            <w:tcW w:w="66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w w:val="95"/>
              </w:rPr>
              <w:t>underlying</w:t>
            </w:r>
          </w:p>
        </w:tc>
        <w:tc>
          <w:tcPr>
            <w:tcW w:w="700" w:type="dxa"/>
            <w:vAlign w:val="bottom"/>
            <w:gridSpan w:val="2"/>
          </w:tcPr>
          <w:p>
            <w:pPr>
              <w:jc w:val="center"/>
              <w:ind w:right="200"/>
              <w:spacing w:after="0" w:line="123" w:lineRule="exact"/>
              <w:rPr>
                <w:sz w:val="20"/>
                <w:szCs w:val="20"/>
                <w:color w:val="auto"/>
              </w:rPr>
            </w:pPr>
            <w:r>
              <w:rPr>
                <w:rFonts w:ascii="Arial" w:cs="Arial" w:eastAsia="Arial" w:hAnsi="Arial"/>
                <w:sz w:val="11"/>
                <w:szCs w:val="11"/>
                <w:b w:val="1"/>
                <w:bCs w:val="1"/>
                <w:color w:val="auto"/>
                <w:w w:val="95"/>
              </w:rPr>
              <w:t>interest</w:t>
            </w:r>
          </w:p>
        </w:tc>
        <w:tc>
          <w:tcPr>
            <w:tcW w:w="720" w:type="dxa"/>
            <w:vAlign w:val="bottom"/>
            <w:gridSpan w:val="2"/>
          </w:tcPr>
          <w:p>
            <w:pPr>
              <w:jc w:val="center"/>
              <w:ind w:right="200"/>
              <w:spacing w:after="0" w:line="123" w:lineRule="exact"/>
              <w:rPr>
                <w:sz w:val="20"/>
                <w:szCs w:val="20"/>
                <w:color w:val="auto"/>
              </w:rPr>
            </w:pPr>
            <w:r>
              <w:rPr>
                <w:rFonts w:ascii="Arial" w:cs="Arial" w:eastAsia="Arial" w:hAnsi="Arial"/>
                <w:sz w:val="11"/>
                <w:szCs w:val="11"/>
                <w:b w:val="1"/>
                <w:bCs w:val="1"/>
                <w:color w:val="auto"/>
                <w:w w:val="96"/>
              </w:rPr>
              <w:t>Up to 3</w:t>
            </w:r>
          </w:p>
        </w:tc>
        <w:tc>
          <w:tcPr>
            <w:tcW w:w="760" w:type="dxa"/>
            <w:vAlign w:val="bottom"/>
            <w:gridSpan w:val="2"/>
          </w:tcPr>
          <w:p>
            <w:pPr>
              <w:jc w:val="center"/>
              <w:ind w:right="220"/>
              <w:spacing w:after="0" w:line="123" w:lineRule="exact"/>
              <w:rPr>
                <w:sz w:val="20"/>
                <w:szCs w:val="20"/>
                <w:color w:val="auto"/>
              </w:rPr>
            </w:pPr>
            <w:r>
              <w:rPr>
                <w:rFonts w:ascii="Arial" w:cs="Arial" w:eastAsia="Arial" w:hAnsi="Arial"/>
                <w:sz w:val="11"/>
                <w:szCs w:val="11"/>
                <w:b w:val="1"/>
                <w:bCs w:val="1"/>
                <w:color w:val="auto"/>
                <w:w w:val="91"/>
              </w:rPr>
              <w:t>3 to</w:t>
            </w:r>
          </w:p>
        </w:tc>
        <w:tc>
          <w:tcPr>
            <w:tcW w:w="760" w:type="dxa"/>
            <w:vAlign w:val="bottom"/>
            <w:gridSpan w:val="2"/>
          </w:tcPr>
          <w:p>
            <w:pPr>
              <w:jc w:val="center"/>
              <w:ind w:right="220"/>
              <w:spacing w:after="0" w:line="123" w:lineRule="exact"/>
              <w:rPr>
                <w:sz w:val="20"/>
                <w:szCs w:val="20"/>
                <w:color w:val="auto"/>
              </w:rPr>
            </w:pPr>
            <w:r>
              <w:rPr>
                <w:rFonts w:ascii="Arial" w:cs="Arial" w:eastAsia="Arial" w:hAnsi="Arial"/>
                <w:sz w:val="11"/>
                <w:szCs w:val="11"/>
                <w:b w:val="1"/>
                <w:bCs w:val="1"/>
                <w:color w:val="auto"/>
                <w:w w:val="94"/>
              </w:rPr>
              <w:t>than</w:t>
            </w:r>
          </w:p>
        </w:tc>
        <w:tc>
          <w:tcPr>
            <w:tcW w:w="760" w:type="dxa"/>
            <w:vAlign w:val="bottom"/>
            <w:gridSpan w:val="2"/>
          </w:tcPr>
          <w:p>
            <w:pPr>
              <w:jc w:val="right"/>
              <w:ind w:right="240"/>
              <w:spacing w:after="0" w:line="123" w:lineRule="exact"/>
              <w:rPr>
                <w:sz w:val="20"/>
                <w:szCs w:val="20"/>
                <w:color w:val="auto"/>
              </w:rPr>
            </w:pPr>
            <w:r>
              <w:rPr>
                <w:rFonts w:ascii="Arial" w:cs="Arial" w:eastAsia="Arial" w:hAnsi="Arial"/>
                <w:sz w:val="11"/>
                <w:szCs w:val="11"/>
                <w:b w:val="1"/>
                <w:bCs w:val="1"/>
                <w:color w:val="auto"/>
              </w:rPr>
              <w:t>Carrying</w:t>
            </w:r>
          </w:p>
        </w:tc>
        <w:tc>
          <w:tcPr>
            <w:tcW w:w="66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95"/>
              </w:rPr>
              <w:t>underlying</w:t>
            </w:r>
          </w:p>
        </w:tc>
      </w:tr>
      <w:tr>
        <w:trPr>
          <w:trHeight w:val="139"/>
        </w:trPr>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1"/>
                <w:szCs w:val="11"/>
                <w:b w:val="1"/>
                <w:bCs w:val="1"/>
                <w:color w:val="auto"/>
              </w:rPr>
              <w:t>Currency</w:t>
            </w:r>
          </w:p>
        </w:tc>
        <w:tc>
          <w:tcPr>
            <w:tcW w:w="7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rate</w:t>
            </w:r>
          </w:p>
        </w:tc>
        <w:tc>
          <w:tcPr>
            <w:tcW w:w="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days</w:t>
            </w:r>
          </w:p>
        </w:tc>
        <w:tc>
          <w:tcPr>
            <w:tcW w:w="70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89"/>
              </w:rPr>
              <w:t>30 days</w:t>
            </w: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4"/>
              </w:rPr>
              <w:t>30 days</w:t>
            </w: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amount</w:t>
            </w: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1"/>
              </w:rPr>
              <w:t>assets</w:t>
            </w:r>
          </w:p>
        </w:tc>
        <w:tc>
          <w:tcPr>
            <w:tcW w:w="7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rate</w:t>
            </w:r>
          </w:p>
        </w:tc>
        <w:tc>
          <w:tcPr>
            <w:tcW w:w="7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days</w:t>
            </w: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30 days</w:t>
            </w: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30 days</w:t>
            </w:r>
          </w:p>
        </w:tc>
        <w:tc>
          <w:tcPr>
            <w:tcW w:w="76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1"/>
              </w:rPr>
              <w:t>assets</w:t>
            </w:r>
          </w:p>
        </w:tc>
      </w:tr>
      <w:tr>
        <w:trPr>
          <w:trHeight w:val="115"/>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0"/>
                <w:szCs w:val="10"/>
                <w:color w:val="auto"/>
              </w:rPr>
            </w:pPr>
          </w:p>
        </w:tc>
        <w:tc>
          <w:tcPr>
            <w:tcW w:w="5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9"/>
              </w:rPr>
              <w:t>S/(000)</w:t>
            </w:r>
          </w:p>
        </w:tc>
        <w:tc>
          <w:tcPr>
            <w:tcW w:w="100" w:type="dxa"/>
            <w:vAlign w:val="bottom"/>
          </w:tcPr>
          <w:p>
            <w:pPr>
              <w:spacing w:after="0"/>
              <w:rPr>
                <w:sz w:val="10"/>
                <w:szCs w:val="10"/>
                <w:color w:val="auto"/>
              </w:rPr>
            </w:pPr>
          </w:p>
        </w:tc>
        <w:tc>
          <w:tcPr>
            <w:tcW w:w="5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80" w:type="dxa"/>
            <w:vAlign w:val="bottom"/>
            <w:gridSpan w:val="2"/>
          </w:tcPr>
          <w:p>
            <w:pPr>
              <w:spacing w:after="0"/>
              <w:rPr>
                <w:sz w:val="10"/>
                <w:szCs w:val="10"/>
                <w:color w:val="auto"/>
              </w:rPr>
            </w:pPr>
          </w:p>
        </w:tc>
        <w:tc>
          <w:tcPr>
            <w:tcW w:w="5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80" w:type="dxa"/>
            <w:vAlign w:val="bottom"/>
          </w:tcPr>
          <w:p>
            <w:pPr>
              <w:spacing w:after="0"/>
              <w:rPr>
                <w:sz w:val="10"/>
                <w:szCs w:val="10"/>
                <w:color w:val="auto"/>
              </w:rPr>
            </w:pPr>
          </w:p>
        </w:tc>
        <w:tc>
          <w:tcPr>
            <w:tcW w:w="5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00" w:type="dxa"/>
            <w:vAlign w:val="bottom"/>
          </w:tcPr>
          <w:p>
            <w:pPr>
              <w:spacing w:after="0"/>
              <w:rPr>
                <w:sz w:val="10"/>
                <w:szCs w:val="10"/>
                <w:color w:val="auto"/>
              </w:rPr>
            </w:pPr>
          </w:p>
        </w:tc>
        <w:tc>
          <w:tcPr>
            <w:tcW w:w="56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00" w:type="dxa"/>
            <w:vAlign w:val="bottom"/>
          </w:tcPr>
          <w:p>
            <w:pPr>
              <w:spacing w:after="0"/>
              <w:rPr>
                <w:sz w:val="10"/>
                <w:szCs w:val="10"/>
                <w:color w:val="auto"/>
              </w:rPr>
            </w:pPr>
          </w:p>
        </w:tc>
        <w:tc>
          <w:tcPr>
            <w:tcW w:w="5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0"/>
                <w:szCs w:val="10"/>
                <w:color w:val="auto"/>
              </w:rPr>
            </w:pPr>
          </w:p>
        </w:tc>
        <w:tc>
          <w:tcPr>
            <w:tcW w:w="5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00" w:type="dxa"/>
            <w:vAlign w:val="bottom"/>
          </w:tcPr>
          <w:p>
            <w:pPr>
              <w:spacing w:after="0"/>
              <w:rPr>
                <w:sz w:val="10"/>
                <w:szCs w:val="10"/>
                <w:color w:val="auto"/>
              </w:rPr>
            </w:pPr>
          </w:p>
        </w:tc>
        <w:tc>
          <w:tcPr>
            <w:tcW w:w="56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9"/>
              </w:rPr>
              <w:t>S/(000)</w:t>
            </w:r>
          </w:p>
        </w:tc>
        <w:tc>
          <w:tcPr>
            <w:tcW w:w="200" w:type="dxa"/>
            <w:vAlign w:val="bottom"/>
          </w:tcPr>
          <w:p>
            <w:pPr>
              <w:spacing w:after="0"/>
              <w:rPr>
                <w:sz w:val="10"/>
                <w:szCs w:val="10"/>
                <w:color w:val="auto"/>
              </w:rPr>
            </w:pPr>
          </w:p>
        </w:tc>
        <w:tc>
          <w:tcPr>
            <w:tcW w:w="56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00" w:type="dxa"/>
            <w:vAlign w:val="bottom"/>
          </w:tcPr>
          <w:p>
            <w:pPr>
              <w:spacing w:after="0"/>
              <w:rPr>
                <w:sz w:val="10"/>
                <w:szCs w:val="10"/>
                <w:color w:val="auto"/>
              </w:rPr>
            </w:pPr>
          </w:p>
        </w:tc>
        <w:tc>
          <w:tcPr>
            <w:tcW w:w="560" w:type="dxa"/>
            <w:vAlign w:val="bottom"/>
            <w:tcBorders>
              <w:top w:val="single" w:sz="8" w:color="auto"/>
            </w:tcBorders>
          </w:tcPr>
          <w:p>
            <w:pPr>
              <w:ind w:left="120"/>
              <w:spacing w:after="0" w:line="115" w:lineRule="exact"/>
              <w:rPr>
                <w:sz w:val="20"/>
                <w:szCs w:val="20"/>
                <w:color w:val="auto"/>
              </w:rPr>
            </w:pPr>
            <w:r>
              <w:rPr>
                <w:rFonts w:ascii="Arial" w:cs="Arial" w:eastAsia="Arial" w:hAnsi="Arial"/>
                <w:sz w:val="11"/>
                <w:szCs w:val="11"/>
                <w:b w:val="1"/>
                <w:bCs w:val="1"/>
                <w:color w:val="auto"/>
              </w:rPr>
              <w:t>S/(000)</w:t>
            </w:r>
          </w:p>
        </w:tc>
        <w:tc>
          <w:tcPr>
            <w:tcW w:w="200" w:type="dxa"/>
            <w:vAlign w:val="bottom"/>
          </w:tcPr>
          <w:p>
            <w:pPr>
              <w:spacing w:after="0"/>
              <w:rPr>
                <w:sz w:val="10"/>
                <w:szCs w:val="10"/>
                <w:color w:val="auto"/>
              </w:rPr>
            </w:pPr>
          </w:p>
        </w:tc>
        <w:tc>
          <w:tcPr>
            <w:tcW w:w="560" w:type="dxa"/>
            <w:vAlign w:val="bottom"/>
            <w:tcBorders>
              <w:top w:val="single" w:sz="8" w:color="auto"/>
            </w:tcBorders>
          </w:tcPr>
          <w:p>
            <w:pPr>
              <w:ind w:left="120"/>
              <w:spacing w:after="0" w:line="115" w:lineRule="exact"/>
              <w:rPr>
                <w:sz w:val="20"/>
                <w:szCs w:val="20"/>
                <w:color w:val="auto"/>
              </w:rPr>
            </w:pPr>
            <w:r>
              <w:rPr>
                <w:rFonts w:ascii="Arial" w:cs="Arial" w:eastAsia="Arial" w:hAnsi="Arial"/>
                <w:sz w:val="11"/>
                <w:szCs w:val="11"/>
                <w:b w:val="1"/>
                <w:bCs w:val="1"/>
                <w:color w:val="auto"/>
              </w:rPr>
              <w:t>S/(000)</w:t>
            </w:r>
          </w:p>
        </w:tc>
        <w:tc>
          <w:tcPr>
            <w:tcW w:w="100" w:type="dxa"/>
            <w:vAlign w:val="bottom"/>
          </w:tcPr>
          <w:p>
            <w:pPr>
              <w:spacing w:after="0"/>
              <w:rPr>
                <w:sz w:val="10"/>
                <w:szCs w:val="10"/>
                <w:color w:val="auto"/>
              </w:rPr>
            </w:pPr>
          </w:p>
        </w:tc>
      </w:tr>
      <w:tr>
        <w:trPr>
          <w:trHeight w:val="123"/>
        </w:trPr>
        <w:tc>
          <w:tcPr>
            <w:tcW w:w="110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Debt instruments (c)</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3" w:lineRule="exact"/>
              <w:rPr>
                <w:sz w:val="20"/>
                <w:szCs w:val="20"/>
                <w:color w:val="auto"/>
              </w:rPr>
            </w:pPr>
            <w:r>
              <w:rPr>
                <w:rFonts w:ascii="Arial" w:cs="Arial" w:eastAsia="Arial" w:hAnsi="Arial"/>
                <w:sz w:val="11"/>
                <w:szCs w:val="11"/>
                <w:color w:val="auto"/>
              </w:rPr>
              <w:t>71,284</w:t>
            </w:r>
          </w:p>
        </w:tc>
        <w:tc>
          <w:tcPr>
            <w:tcW w:w="60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7,282,252</w:t>
            </w:r>
          </w:p>
        </w:tc>
        <w:tc>
          <w:tcPr>
            <w:tcW w:w="78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7,353,536</w:t>
            </w:r>
          </w:p>
        </w:tc>
        <w:tc>
          <w:tcPr>
            <w:tcW w:w="660" w:type="dxa"/>
            <w:vAlign w:val="bottom"/>
            <w:gridSpan w:val="2"/>
            <w:shd w:val="clear" w:color="auto" w:fill="CCEEFF"/>
          </w:tcPr>
          <w:p>
            <w:pPr>
              <w:jc w:val="right"/>
              <w:ind w:right="100"/>
              <w:spacing w:after="0" w:line="123" w:lineRule="exact"/>
              <w:rPr>
                <w:sz w:val="20"/>
                <w:szCs w:val="20"/>
                <w:color w:val="auto"/>
              </w:rPr>
            </w:pPr>
            <w:r>
              <w:rPr>
                <w:rFonts w:ascii="Arial" w:cs="Arial" w:eastAsia="Arial" w:hAnsi="Arial"/>
                <w:sz w:val="11"/>
                <w:szCs w:val="11"/>
                <w:color w:val="auto"/>
              </w:rPr>
              <w:t>7,736,198</w:t>
            </w: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64,900</w:t>
            </w:r>
          </w:p>
        </w:tc>
        <w:tc>
          <w:tcPr>
            <w:tcW w:w="76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25,699</w:t>
            </w:r>
          </w:p>
        </w:tc>
        <w:tc>
          <w:tcPr>
            <w:tcW w:w="5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6,240,866</w:t>
            </w:r>
          </w:p>
        </w:tc>
        <w:tc>
          <w:tcPr>
            <w:tcW w:w="2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6,331,465</w:t>
            </w:r>
          </w:p>
        </w:tc>
        <w:tc>
          <w:tcPr>
            <w:tcW w:w="660" w:type="dxa"/>
            <w:vAlign w:val="bottom"/>
            <w:gridSpan w:val="2"/>
            <w:shd w:val="clear" w:color="auto" w:fill="CCEEFF"/>
          </w:tcPr>
          <w:p>
            <w:pPr>
              <w:jc w:val="right"/>
              <w:ind w:right="100"/>
              <w:spacing w:after="0" w:line="123" w:lineRule="exact"/>
              <w:rPr>
                <w:sz w:val="20"/>
                <w:szCs w:val="20"/>
                <w:color w:val="auto"/>
              </w:rPr>
            </w:pPr>
            <w:r>
              <w:rPr>
                <w:rFonts w:ascii="Arial" w:cs="Arial" w:eastAsia="Arial" w:hAnsi="Arial"/>
                <w:sz w:val="11"/>
                <w:szCs w:val="11"/>
                <w:color w:val="auto"/>
              </w:rPr>
              <w:t>6,709,182</w:t>
            </w:r>
          </w:p>
        </w:tc>
      </w:tr>
      <w:tr>
        <w:trPr>
          <w:trHeight w:val="109"/>
        </w:trPr>
        <w:tc>
          <w:tcPr>
            <w:tcW w:w="1100" w:type="dxa"/>
            <w:vAlign w:val="bottom"/>
          </w:tcPr>
          <w:p>
            <w:pPr>
              <w:spacing w:after="0" w:line="109" w:lineRule="exact"/>
              <w:rPr>
                <w:sz w:val="20"/>
                <w:szCs w:val="20"/>
                <w:color w:val="auto"/>
              </w:rPr>
            </w:pPr>
            <w:r>
              <w:rPr>
                <w:rFonts w:ascii="Arial" w:cs="Arial" w:eastAsia="Arial" w:hAnsi="Arial"/>
                <w:sz w:val="11"/>
                <w:szCs w:val="11"/>
                <w:color w:val="auto"/>
              </w:rPr>
              <w:t>Instruments issued by</w:t>
            </w: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3"/>
        </w:trPr>
        <w:tc>
          <w:tcPr>
            <w:tcW w:w="1100" w:type="dxa"/>
            <w:vAlign w:val="bottom"/>
          </w:tcPr>
          <w:p>
            <w:pPr>
              <w:ind w:left="140"/>
              <w:spacing w:after="0" w:line="123" w:lineRule="exact"/>
              <w:rPr>
                <w:sz w:val="20"/>
                <w:szCs w:val="20"/>
                <w:color w:val="auto"/>
              </w:rPr>
            </w:pPr>
            <w:r>
              <w:rPr>
                <w:rFonts w:ascii="Arial" w:cs="Arial" w:eastAsia="Arial" w:hAnsi="Arial"/>
                <w:sz w:val="11"/>
                <w:szCs w:val="11"/>
                <w:color w:val="auto"/>
              </w:rPr>
              <w:t>the Colombian</w:t>
            </w:r>
          </w:p>
        </w:tc>
        <w:tc>
          <w:tcPr>
            <w:tcW w:w="960" w:type="dxa"/>
            <w:vAlign w:val="bottom"/>
            <w:gridSpan w:val="3"/>
          </w:tcPr>
          <w:p>
            <w:pPr>
              <w:ind w:left="100"/>
              <w:spacing w:after="0" w:line="123" w:lineRule="exact"/>
              <w:rPr>
                <w:sz w:val="20"/>
                <w:szCs w:val="20"/>
                <w:color w:val="auto"/>
              </w:rPr>
            </w:pPr>
            <w:r>
              <w:rPr>
                <w:rFonts w:ascii="Arial" w:cs="Arial" w:eastAsia="Arial" w:hAnsi="Arial"/>
                <w:sz w:val="11"/>
                <w:szCs w:val="11"/>
                <w:color w:val="auto"/>
              </w:rPr>
              <w:t>Colombian</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1100" w:type="dxa"/>
            <w:vAlign w:val="bottom"/>
          </w:tcPr>
          <w:p>
            <w:pPr>
              <w:ind w:left="140"/>
              <w:spacing w:after="0"/>
              <w:rPr>
                <w:sz w:val="20"/>
                <w:szCs w:val="20"/>
                <w:color w:val="auto"/>
              </w:rPr>
            </w:pPr>
            <w:r>
              <w:rPr>
                <w:rFonts w:ascii="Arial" w:cs="Arial" w:eastAsia="Arial" w:hAnsi="Arial"/>
                <w:sz w:val="11"/>
                <w:szCs w:val="11"/>
                <w:color w:val="auto"/>
              </w:rPr>
              <w:t>Government</w:t>
            </w:r>
          </w:p>
        </w:tc>
        <w:tc>
          <w:tcPr>
            <w:tcW w:w="100" w:type="dxa"/>
            <w:vAlign w:val="bottom"/>
          </w:tcPr>
          <w:p>
            <w:pPr>
              <w:spacing w:after="0"/>
              <w:rPr>
                <w:sz w:val="11"/>
                <w:szCs w:val="11"/>
                <w:color w:val="auto"/>
              </w:rPr>
            </w:pPr>
          </w:p>
        </w:tc>
        <w:tc>
          <w:tcPr>
            <w:tcW w:w="860" w:type="dxa"/>
            <w:vAlign w:val="bottom"/>
            <w:gridSpan w:val="2"/>
          </w:tcPr>
          <w:p>
            <w:pPr>
              <w:ind w:left="140"/>
              <w:spacing w:after="0"/>
              <w:rPr>
                <w:sz w:val="20"/>
                <w:szCs w:val="20"/>
                <w:color w:val="auto"/>
              </w:rPr>
            </w:pPr>
            <w:r>
              <w:rPr>
                <w:rFonts w:ascii="Arial" w:cs="Arial" w:eastAsia="Arial" w:hAnsi="Arial"/>
                <w:sz w:val="11"/>
                <w:szCs w:val="11"/>
                <w:color w:val="auto"/>
              </w:rPr>
              <w:t>pesos</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5.79</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462,739</w:t>
            </w:r>
          </w:p>
        </w:tc>
        <w:tc>
          <w:tcPr>
            <w:tcW w:w="520" w:type="dxa"/>
            <w:vAlign w:val="bottom"/>
          </w:tcPr>
          <w:p>
            <w:pPr>
              <w:jc w:val="right"/>
              <w:spacing w:after="0"/>
              <w:rPr>
                <w:sz w:val="20"/>
                <w:szCs w:val="20"/>
                <w:color w:val="auto"/>
              </w:rPr>
            </w:pPr>
            <w:r>
              <w:rPr>
                <w:rFonts w:ascii="Arial" w:cs="Arial" w:eastAsia="Arial" w:hAnsi="Arial"/>
                <w:sz w:val="11"/>
                <w:szCs w:val="11"/>
                <w:color w:val="auto"/>
              </w:rPr>
              <w:t>346,918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1,692</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811,349</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814,101</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5.49</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135,997</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941,431</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1,077,428</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1,077,917</w:t>
            </w:r>
          </w:p>
        </w:tc>
      </w:tr>
      <w:tr>
        <w:trPr>
          <w:trHeight w:val="109"/>
        </w:trPr>
        <w:tc>
          <w:tcPr>
            <w:tcW w:w="11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Instruments issued by</w:t>
            </w: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3"/>
        </w:trPr>
        <w:tc>
          <w:tcPr>
            <w:tcW w:w="1100" w:type="dxa"/>
            <w:vAlign w:val="bottom"/>
            <w:shd w:val="clear" w:color="auto" w:fill="CCEEFF"/>
          </w:tcPr>
          <w:p>
            <w:pPr>
              <w:ind w:left="140"/>
              <w:spacing w:after="0" w:line="123" w:lineRule="exact"/>
              <w:rPr>
                <w:sz w:val="20"/>
                <w:szCs w:val="20"/>
                <w:color w:val="auto"/>
              </w:rPr>
            </w:pPr>
            <w:r>
              <w:rPr>
                <w:rFonts w:ascii="Arial" w:cs="Arial" w:eastAsia="Arial" w:hAnsi="Arial"/>
                <w:sz w:val="11"/>
                <w:szCs w:val="11"/>
                <w:color w:val="auto"/>
              </w:rPr>
              <w:t>the Chilean</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7"/>
        </w:trPr>
        <w:tc>
          <w:tcPr>
            <w:tcW w:w="11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Government</w:t>
            </w:r>
          </w:p>
        </w:tc>
        <w:tc>
          <w:tcPr>
            <w:tcW w:w="96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Chilean pesos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0.13</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37,544</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37,544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37,675</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0.20</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130,551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44,411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174,962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175,054</w:t>
            </w:r>
          </w:p>
        </w:tc>
      </w:tr>
      <w:tr>
        <w:trPr>
          <w:trHeight w:val="135"/>
        </w:trPr>
        <w:tc>
          <w:tcPr>
            <w:tcW w:w="1100" w:type="dxa"/>
            <w:vAlign w:val="bottom"/>
          </w:tcPr>
          <w:p>
            <w:pPr>
              <w:spacing w:after="0"/>
              <w:rPr>
                <w:sz w:val="20"/>
                <w:szCs w:val="20"/>
                <w:color w:val="auto"/>
              </w:rPr>
            </w:pPr>
            <w:r>
              <w:rPr>
                <w:rFonts w:ascii="Arial" w:cs="Arial" w:eastAsia="Arial" w:hAnsi="Arial"/>
                <w:sz w:val="11"/>
                <w:szCs w:val="11"/>
                <w:color w:val="auto"/>
              </w:rPr>
              <w:t>Other instruments</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0.50</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51,961</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336</w:t>
            </w:r>
          </w:p>
        </w:tc>
        <w:tc>
          <w:tcPr>
            <w:tcW w:w="10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52,297</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52,524</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2.07</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70,997</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16,809</w:t>
            </w:r>
          </w:p>
        </w:tc>
        <w:tc>
          <w:tcPr>
            <w:tcW w:w="560" w:type="dxa"/>
            <w:vAlign w:val="bottom"/>
          </w:tcPr>
          <w:p>
            <w:pPr>
              <w:jc w:val="right"/>
              <w:spacing w:after="0"/>
              <w:rPr>
                <w:sz w:val="20"/>
                <w:szCs w:val="20"/>
                <w:color w:val="auto"/>
              </w:rPr>
            </w:pPr>
            <w:r>
              <w:rPr>
                <w:rFonts w:ascii="Arial" w:cs="Arial" w:eastAsia="Arial" w:hAnsi="Arial"/>
                <w:sz w:val="11"/>
                <w:szCs w:val="11"/>
                <w:color w:val="auto"/>
              </w:rPr>
              <w:t>6,355</w:t>
            </w:r>
          </w:p>
        </w:tc>
        <w:tc>
          <w:tcPr>
            <w:tcW w:w="2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94,161</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105,086</w:t>
            </w:r>
          </w:p>
        </w:tc>
      </w:tr>
      <w:tr>
        <w:trPr>
          <w:trHeight w:val="127"/>
        </w:trPr>
        <w:tc>
          <w:tcPr>
            <w:tcW w:w="1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623,528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347,254</w:t>
            </w:r>
          </w:p>
        </w:tc>
        <w:tc>
          <w:tcPr>
            <w:tcW w:w="80" w:type="dxa"/>
            <w:vAlign w:val="bottom"/>
            <w:tcBorders>
              <w:top w:val="single" w:sz="8" w:color="CCEEFF"/>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7,283,944</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8,254,726</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8,640,498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402,445</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1,028,350</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6,247,221</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1"/>
                <w:szCs w:val="11"/>
                <w:color w:val="auto"/>
                <w:w w:val="89"/>
              </w:rPr>
              <w:t>7,678,016</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1"/>
                <w:szCs w:val="11"/>
                <w:color w:val="auto"/>
                <w:w w:val="85"/>
              </w:rPr>
              <w:t>8,067,239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15875</wp:posOffset>
            </wp:positionV>
            <wp:extent cx="714438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840"/>
          </w:cols>
          <w:pgMar w:left="600" w:top="839" w:right="459" w:bottom="1440" w:gutter="0" w:footer="0" w:header="0"/>
        </w:sectPr>
      </w:pPr>
    </w:p>
    <w:bookmarkStart w:id="29" w:name="page30"/>
    <w:bookmarkEnd w:id="29"/>
    <w:p>
      <w:pPr>
        <w:ind w:left="287" w:hanging="287"/>
        <w:spacing w:after="0" w:line="287" w:lineRule="auto"/>
        <w:tabs>
          <w:tab w:leader="none" w:pos="287"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of March 31, 2020 and December 31, 2019, the Group has repurchase agreements secured with: (i) cash, see Note 5(a), and (ii) investments, see Note 6(b). This item consists of the following:</w:t>
      </w:r>
    </w:p>
    <w:p>
      <w:pPr>
        <w:spacing w:after="0" w:line="154" w:lineRule="exact"/>
        <w:rPr>
          <w:sz w:val="20"/>
          <w:szCs w:val="20"/>
          <w:color w:val="auto"/>
        </w:rPr>
      </w:pPr>
    </w:p>
    <w:tbl>
      <w:tblPr>
        <w:tblLayout w:type="fixed"/>
        <w:tblInd w:w="287" w:type="dxa"/>
        <w:tblCellMar>
          <w:top w:w="0" w:type="dxa"/>
          <w:left w:w="0" w:type="dxa"/>
          <w:bottom w:w="0" w:type="dxa"/>
          <w:right w:w="0" w:type="dxa"/>
        </w:tblCellMar>
      </w:tblP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rPr>
              <w:t>As of March 31, 2020</w:t>
            </w:r>
          </w:p>
        </w:tc>
        <w:tc>
          <w:tcPr>
            <w:tcW w:w="1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tcBorders>
              <w:bottom w:val="single" w:sz="8" w:color="auto"/>
            </w:tcBorders>
            <w:gridSpan w:val="5"/>
          </w:tcPr>
          <w:p>
            <w:pPr>
              <w:ind w:left="1140"/>
              <w:spacing w:after="0"/>
              <w:rPr>
                <w:sz w:val="20"/>
                <w:szCs w:val="20"/>
                <w:color w:val="auto"/>
              </w:rPr>
            </w:pPr>
            <w:r>
              <w:rPr>
                <w:rFonts w:ascii="Arial" w:cs="Arial" w:eastAsia="Arial" w:hAnsi="Arial"/>
                <w:sz w:val="13"/>
                <w:szCs w:val="13"/>
                <w:b w:val="1"/>
                <w:bCs w:val="1"/>
                <w:color w:val="auto"/>
                <w:w w:val="90"/>
              </w:rPr>
              <w:t>As of December 31, 2019</w:t>
            </w:r>
          </w:p>
        </w:tc>
        <w:tc>
          <w:tcPr>
            <w:tcW w:w="1140" w:type="dxa"/>
            <w:vAlign w:val="bottom"/>
            <w:tcBorders>
              <w:bottom w:val="single" w:sz="8" w:color="auto"/>
            </w:tcBorders>
          </w:tcPr>
          <w:p>
            <w:pPr>
              <w:spacing w:after="0"/>
              <w:rPr>
                <w:sz w:val="13"/>
                <w:szCs w:val="13"/>
                <w:color w:val="auto"/>
              </w:rPr>
            </w:pPr>
          </w:p>
        </w:tc>
      </w:tr>
      <w:tr>
        <w:trPr>
          <w:trHeight w:val="120"/>
        </w:trPr>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Carrying</w:t>
            </w: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Carrying</w:t>
            </w:r>
          </w:p>
        </w:tc>
        <w:tc>
          <w:tcPr>
            <w:tcW w:w="1140" w:type="dxa"/>
            <w:vAlign w:val="bottom"/>
          </w:tcPr>
          <w:p>
            <w:pPr>
              <w:spacing w:after="0"/>
              <w:rPr>
                <w:sz w:val="10"/>
                <w:szCs w:val="10"/>
                <w:color w:val="auto"/>
              </w:rPr>
            </w:pPr>
          </w:p>
        </w:tc>
      </w:tr>
      <w:tr>
        <w:trPr>
          <w:trHeight w:val="155"/>
        </w:trPr>
        <w:tc>
          <w:tcPr>
            <w:tcW w:w="1380" w:type="dxa"/>
            <w:vAlign w:val="bottom"/>
            <w:gridSpan w:val="2"/>
          </w:tcPr>
          <w:p>
            <w:pPr>
              <w:spacing w:after="0"/>
              <w:rPr>
                <w:sz w:val="20"/>
                <w:szCs w:val="20"/>
                <w:color w:val="auto"/>
              </w:rPr>
            </w:pPr>
            <w:r>
              <w:rPr>
                <w:rFonts w:ascii="Arial" w:cs="Arial" w:eastAsia="Arial" w:hAnsi="Arial"/>
                <w:sz w:val="13"/>
                <w:szCs w:val="13"/>
                <w:b w:val="1"/>
                <w:bCs w:val="1"/>
                <w:color w:val="auto"/>
              </w:rPr>
              <w:t>Counterparties</w:t>
            </w:r>
          </w:p>
        </w:tc>
        <w:tc>
          <w:tcPr>
            <w:tcW w:w="1140" w:type="dxa"/>
            <w:vAlign w:val="bottom"/>
            <w:gridSpan w:val="2"/>
          </w:tcPr>
          <w:p>
            <w:pPr>
              <w:ind w:left="240"/>
              <w:spacing w:after="0"/>
              <w:rPr>
                <w:sz w:val="20"/>
                <w:szCs w:val="20"/>
                <w:color w:val="auto"/>
              </w:rPr>
            </w:pPr>
            <w:r>
              <w:rPr>
                <w:rFonts w:ascii="Arial" w:cs="Arial" w:eastAsia="Arial" w:hAnsi="Arial"/>
                <w:sz w:val="13"/>
                <w:szCs w:val="13"/>
                <w:b w:val="1"/>
                <w:bCs w:val="1"/>
                <w:color w:val="auto"/>
              </w:rPr>
              <w:t>Currency</w:t>
            </w:r>
          </w:p>
        </w:tc>
        <w:tc>
          <w:tcPr>
            <w:tcW w:w="168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Maturity</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amount</w:t>
            </w:r>
          </w:p>
        </w:tc>
        <w:tc>
          <w:tcPr>
            <w:tcW w:w="1440" w:type="dxa"/>
            <w:vAlign w:val="bottom"/>
            <w:gridSpan w:val="2"/>
          </w:tcPr>
          <w:p>
            <w:pPr>
              <w:ind w:left="400"/>
              <w:spacing w:after="0"/>
              <w:rPr>
                <w:sz w:val="20"/>
                <w:szCs w:val="20"/>
                <w:color w:val="auto"/>
              </w:rPr>
            </w:pPr>
            <w:r>
              <w:rPr>
                <w:rFonts w:ascii="Arial" w:cs="Arial" w:eastAsia="Arial" w:hAnsi="Arial"/>
                <w:sz w:val="13"/>
                <w:szCs w:val="13"/>
                <w:b w:val="1"/>
                <w:bCs w:val="1"/>
                <w:color w:val="auto"/>
              </w:rPr>
              <w:t>Collateral</w:t>
            </w:r>
          </w:p>
        </w:tc>
        <w:tc>
          <w:tcPr>
            <w:tcW w:w="1540" w:type="dxa"/>
            <w:vAlign w:val="bottom"/>
            <w:gridSpan w:val="2"/>
          </w:tcPr>
          <w:p>
            <w:pPr>
              <w:ind w:left="420"/>
              <w:spacing w:after="0"/>
              <w:rPr>
                <w:sz w:val="20"/>
                <w:szCs w:val="20"/>
                <w:color w:val="auto"/>
              </w:rPr>
            </w:pPr>
            <w:r>
              <w:rPr>
                <w:rFonts w:ascii="Arial" w:cs="Arial" w:eastAsia="Arial" w:hAnsi="Arial"/>
                <w:sz w:val="13"/>
                <w:szCs w:val="13"/>
                <w:b w:val="1"/>
                <w:bCs w:val="1"/>
                <w:color w:val="auto"/>
              </w:rPr>
              <w:t>Maturity</w:t>
            </w:r>
          </w:p>
        </w:tc>
        <w:tc>
          <w:tcPr>
            <w:tcW w:w="10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3"/>
              </w:rPr>
              <w:t>amount</w:t>
            </w:r>
          </w:p>
        </w:tc>
        <w:tc>
          <w:tcPr>
            <w:tcW w:w="1140" w:type="dxa"/>
            <w:vAlign w:val="bottom"/>
          </w:tcPr>
          <w:p>
            <w:pPr>
              <w:ind w:left="280"/>
              <w:spacing w:after="0"/>
              <w:rPr>
                <w:sz w:val="20"/>
                <w:szCs w:val="20"/>
                <w:color w:val="auto"/>
              </w:rPr>
            </w:pPr>
            <w:r>
              <w:rPr>
                <w:rFonts w:ascii="Arial" w:cs="Arial" w:eastAsia="Arial" w:hAnsi="Arial"/>
                <w:sz w:val="13"/>
                <w:szCs w:val="13"/>
                <w:b w:val="1"/>
                <w:bCs w:val="1"/>
                <w:color w:val="auto"/>
              </w:rPr>
              <w:t>Collateral</w:t>
            </w:r>
          </w:p>
        </w:tc>
      </w:tr>
      <w:tr>
        <w:trPr>
          <w:trHeight w:val="127"/>
        </w:trPr>
        <w:tc>
          <w:tcPr>
            <w:tcW w:w="12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top w:val="single" w:sz="8" w:color="auto"/>
            </w:tcBorders>
          </w:tcPr>
          <w:p>
            <w:pPr>
              <w:jc w:val="right"/>
              <w:ind w:right="95"/>
              <w:spacing w:after="0" w:line="128"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top w:val="single" w:sz="8" w:color="auto"/>
            </w:tcBorders>
          </w:tcPr>
          <w:p>
            <w:pPr>
              <w:jc w:val="right"/>
              <w:ind w:right="95"/>
              <w:spacing w:after="0" w:line="128" w:lineRule="exact"/>
              <w:rPr>
                <w:sz w:val="20"/>
                <w:szCs w:val="20"/>
                <w:color w:val="auto"/>
              </w:rPr>
            </w:pPr>
            <w:r>
              <w:rPr>
                <w:rFonts w:ascii="Arial" w:cs="Arial" w:eastAsia="Arial" w:hAnsi="Arial"/>
                <w:sz w:val="13"/>
                <w:szCs w:val="13"/>
                <w:b w:val="1"/>
                <w:bCs w:val="1"/>
                <w:color w:val="auto"/>
              </w:rPr>
              <w:t>S/(000)</w:t>
            </w:r>
          </w:p>
        </w:tc>
        <w:tc>
          <w:tcPr>
            <w:tcW w:w="200" w:type="dxa"/>
            <w:vAlign w:val="bottom"/>
            <w:gridSpan w:val="2"/>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119"/>
        </w:trPr>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100"/>
              <w:spacing w:after="0" w:line="119" w:lineRule="exact"/>
              <w:rPr>
                <w:sz w:val="20"/>
                <w:szCs w:val="20"/>
                <w:color w:val="auto"/>
              </w:rPr>
            </w:pPr>
            <w:r>
              <w:rPr>
                <w:rFonts w:ascii="Arial" w:cs="Arial" w:eastAsia="Arial" w:hAnsi="Arial"/>
                <w:sz w:val="13"/>
                <w:szCs w:val="13"/>
                <w:color w:val="auto"/>
              </w:rPr>
              <w:t>February 2020 /</w:t>
            </w: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51"/>
        </w:trPr>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BCRP, Note 5(a)(i)</w:t>
            </w:r>
          </w:p>
        </w:tc>
        <w:tc>
          <w:tcPr>
            <w:tcW w:w="1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Soles</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April 2020 / March 2023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2,822,600</w:t>
            </w:r>
          </w:p>
        </w:tc>
        <w:tc>
          <w:tcPr>
            <w:tcW w:w="1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with BCRP</w:t>
            </w: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October 2020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2,800,400</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Cash with BCRP</w:t>
            </w:r>
          </w:p>
        </w:tc>
      </w:tr>
      <w:tr>
        <w:trPr>
          <w:trHeight w:val="119"/>
        </w:trPr>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tcPr>
          <w:p>
            <w:pPr>
              <w:ind w:left="100"/>
              <w:spacing w:after="0" w:line="119" w:lineRule="exact"/>
              <w:rPr>
                <w:sz w:val="20"/>
                <w:szCs w:val="20"/>
                <w:color w:val="auto"/>
              </w:rPr>
            </w:pPr>
            <w:r>
              <w:rPr>
                <w:rFonts w:ascii="Arial" w:cs="Arial" w:eastAsia="Arial" w:hAnsi="Arial"/>
                <w:sz w:val="13"/>
                <w:szCs w:val="13"/>
                <w:color w:val="auto"/>
              </w:rPr>
              <w:t>June 2020 / November</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51"/>
        </w:trPr>
        <w:tc>
          <w:tcPr>
            <w:tcW w:w="1380" w:type="dxa"/>
            <w:vAlign w:val="bottom"/>
            <w:gridSpan w:val="2"/>
          </w:tcPr>
          <w:p>
            <w:pPr>
              <w:spacing w:after="0"/>
              <w:rPr>
                <w:sz w:val="20"/>
                <w:szCs w:val="20"/>
                <w:color w:val="auto"/>
              </w:rPr>
            </w:pPr>
            <w:r>
              <w:rPr>
                <w:rFonts w:ascii="Arial" w:cs="Arial" w:eastAsia="Arial" w:hAnsi="Arial"/>
                <w:sz w:val="13"/>
                <w:szCs w:val="13"/>
                <w:color w:val="auto"/>
              </w:rPr>
              <w:t>BCRP</w:t>
            </w:r>
          </w:p>
        </w:tc>
        <w:tc>
          <w:tcPr>
            <w:tcW w:w="1140" w:type="dxa"/>
            <w:vAlign w:val="bottom"/>
            <w:gridSpan w:val="2"/>
          </w:tcPr>
          <w:p>
            <w:pPr>
              <w:spacing w:after="0"/>
              <w:rPr>
                <w:sz w:val="20"/>
                <w:szCs w:val="20"/>
                <w:color w:val="auto"/>
              </w:rPr>
            </w:pPr>
            <w:r>
              <w:rPr>
                <w:rFonts w:ascii="Arial" w:cs="Arial" w:eastAsia="Arial" w:hAnsi="Arial"/>
                <w:sz w:val="13"/>
                <w:szCs w:val="13"/>
                <w:color w:val="auto"/>
              </w:rPr>
              <w:t>Soles</w:t>
            </w:r>
          </w:p>
        </w:tc>
        <w:tc>
          <w:tcPr>
            <w:tcW w:w="1680" w:type="dxa"/>
            <w:vAlign w:val="bottom"/>
            <w:gridSpan w:val="2"/>
          </w:tcPr>
          <w:p>
            <w:pPr>
              <w:jc w:val="right"/>
              <w:ind w:right="220"/>
              <w:spacing w:after="0"/>
              <w:rPr>
                <w:sz w:val="20"/>
                <w:szCs w:val="20"/>
                <w:color w:val="auto"/>
              </w:rPr>
            </w:pPr>
            <w:r>
              <w:rPr>
                <w:rFonts w:ascii="Arial" w:cs="Arial" w:eastAsia="Arial" w:hAnsi="Arial"/>
                <w:sz w:val="13"/>
                <w:szCs w:val="13"/>
                <w:color w:val="auto"/>
              </w:rPr>
              <w:t>June 2020 / March 2021</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2,439,675</w:t>
            </w:r>
          </w:p>
        </w:tc>
        <w:tc>
          <w:tcPr>
            <w:tcW w:w="1440" w:type="dxa"/>
            <w:vAlign w:val="bottom"/>
            <w:gridSpan w:val="2"/>
          </w:tcPr>
          <w:p>
            <w:pPr>
              <w:spacing w:after="0"/>
              <w:rPr>
                <w:sz w:val="20"/>
                <w:szCs w:val="20"/>
                <w:color w:val="auto"/>
              </w:rPr>
            </w:pPr>
            <w:r>
              <w:rPr>
                <w:rFonts w:ascii="Arial" w:cs="Arial" w:eastAsia="Arial" w:hAnsi="Arial"/>
                <w:sz w:val="13"/>
                <w:szCs w:val="13"/>
                <w:color w:val="auto"/>
              </w:rPr>
              <w:t>Investments</w:t>
            </w:r>
          </w:p>
        </w:tc>
        <w:tc>
          <w:tcPr>
            <w:tcW w:w="1340" w:type="dxa"/>
            <w:vAlign w:val="bottom"/>
          </w:tcPr>
          <w:p>
            <w:pPr>
              <w:ind w:left="100"/>
              <w:spacing w:after="0"/>
              <w:rPr>
                <w:sz w:val="20"/>
                <w:szCs w:val="20"/>
                <w:color w:val="auto"/>
              </w:rPr>
            </w:pPr>
            <w:r>
              <w:rPr>
                <w:rFonts w:ascii="Arial" w:cs="Arial" w:eastAsia="Arial" w:hAnsi="Arial"/>
                <w:sz w:val="13"/>
                <w:szCs w:val="13"/>
                <w:color w:val="auto"/>
              </w:rPr>
              <w:t>2020</w:t>
            </w:r>
          </w:p>
        </w:tc>
        <w:tc>
          <w:tcPr>
            <w:tcW w:w="2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1,504,088</w:t>
            </w:r>
          </w:p>
        </w:tc>
        <w:tc>
          <w:tcPr>
            <w:tcW w:w="18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Investments</w:t>
            </w:r>
          </w:p>
        </w:tc>
      </w:tr>
      <w:tr>
        <w:trPr>
          <w:trHeight w:val="119"/>
        </w:trPr>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8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3"/>
                <w:szCs w:val="13"/>
                <w:color w:val="auto"/>
              </w:rPr>
              <w:t>August 2020 / August</w:t>
            </w: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100"/>
              <w:spacing w:after="0" w:line="119" w:lineRule="exact"/>
              <w:rPr>
                <w:sz w:val="20"/>
                <w:szCs w:val="20"/>
                <w:color w:val="auto"/>
              </w:rPr>
            </w:pPr>
            <w:r>
              <w:rPr>
                <w:rFonts w:ascii="Arial" w:cs="Arial" w:eastAsia="Arial" w:hAnsi="Arial"/>
                <w:sz w:val="13"/>
                <w:szCs w:val="13"/>
                <w:color w:val="auto"/>
              </w:rPr>
              <w:t>August 2020 / August</w:t>
            </w: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51"/>
        </w:trPr>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Natixis S.A.</w:t>
            </w:r>
          </w:p>
        </w:tc>
        <w:tc>
          <w:tcPr>
            <w:tcW w:w="1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Soles</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2028</w:t>
            </w: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570,000</w:t>
            </w:r>
          </w:p>
        </w:tc>
        <w:tc>
          <w:tcPr>
            <w:tcW w:w="1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Investments</w:t>
            </w:r>
          </w:p>
        </w:tc>
        <w:tc>
          <w:tcPr>
            <w:tcW w:w="1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2028</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570,000</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Investments</w:t>
            </w:r>
          </w:p>
        </w:tc>
      </w:tr>
      <w:tr>
        <w:trPr>
          <w:trHeight w:val="119"/>
        </w:trPr>
        <w:tc>
          <w:tcPr>
            <w:tcW w:w="1380" w:type="dxa"/>
            <w:vAlign w:val="bottom"/>
            <w:gridSpan w:val="2"/>
          </w:tcPr>
          <w:p>
            <w:pPr>
              <w:spacing w:after="0" w:line="119" w:lineRule="exact"/>
              <w:rPr>
                <w:sz w:val="20"/>
                <w:szCs w:val="20"/>
                <w:color w:val="auto"/>
              </w:rPr>
            </w:pPr>
            <w:r>
              <w:rPr>
                <w:rFonts w:ascii="Arial" w:cs="Arial" w:eastAsia="Arial" w:hAnsi="Arial"/>
                <w:sz w:val="13"/>
                <w:szCs w:val="13"/>
                <w:color w:val="auto"/>
              </w:rPr>
              <w:t>Banco Central de</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2"/>
          </w:tcPr>
          <w:p>
            <w:pPr>
              <w:jc w:val="right"/>
              <w:ind w:right="220"/>
              <w:spacing w:after="0" w:line="119" w:lineRule="exact"/>
              <w:rPr>
                <w:sz w:val="20"/>
                <w:szCs w:val="20"/>
                <w:color w:val="auto"/>
              </w:rPr>
            </w:pPr>
            <w:r>
              <w:rPr>
                <w:rFonts w:ascii="Arial" w:cs="Arial" w:eastAsia="Arial" w:hAnsi="Arial"/>
                <w:sz w:val="13"/>
                <w:szCs w:val="13"/>
                <w:color w:val="auto"/>
              </w:rPr>
              <w:t>May 2020 / February</w:t>
            </w: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tcPr>
          <w:p>
            <w:pPr>
              <w:ind w:left="100"/>
              <w:spacing w:after="0" w:line="119" w:lineRule="exact"/>
              <w:rPr>
                <w:sz w:val="20"/>
                <w:szCs w:val="20"/>
                <w:color w:val="auto"/>
              </w:rPr>
            </w:pPr>
            <w:r>
              <w:rPr>
                <w:rFonts w:ascii="Arial" w:cs="Arial" w:eastAsia="Arial" w:hAnsi="Arial"/>
                <w:sz w:val="13"/>
                <w:szCs w:val="13"/>
                <w:color w:val="auto"/>
              </w:rPr>
              <w:t>May 2020 / February</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51"/>
        </w:trPr>
        <w:tc>
          <w:tcPr>
            <w:tcW w:w="1380" w:type="dxa"/>
            <w:vAlign w:val="bottom"/>
            <w:gridSpan w:val="2"/>
          </w:tcPr>
          <w:p>
            <w:pPr>
              <w:spacing w:after="0"/>
              <w:rPr>
                <w:sz w:val="20"/>
                <w:szCs w:val="20"/>
                <w:color w:val="auto"/>
              </w:rPr>
            </w:pPr>
            <w:r>
              <w:rPr>
                <w:rFonts w:ascii="Arial" w:cs="Arial" w:eastAsia="Arial" w:hAnsi="Arial"/>
                <w:sz w:val="13"/>
                <w:szCs w:val="13"/>
                <w:color w:val="auto"/>
              </w:rPr>
              <w:t>Bolivia</w:t>
            </w:r>
          </w:p>
        </w:tc>
        <w:tc>
          <w:tcPr>
            <w:tcW w:w="1140" w:type="dxa"/>
            <w:vAlign w:val="bottom"/>
            <w:gridSpan w:val="2"/>
          </w:tcPr>
          <w:p>
            <w:pPr>
              <w:spacing w:after="0"/>
              <w:rPr>
                <w:sz w:val="20"/>
                <w:szCs w:val="20"/>
                <w:color w:val="auto"/>
              </w:rPr>
            </w:pPr>
            <w:r>
              <w:rPr>
                <w:rFonts w:ascii="Arial" w:cs="Arial" w:eastAsia="Arial" w:hAnsi="Arial"/>
                <w:sz w:val="13"/>
                <w:szCs w:val="13"/>
                <w:color w:val="auto"/>
              </w:rPr>
              <w:t>Bolivianos</w:t>
            </w:r>
          </w:p>
        </w:tc>
        <w:tc>
          <w:tcPr>
            <w:tcW w:w="1460" w:type="dxa"/>
            <w:vAlign w:val="bottom"/>
          </w:tcPr>
          <w:p>
            <w:pPr>
              <w:jc w:val="right"/>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466,354</w:t>
            </w:r>
          </w:p>
        </w:tc>
        <w:tc>
          <w:tcPr>
            <w:tcW w:w="1440" w:type="dxa"/>
            <w:vAlign w:val="bottom"/>
            <w:gridSpan w:val="2"/>
          </w:tcPr>
          <w:p>
            <w:pPr>
              <w:spacing w:after="0"/>
              <w:rPr>
                <w:sz w:val="20"/>
                <w:szCs w:val="20"/>
                <w:color w:val="auto"/>
              </w:rPr>
            </w:pPr>
            <w:r>
              <w:rPr>
                <w:rFonts w:ascii="Arial" w:cs="Arial" w:eastAsia="Arial" w:hAnsi="Arial"/>
                <w:sz w:val="13"/>
                <w:szCs w:val="13"/>
                <w:color w:val="auto"/>
              </w:rPr>
              <w:t>Cash</w:t>
            </w:r>
          </w:p>
        </w:tc>
        <w:tc>
          <w:tcPr>
            <w:tcW w:w="1340" w:type="dxa"/>
            <w:vAlign w:val="bottom"/>
          </w:tcPr>
          <w:p>
            <w:pPr>
              <w:ind w:left="100"/>
              <w:spacing w:after="0"/>
              <w:rPr>
                <w:sz w:val="20"/>
                <w:szCs w:val="20"/>
                <w:color w:val="auto"/>
              </w:rPr>
            </w:pPr>
            <w:r>
              <w:rPr>
                <w:rFonts w:ascii="Arial" w:cs="Arial" w:eastAsia="Arial" w:hAnsi="Arial"/>
                <w:sz w:val="13"/>
                <w:szCs w:val="13"/>
                <w:color w:val="auto"/>
              </w:rPr>
              <w:t>2021</w:t>
            </w:r>
          </w:p>
        </w:tc>
        <w:tc>
          <w:tcPr>
            <w:tcW w:w="2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398,586</w:t>
            </w:r>
          </w:p>
        </w:tc>
        <w:tc>
          <w:tcPr>
            <w:tcW w:w="18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Cash</w:t>
            </w:r>
          </w:p>
        </w:tc>
      </w:tr>
      <w:tr>
        <w:trPr>
          <w:trHeight w:val="119"/>
        </w:trPr>
        <w:tc>
          <w:tcPr>
            <w:tcW w:w="1380" w:type="dxa"/>
            <w:vAlign w:val="bottom"/>
            <w:gridSpan w:val="2"/>
            <w:shd w:val="clear" w:color="auto" w:fill="CCEEFF"/>
          </w:tcPr>
          <w:p>
            <w:pPr>
              <w:spacing w:after="0" w:line="119" w:lineRule="exact"/>
              <w:rPr>
                <w:sz w:val="20"/>
                <w:szCs w:val="20"/>
                <w:color w:val="auto"/>
              </w:rPr>
            </w:pPr>
            <w:r>
              <w:rPr>
                <w:rFonts w:ascii="Arial" w:cs="Arial" w:eastAsia="Arial" w:hAnsi="Arial"/>
                <w:sz w:val="13"/>
                <w:szCs w:val="13"/>
                <w:color w:val="auto"/>
              </w:rPr>
              <w:t>Nomura International</w:t>
            </w: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51"/>
        </w:trPr>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PLC</w:t>
            </w:r>
          </w:p>
        </w:tc>
        <w:tc>
          <w:tcPr>
            <w:tcW w:w="1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Dollar</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August 2020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274,960</w:t>
            </w:r>
          </w:p>
        </w:tc>
        <w:tc>
          <w:tcPr>
            <w:tcW w:w="1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Investments and cash</w:t>
            </w: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August 2020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265,120</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w w:val="88"/>
              </w:rPr>
              <w:t>Investments and cash</w:t>
            </w:r>
          </w:p>
        </w:tc>
      </w:tr>
      <w:tr>
        <w:trPr>
          <w:trHeight w:val="119"/>
        </w:trPr>
        <w:tc>
          <w:tcPr>
            <w:tcW w:w="1380" w:type="dxa"/>
            <w:vAlign w:val="bottom"/>
            <w:gridSpan w:val="2"/>
          </w:tcPr>
          <w:p>
            <w:pPr>
              <w:spacing w:after="0" w:line="119" w:lineRule="exact"/>
              <w:rPr>
                <w:sz w:val="20"/>
                <w:szCs w:val="20"/>
                <w:color w:val="auto"/>
              </w:rPr>
            </w:pPr>
            <w:r>
              <w:rPr>
                <w:rFonts w:ascii="Arial" w:cs="Arial" w:eastAsia="Arial" w:hAnsi="Arial"/>
                <w:sz w:val="13"/>
                <w:szCs w:val="13"/>
                <w:color w:val="auto"/>
              </w:rPr>
              <w:t>Nomura International</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51"/>
        </w:trPr>
        <w:tc>
          <w:tcPr>
            <w:tcW w:w="1380" w:type="dxa"/>
            <w:vAlign w:val="bottom"/>
            <w:gridSpan w:val="2"/>
          </w:tcPr>
          <w:p>
            <w:pPr>
              <w:spacing w:after="0"/>
              <w:rPr>
                <w:sz w:val="20"/>
                <w:szCs w:val="20"/>
                <w:color w:val="auto"/>
              </w:rPr>
            </w:pPr>
            <w:r>
              <w:rPr>
                <w:rFonts w:ascii="Arial" w:cs="Arial" w:eastAsia="Arial" w:hAnsi="Arial"/>
                <w:sz w:val="13"/>
                <w:szCs w:val="13"/>
                <w:color w:val="auto"/>
              </w:rPr>
              <w:t>PLC</w:t>
            </w:r>
          </w:p>
        </w:tc>
        <w:tc>
          <w:tcPr>
            <w:tcW w:w="1140" w:type="dxa"/>
            <w:vAlign w:val="bottom"/>
            <w:gridSpan w:val="2"/>
          </w:tcPr>
          <w:p>
            <w:pPr>
              <w:spacing w:after="0"/>
              <w:rPr>
                <w:sz w:val="20"/>
                <w:szCs w:val="20"/>
                <w:color w:val="auto"/>
              </w:rPr>
            </w:pPr>
            <w:r>
              <w:rPr>
                <w:rFonts w:ascii="Arial" w:cs="Arial" w:eastAsia="Arial" w:hAnsi="Arial"/>
                <w:sz w:val="13"/>
                <w:szCs w:val="13"/>
                <w:color w:val="auto"/>
              </w:rPr>
              <w:t>U.S. Dollar</w:t>
            </w:r>
          </w:p>
        </w:tc>
        <w:tc>
          <w:tcPr>
            <w:tcW w:w="1680" w:type="dxa"/>
            <w:vAlign w:val="bottom"/>
            <w:gridSpan w:val="2"/>
          </w:tcPr>
          <w:p>
            <w:pPr>
              <w:jc w:val="right"/>
              <w:ind w:right="220"/>
              <w:spacing w:after="0"/>
              <w:rPr>
                <w:sz w:val="20"/>
                <w:szCs w:val="20"/>
                <w:color w:val="auto"/>
              </w:rPr>
            </w:pPr>
            <w:r>
              <w:rPr>
                <w:rFonts w:ascii="Arial" w:cs="Arial" w:eastAsia="Arial" w:hAnsi="Arial"/>
                <w:sz w:val="13"/>
                <w:szCs w:val="13"/>
                <w:color w:val="auto"/>
              </w:rPr>
              <w:t>August 2020</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240,590</w:t>
            </w:r>
          </w:p>
        </w:tc>
        <w:tc>
          <w:tcPr>
            <w:tcW w:w="1440" w:type="dxa"/>
            <w:vAlign w:val="bottom"/>
            <w:gridSpan w:val="2"/>
          </w:tcPr>
          <w:p>
            <w:pPr>
              <w:spacing w:after="0"/>
              <w:rPr>
                <w:sz w:val="20"/>
                <w:szCs w:val="20"/>
                <w:color w:val="auto"/>
              </w:rPr>
            </w:pPr>
            <w:r>
              <w:rPr>
                <w:rFonts w:ascii="Arial" w:cs="Arial" w:eastAsia="Arial" w:hAnsi="Arial"/>
                <w:sz w:val="13"/>
                <w:szCs w:val="13"/>
                <w:color w:val="auto"/>
              </w:rPr>
              <w:t>Investments and cash</w:t>
            </w:r>
          </w:p>
        </w:tc>
        <w:tc>
          <w:tcPr>
            <w:tcW w:w="1540" w:type="dxa"/>
            <w:vAlign w:val="bottom"/>
            <w:gridSpan w:val="2"/>
          </w:tcPr>
          <w:p>
            <w:pPr>
              <w:ind w:left="100"/>
              <w:spacing w:after="0"/>
              <w:rPr>
                <w:sz w:val="20"/>
                <w:szCs w:val="20"/>
                <w:color w:val="auto"/>
              </w:rPr>
            </w:pPr>
            <w:r>
              <w:rPr>
                <w:rFonts w:ascii="Arial" w:cs="Arial" w:eastAsia="Arial" w:hAnsi="Arial"/>
                <w:sz w:val="13"/>
                <w:szCs w:val="13"/>
                <w:color w:val="auto"/>
              </w:rPr>
              <w:t>August 2020</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231,980</w:t>
            </w:r>
          </w:p>
        </w:tc>
        <w:tc>
          <w:tcPr>
            <w:tcW w:w="18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w w:val="88"/>
              </w:rPr>
              <w:t>Investments and cash</w:t>
            </w:r>
          </w:p>
        </w:tc>
      </w:tr>
      <w:tr>
        <w:trPr>
          <w:trHeight w:val="119"/>
        </w:trPr>
        <w:tc>
          <w:tcPr>
            <w:tcW w:w="1380" w:type="dxa"/>
            <w:vAlign w:val="bottom"/>
            <w:gridSpan w:val="2"/>
            <w:shd w:val="clear" w:color="auto" w:fill="CCEEFF"/>
          </w:tcPr>
          <w:p>
            <w:pPr>
              <w:spacing w:after="0" w:line="119" w:lineRule="exact"/>
              <w:rPr>
                <w:sz w:val="20"/>
                <w:szCs w:val="20"/>
                <w:color w:val="auto"/>
              </w:rPr>
            </w:pPr>
            <w:r>
              <w:rPr>
                <w:rFonts w:ascii="Arial" w:cs="Arial" w:eastAsia="Arial" w:hAnsi="Arial"/>
                <w:sz w:val="13"/>
                <w:szCs w:val="13"/>
                <w:color w:val="auto"/>
              </w:rPr>
              <w:t>Citigroup Global</w:t>
            </w: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51"/>
        </w:trPr>
        <w:tc>
          <w:tcPr>
            <w:tcW w:w="1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Market Limited</w:t>
            </w:r>
          </w:p>
        </w:tc>
        <w:tc>
          <w:tcPr>
            <w:tcW w:w="1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Dollar</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August 2026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154,665</w:t>
            </w:r>
          </w:p>
        </w:tc>
        <w:tc>
          <w:tcPr>
            <w:tcW w:w="1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Investments</w:t>
            </w: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August 2026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149,130</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Investments</w:t>
            </w:r>
          </w:p>
        </w:tc>
      </w:tr>
      <w:tr>
        <w:trPr>
          <w:trHeight w:val="119"/>
        </w:trPr>
        <w:tc>
          <w:tcPr>
            <w:tcW w:w="1380" w:type="dxa"/>
            <w:vAlign w:val="bottom"/>
            <w:gridSpan w:val="2"/>
          </w:tcPr>
          <w:p>
            <w:pPr>
              <w:spacing w:after="0" w:line="119" w:lineRule="exact"/>
              <w:rPr>
                <w:sz w:val="20"/>
                <w:szCs w:val="20"/>
                <w:color w:val="auto"/>
              </w:rPr>
            </w:pPr>
            <w:r>
              <w:rPr>
                <w:rFonts w:ascii="Arial" w:cs="Arial" w:eastAsia="Arial" w:hAnsi="Arial"/>
                <w:sz w:val="13"/>
                <w:szCs w:val="13"/>
                <w:color w:val="auto"/>
              </w:rPr>
              <w:t>Citigroup Global</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51"/>
        </w:trPr>
        <w:tc>
          <w:tcPr>
            <w:tcW w:w="1380" w:type="dxa"/>
            <w:vAlign w:val="bottom"/>
            <w:gridSpan w:val="2"/>
          </w:tcPr>
          <w:p>
            <w:pPr>
              <w:spacing w:after="0"/>
              <w:rPr>
                <w:sz w:val="20"/>
                <w:szCs w:val="20"/>
                <w:color w:val="auto"/>
              </w:rPr>
            </w:pPr>
            <w:r>
              <w:rPr>
                <w:rFonts w:ascii="Arial" w:cs="Arial" w:eastAsia="Arial" w:hAnsi="Arial"/>
                <w:sz w:val="13"/>
                <w:szCs w:val="13"/>
                <w:color w:val="auto"/>
              </w:rPr>
              <w:t>Markets Limited</w:t>
            </w:r>
          </w:p>
        </w:tc>
        <w:tc>
          <w:tcPr>
            <w:tcW w:w="1140" w:type="dxa"/>
            <w:vAlign w:val="bottom"/>
            <w:gridSpan w:val="2"/>
          </w:tcPr>
          <w:p>
            <w:pPr>
              <w:spacing w:after="0"/>
              <w:rPr>
                <w:sz w:val="20"/>
                <w:szCs w:val="20"/>
                <w:color w:val="auto"/>
              </w:rPr>
            </w:pPr>
            <w:r>
              <w:rPr>
                <w:rFonts w:ascii="Arial" w:cs="Arial" w:eastAsia="Arial" w:hAnsi="Arial"/>
                <w:sz w:val="13"/>
                <w:szCs w:val="13"/>
                <w:color w:val="auto"/>
              </w:rPr>
              <w:t>Soles</w:t>
            </w:r>
          </w:p>
        </w:tc>
        <w:tc>
          <w:tcPr>
            <w:tcW w:w="1680" w:type="dxa"/>
            <w:vAlign w:val="bottom"/>
            <w:gridSpan w:val="2"/>
          </w:tcPr>
          <w:p>
            <w:pPr>
              <w:jc w:val="right"/>
              <w:ind w:right="220"/>
              <w:spacing w:after="0"/>
              <w:rPr>
                <w:sz w:val="20"/>
                <w:szCs w:val="20"/>
                <w:color w:val="auto"/>
              </w:rPr>
            </w:pPr>
            <w:r>
              <w:rPr>
                <w:rFonts w:ascii="Arial" w:cs="Arial" w:eastAsia="Arial" w:hAnsi="Arial"/>
                <w:sz w:val="13"/>
                <w:szCs w:val="13"/>
                <w:color w:val="auto"/>
              </w:rPr>
              <w:t>August 2020</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100,000</w:t>
            </w:r>
          </w:p>
        </w:tc>
        <w:tc>
          <w:tcPr>
            <w:tcW w:w="1440" w:type="dxa"/>
            <w:vAlign w:val="bottom"/>
            <w:gridSpan w:val="2"/>
          </w:tcPr>
          <w:p>
            <w:pPr>
              <w:spacing w:after="0"/>
              <w:rPr>
                <w:sz w:val="20"/>
                <w:szCs w:val="20"/>
                <w:color w:val="auto"/>
              </w:rPr>
            </w:pPr>
            <w:r>
              <w:rPr>
                <w:rFonts w:ascii="Arial" w:cs="Arial" w:eastAsia="Arial" w:hAnsi="Arial"/>
                <w:sz w:val="13"/>
                <w:szCs w:val="13"/>
                <w:color w:val="auto"/>
              </w:rPr>
              <w:t>Investments</w:t>
            </w:r>
          </w:p>
        </w:tc>
        <w:tc>
          <w:tcPr>
            <w:tcW w:w="1540" w:type="dxa"/>
            <w:vAlign w:val="bottom"/>
            <w:gridSpan w:val="2"/>
          </w:tcPr>
          <w:p>
            <w:pPr>
              <w:ind w:left="100"/>
              <w:spacing w:after="0"/>
              <w:rPr>
                <w:sz w:val="20"/>
                <w:szCs w:val="20"/>
                <w:color w:val="auto"/>
              </w:rPr>
            </w:pPr>
            <w:r>
              <w:rPr>
                <w:rFonts w:ascii="Arial" w:cs="Arial" w:eastAsia="Arial" w:hAnsi="Arial"/>
                <w:sz w:val="13"/>
                <w:szCs w:val="13"/>
                <w:color w:val="auto"/>
              </w:rPr>
              <w:t>August 2020</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100,000</w:t>
            </w:r>
          </w:p>
        </w:tc>
        <w:tc>
          <w:tcPr>
            <w:tcW w:w="18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Investments</w:t>
            </w:r>
          </w:p>
        </w:tc>
      </w:tr>
      <w:tr>
        <w:trPr>
          <w:trHeight w:val="135"/>
        </w:trPr>
        <w:tc>
          <w:tcPr>
            <w:tcW w:w="1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Natixis S.A</w:t>
            </w:r>
          </w:p>
        </w:tc>
        <w:tc>
          <w:tcPr>
            <w:tcW w:w="1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Dollar</w:t>
            </w:r>
          </w:p>
        </w:tc>
        <w:tc>
          <w:tcPr>
            <w:tcW w:w="1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August 2026</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85,925</w:t>
            </w:r>
          </w:p>
        </w:tc>
        <w:tc>
          <w:tcPr>
            <w:tcW w:w="14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Investments</w:t>
            </w:r>
          </w:p>
        </w:tc>
        <w:tc>
          <w:tcPr>
            <w:tcW w:w="15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August 2026</w:t>
            </w: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82,850</w:t>
            </w: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Investments</w:t>
            </w:r>
          </w:p>
        </w:tc>
      </w:tr>
      <w:tr>
        <w:trPr>
          <w:trHeight w:val="135"/>
        </w:trPr>
        <w:tc>
          <w:tcPr>
            <w:tcW w:w="1380" w:type="dxa"/>
            <w:vAlign w:val="bottom"/>
            <w:gridSpan w:val="2"/>
          </w:tcPr>
          <w:p>
            <w:pPr>
              <w:spacing w:after="0" w:line="135" w:lineRule="exact"/>
              <w:rPr>
                <w:sz w:val="20"/>
                <w:szCs w:val="20"/>
                <w:color w:val="auto"/>
              </w:rPr>
            </w:pPr>
            <w:r>
              <w:rPr>
                <w:rFonts w:ascii="Arial" w:cs="Arial" w:eastAsia="Arial" w:hAnsi="Arial"/>
                <w:sz w:val="13"/>
                <w:szCs w:val="13"/>
                <w:color w:val="auto"/>
              </w:rPr>
              <w:t>Banco de la República</w:t>
            </w:r>
          </w:p>
        </w:tc>
        <w:tc>
          <w:tcPr>
            <w:tcW w:w="1140" w:type="dxa"/>
            <w:vAlign w:val="bottom"/>
            <w:gridSpan w:val="2"/>
          </w:tcPr>
          <w:p>
            <w:pPr>
              <w:spacing w:after="0" w:line="135" w:lineRule="exact"/>
              <w:rPr>
                <w:sz w:val="20"/>
                <w:szCs w:val="20"/>
                <w:color w:val="auto"/>
              </w:rPr>
            </w:pPr>
            <w:r>
              <w:rPr>
                <w:rFonts w:ascii="Arial" w:cs="Arial" w:eastAsia="Arial" w:hAnsi="Arial"/>
                <w:sz w:val="13"/>
                <w:szCs w:val="13"/>
                <w:color w:val="auto"/>
              </w:rPr>
              <w:t>Colombian pesos</w:t>
            </w:r>
          </w:p>
        </w:tc>
        <w:tc>
          <w:tcPr>
            <w:tcW w:w="1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April 2020</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63,265</w:t>
            </w:r>
          </w:p>
        </w:tc>
        <w:tc>
          <w:tcPr>
            <w:tcW w:w="1440" w:type="dxa"/>
            <w:vAlign w:val="bottom"/>
            <w:gridSpan w:val="2"/>
          </w:tcPr>
          <w:p>
            <w:pPr>
              <w:spacing w:after="0" w:line="135" w:lineRule="exact"/>
              <w:rPr>
                <w:sz w:val="20"/>
                <w:szCs w:val="20"/>
                <w:color w:val="auto"/>
              </w:rPr>
            </w:pPr>
            <w:r>
              <w:rPr>
                <w:rFonts w:ascii="Arial" w:cs="Arial" w:eastAsia="Arial" w:hAnsi="Arial"/>
                <w:sz w:val="13"/>
                <w:szCs w:val="13"/>
                <w:color w:val="auto"/>
              </w:rPr>
              <w:t>Investments</w:t>
            </w:r>
          </w:p>
        </w:tc>
        <w:tc>
          <w:tcPr>
            <w:tcW w:w="154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January 2020</w:t>
            </w: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64,540</w:t>
            </w:r>
          </w:p>
        </w:tc>
        <w:tc>
          <w:tcPr>
            <w:tcW w:w="180" w:type="dxa"/>
            <w:vAlign w:val="bottom"/>
          </w:tcPr>
          <w:p>
            <w:pPr>
              <w:spacing w:after="0"/>
              <w:rPr>
                <w:sz w:val="11"/>
                <w:szCs w:val="11"/>
                <w:color w:val="auto"/>
              </w:rPr>
            </w:pPr>
          </w:p>
        </w:tc>
        <w:tc>
          <w:tcPr>
            <w:tcW w:w="1140" w:type="dxa"/>
            <w:vAlign w:val="bottom"/>
          </w:tcPr>
          <w:p>
            <w:pPr>
              <w:spacing w:after="0" w:line="135" w:lineRule="exact"/>
              <w:rPr>
                <w:sz w:val="20"/>
                <w:szCs w:val="20"/>
                <w:color w:val="auto"/>
              </w:rPr>
            </w:pPr>
            <w:r>
              <w:rPr>
                <w:rFonts w:ascii="Arial" w:cs="Arial" w:eastAsia="Arial" w:hAnsi="Arial"/>
                <w:sz w:val="13"/>
                <w:szCs w:val="13"/>
                <w:color w:val="auto"/>
              </w:rPr>
              <w:t>Investments</w:t>
            </w:r>
          </w:p>
        </w:tc>
      </w:tr>
      <w:tr>
        <w:trPr>
          <w:trHeight w:val="135"/>
        </w:trPr>
        <w:tc>
          <w:tcPr>
            <w:tcW w:w="13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Naitixis</w:t>
            </w:r>
          </w:p>
        </w:tc>
        <w:tc>
          <w:tcPr>
            <w:tcW w:w="1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Colombian pesos</w:t>
            </w:r>
          </w:p>
        </w:tc>
        <w:tc>
          <w:tcPr>
            <w:tcW w:w="1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October 2020</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34,068</w:t>
            </w:r>
          </w:p>
        </w:tc>
        <w:tc>
          <w:tcPr>
            <w:tcW w:w="1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r>
      <w:tr>
        <w:trPr>
          <w:trHeight w:val="119"/>
        </w:trPr>
        <w:tc>
          <w:tcPr>
            <w:tcW w:w="1380" w:type="dxa"/>
            <w:vAlign w:val="bottom"/>
            <w:gridSpan w:val="2"/>
          </w:tcPr>
          <w:p>
            <w:pPr>
              <w:spacing w:after="0" w:line="119" w:lineRule="exact"/>
              <w:rPr>
                <w:sz w:val="20"/>
                <w:szCs w:val="20"/>
                <w:color w:val="auto"/>
              </w:rPr>
            </w:pPr>
            <w:r>
              <w:rPr>
                <w:rFonts w:ascii="Arial" w:cs="Arial" w:eastAsia="Arial" w:hAnsi="Arial"/>
                <w:sz w:val="13"/>
                <w:szCs w:val="13"/>
                <w:color w:val="auto"/>
              </w:rPr>
              <w:t>Other below S/8.0</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tcPr>
          <w:p>
            <w:pPr>
              <w:ind w:left="100"/>
              <w:spacing w:after="0" w:line="119" w:lineRule="exact"/>
              <w:rPr>
                <w:sz w:val="20"/>
                <w:szCs w:val="20"/>
                <w:color w:val="auto"/>
              </w:rPr>
            </w:pPr>
            <w:r>
              <w:rPr>
                <w:rFonts w:ascii="Arial" w:cs="Arial" w:eastAsia="Arial" w:hAnsi="Arial"/>
                <w:sz w:val="13"/>
                <w:szCs w:val="13"/>
                <w:color w:val="auto"/>
              </w:rPr>
              <w:t>January 2020 / April</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51"/>
        </w:trPr>
        <w:tc>
          <w:tcPr>
            <w:tcW w:w="1380" w:type="dxa"/>
            <w:vAlign w:val="bottom"/>
            <w:gridSpan w:val="2"/>
          </w:tcPr>
          <w:p>
            <w:pPr>
              <w:spacing w:after="0"/>
              <w:rPr>
                <w:sz w:val="20"/>
                <w:szCs w:val="20"/>
                <w:color w:val="auto"/>
              </w:rPr>
            </w:pPr>
            <w:r>
              <w:rPr>
                <w:rFonts w:ascii="Arial" w:cs="Arial" w:eastAsia="Arial" w:hAnsi="Arial"/>
                <w:sz w:val="13"/>
                <w:szCs w:val="13"/>
                <w:color w:val="auto"/>
              </w:rPr>
              <w:t>million</w:t>
            </w:r>
          </w:p>
        </w:tc>
        <w:tc>
          <w:tcPr>
            <w:tcW w:w="1040" w:type="dxa"/>
            <w:vAlign w:val="bottom"/>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3"/>
                <w:szCs w:val="13"/>
                <w:color w:val="auto"/>
              </w:rPr>
              <w:t>April 2020 / April 2033</w:t>
            </w: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8,010</w:t>
            </w:r>
          </w:p>
        </w:tc>
        <w:tc>
          <w:tcPr>
            <w:tcW w:w="1440" w:type="dxa"/>
            <w:vAlign w:val="bottom"/>
            <w:gridSpan w:val="2"/>
          </w:tcPr>
          <w:p>
            <w:pPr>
              <w:spacing w:after="0"/>
              <w:rPr>
                <w:sz w:val="20"/>
                <w:szCs w:val="20"/>
                <w:color w:val="auto"/>
              </w:rPr>
            </w:pPr>
            <w:r>
              <w:rPr>
                <w:rFonts w:ascii="Arial" w:cs="Arial" w:eastAsia="Arial" w:hAnsi="Arial"/>
                <w:sz w:val="13"/>
                <w:szCs w:val="13"/>
                <w:color w:val="auto"/>
              </w:rPr>
              <w:t>Investments</w:t>
            </w:r>
          </w:p>
        </w:tc>
        <w:tc>
          <w:tcPr>
            <w:tcW w:w="1340" w:type="dxa"/>
            <w:vAlign w:val="bottom"/>
          </w:tcPr>
          <w:p>
            <w:pPr>
              <w:ind w:left="100"/>
              <w:spacing w:after="0"/>
              <w:rPr>
                <w:sz w:val="20"/>
                <w:szCs w:val="20"/>
                <w:color w:val="auto"/>
              </w:rPr>
            </w:pPr>
            <w:r>
              <w:rPr>
                <w:rFonts w:ascii="Arial" w:cs="Arial" w:eastAsia="Arial" w:hAnsi="Arial"/>
                <w:sz w:val="13"/>
                <w:szCs w:val="13"/>
                <w:color w:val="auto"/>
              </w:rPr>
              <w:t>2033</w:t>
            </w:r>
          </w:p>
        </w:tc>
        <w:tc>
          <w:tcPr>
            <w:tcW w:w="2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64,970</w:t>
            </w:r>
          </w:p>
        </w:tc>
        <w:tc>
          <w:tcPr>
            <w:tcW w:w="18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Investments</w:t>
            </w:r>
          </w:p>
        </w:tc>
      </w:tr>
      <w:tr>
        <w:trPr>
          <w:trHeight w:val="147"/>
        </w:trPr>
        <w:tc>
          <w:tcPr>
            <w:tcW w:w="13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Accrued interest</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93,424</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99,801</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27"/>
        </w:trPr>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7,353,536</w:t>
            </w: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6,331,465</w:t>
            </w: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r>
    </w:tbl>
    <w:p>
      <w:pPr>
        <w:spacing w:after="0" w:line="184" w:lineRule="exact"/>
        <w:rPr>
          <w:sz w:val="20"/>
          <w:szCs w:val="20"/>
          <w:color w:val="auto"/>
        </w:rPr>
      </w:pPr>
    </w:p>
    <w:p>
      <w:pPr>
        <w:ind w:left="7" w:right="180"/>
        <w:spacing w:after="0" w:line="327" w:lineRule="auto"/>
        <w:rPr>
          <w:sz w:val="20"/>
          <w:szCs w:val="20"/>
          <w:color w:val="auto"/>
        </w:rPr>
      </w:pPr>
      <w:r>
        <w:rPr>
          <w:rFonts w:ascii="Arial" w:cs="Arial" w:eastAsia="Arial" w:hAnsi="Arial"/>
          <w:sz w:val="14"/>
          <w:szCs w:val="14"/>
          <w:color w:val="auto"/>
        </w:rPr>
        <w:t>As of March 31, 2020, said operations accrue interest at fixed and variable rates between 0.72 percent and 7.20 percent and between Libor 3M + 0.80 percent and Libor 6M + 1.90 percent, respectively, (between 2.6 percent and 7.20 percent and between Libor 3M + 0.80 percent and Libor 6M + 1.90 percent, respectively, as of December 31, 2019). Also, certain repurchase agreements were hedged using interest rate swaps (IRS) and cross-currency swaps (CCS), see Note 13(b).</w:t>
      </w:r>
    </w:p>
    <w:p>
      <w:pPr>
        <w:spacing w:after="0" w:line="325" w:lineRule="exact"/>
        <w:rPr>
          <w:sz w:val="20"/>
          <w:szCs w:val="20"/>
          <w:color w:val="auto"/>
        </w:rPr>
      </w:pPr>
    </w:p>
    <w:p>
      <w:pPr>
        <w:jc w:val="center"/>
        <w:ind w:right="273"/>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15875</wp:posOffset>
            </wp:positionV>
            <wp:extent cx="714438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947"/>
          </w:cols>
          <w:pgMar w:left="613" w:top="1036" w:right="339" w:bottom="1440" w:gutter="0" w:footer="0" w:header="0"/>
        </w:sectPr>
      </w:pPr>
    </w:p>
    <w:bookmarkStart w:id="30" w:name="page31"/>
    <w:bookmarkEnd w:id="30"/>
    <w:p>
      <w:pPr>
        <w:ind w:left="582" w:hanging="582"/>
        <w:spacing w:after="0"/>
        <w:tabs>
          <w:tab w:leader="none" w:pos="582"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INVESTMENTS</w:t>
      </w:r>
    </w:p>
    <w:p>
      <w:pPr>
        <w:spacing w:after="0" w:line="213" w:lineRule="exact"/>
        <w:rPr>
          <w:rFonts w:ascii="Arial" w:cs="Arial" w:eastAsia="Arial" w:hAnsi="Arial"/>
          <w:sz w:val="16"/>
          <w:szCs w:val="16"/>
          <w:b w:val="1"/>
          <w:bCs w:val="1"/>
          <w:color w:val="auto"/>
        </w:rPr>
      </w:pPr>
    </w:p>
    <w:p>
      <w:pPr>
        <w:ind w:left="882" w:hanging="292"/>
        <w:spacing w:after="0"/>
        <w:tabs>
          <w:tab w:leader="none" w:pos="882" w:val="left"/>
        </w:tabs>
        <w:numPr>
          <w:ilvl w:val="1"/>
          <w:numId w:val="27"/>
        </w:numPr>
        <w:rPr>
          <w:rFonts w:ascii="Arial" w:cs="Arial" w:eastAsia="Arial" w:hAnsi="Arial"/>
          <w:sz w:val="16"/>
          <w:szCs w:val="16"/>
          <w:color w:val="auto"/>
        </w:rPr>
      </w:pPr>
      <w:r>
        <w:rPr>
          <w:rFonts w:ascii="Arial" w:cs="Arial" w:eastAsia="Arial" w:hAnsi="Arial"/>
          <w:sz w:val="16"/>
          <w:szCs w:val="16"/>
          <w:color w:val="auto"/>
        </w:rPr>
        <w:t>Investment at fair value through profit or loss consist of the following:</w:t>
      </w:r>
    </w:p>
    <w:p>
      <w:pPr>
        <w:spacing w:after="0" w:line="205" w:lineRule="exact"/>
        <w:rPr>
          <w:sz w:val="20"/>
          <w:szCs w:val="20"/>
          <w:color w:val="auto"/>
        </w:rPr>
      </w:pPr>
    </w:p>
    <w:tbl>
      <w:tblPr>
        <w:tblLayout w:type="fixed"/>
        <w:tblInd w:w="582" w:type="dxa"/>
        <w:tblCellMar>
          <w:top w:w="0" w:type="dxa"/>
          <w:left w:w="0" w:type="dxa"/>
          <w:bottom w:w="0" w:type="dxa"/>
          <w:right w:w="0" w:type="dxa"/>
        </w:tblCellMar>
      </w:tblPr>
      <w:tr>
        <w:trPr>
          <w:trHeight w:val="197"/>
        </w:trPr>
        <w:tc>
          <w:tcPr>
            <w:tcW w:w="770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As of March</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0"/>
              </w:rPr>
              <w:t>As of December</w:t>
            </w:r>
          </w:p>
        </w:tc>
      </w:tr>
      <w:tr>
        <w:trPr>
          <w:trHeight w:val="212"/>
        </w:trPr>
        <w:tc>
          <w:tcPr>
            <w:tcW w:w="7700" w:type="dxa"/>
            <w:vAlign w:val="bottom"/>
          </w:tcPr>
          <w:p>
            <w:pPr>
              <w:spacing w:after="0"/>
              <w:rPr>
                <w:sz w:val="18"/>
                <w:szCs w:val="18"/>
                <w:color w:val="auto"/>
              </w:rPr>
            </w:pPr>
          </w:p>
        </w:tc>
        <w:tc>
          <w:tcPr>
            <w:tcW w:w="11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31, 2020</w:t>
            </w: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31, 2019</w:t>
            </w:r>
          </w:p>
        </w:tc>
        <w:tc>
          <w:tcPr>
            <w:tcW w:w="100" w:type="dxa"/>
            <w:vAlign w:val="bottom"/>
          </w:tcPr>
          <w:p>
            <w:pPr>
              <w:spacing w:after="0"/>
              <w:rPr>
                <w:sz w:val="18"/>
                <w:szCs w:val="18"/>
                <w:color w:val="auto"/>
              </w:rPr>
            </w:pPr>
          </w:p>
        </w:tc>
      </w:tr>
      <w:tr>
        <w:trPr>
          <w:trHeight w:val="190"/>
        </w:trPr>
        <w:tc>
          <w:tcPr>
            <w:tcW w:w="7700" w:type="dxa"/>
            <w:vAlign w:val="bottom"/>
          </w:tcPr>
          <w:p>
            <w:pPr>
              <w:spacing w:after="0"/>
              <w:rPr>
                <w:sz w:val="16"/>
                <w:szCs w:val="16"/>
                <w:color w:val="auto"/>
              </w:rPr>
            </w:pPr>
          </w:p>
        </w:tc>
        <w:tc>
          <w:tcPr>
            <w:tcW w:w="1120" w:type="dxa"/>
            <w:vAlign w:val="bottom"/>
          </w:tcPr>
          <w:p>
            <w:pPr>
              <w:jc w:val="right"/>
              <w:ind w:right="178"/>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6"/>
                <w:szCs w:val="16"/>
                <w:color w:val="auto"/>
              </w:rPr>
            </w:pPr>
          </w:p>
        </w:tc>
        <w:tc>
          <w:tcPr>
            <w:tcW w:w="1120" w:type="dxa"/>
            <w:vAlign w:val="bottom"/>
          </w:tcPr>
          <w:p>
            <w:pPr>
              <w:jc w:val="right"/>
              <w:ind w:right="178"/>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6"/>
                <w:szCs w:val="16"/>
                <w:color w:val="auto"/>
              </w:rPr>
            </w:pPr>
          </w:p>
        </w:tc>
      </w:tr>
      <w:tr>
        <w:trPr>
          <w:trHeight w:val="197"/>
        </w:trPr>
        <w:tc>
          <w:tcPr>
            <w:tcW w:w="7700" w:type="dxa"/>
            <w:vAlign w:val="bottom"/>
            <w:shd w:val="clear" w:color="auto" w:fill="CCEEFF"/>
          </w:tcPr>
          <w:p>
            <w:pPr>
              <w:spacing w:after="0"/>
              <w:rPr>
                <w:sz w:val="20"/>
                <w:szCs w:val="20"/>
                <w:color w:val="auto"/>
              </w:rPr>
            </w:pPr>
            <w:r>
              <w:rPr>
                <w:rFonts w:ascii="Arial" w:cs="Arial" w:eastAsia="Arial" w:hAnsi="Arial"/>
                <w:sz w:val="16"/>
                <w:szCs w:val="16"/>
                <w:color w:val="auto"/>
              </w:rPr>
              <w:t>Government treasury bonds (i)</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1,971,197</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1,276,573</w:t>
            </w:r>
          </w:p>
        </w:tc>
      </w:tr>
      <w:tr>
        <w:trPr>
          <w:trHeight w:val="197"/>
        </w:trPr>
        <w:tc>
          <w:tcPr>
            <w:tcW w:w="7700" w:type="dxa"/>
            <w:vAlign w:val="bottom"/>
          </w:tcPr>
          <w:p>
            <w:pPr>
              <w:spacing w:after="0"/>
              <w:rPr>
                <w:sz w:val="20"/>
                <w:szCs w:val="20"/>
                <w:color w:val="auto"/>
              </w:rPr>
            </w:pPr>
            <w:r>
              <w:rPr>
                <w:rFonts w:ascii="Arial" w:cs="Arial" w:eastAsia="Arial" w:hAnsi="Arial"/>
                <w:sz w:val="16"/>
                <w:szCs w:val="16"/>
                <w:color w:val="auto"/>
              </w:rPr>
              <w:t>Mutual funds</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831,775</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593,552</w:t>
            </w:r>
          </w:p>
        </w:tc>
      </w:tr>
      <w:tr>
        <w:trPr>
          <w:trHeight w:val="197"/>
        </w:trPr>
        <w:tc>
          <w:tcPr>
            <w:tcW w:w="7700" w:type="dxa"/>
            <w:vAlign w:val="bottom"/>
            <w:shd w:val="clear" w:color="auto" w:fill="CCEEFF"/>
          </w:tcPr>
          <w:p>
            <w:pPr>
              <w:spacing w:after="0"/>
              <w:rPr>
                <w:sz w:val="20"/>
                <w:szCs w:val="20"/>
                <w:color w:val="auto"/>
              </w:rPr>
            </w:pPr>
            <w:r>
              <w:rPr>
                <w:rFonts w:ascii="Arial" w:cs="Arial" w:eastAsia="Arial" w:hAnsi="Arial"/>
                <w:sz w:val="16"/>
                <w:szCs w:val="16"/>
                <w:color w:val="auto"/>
              </w:rPr>
              <w:t>Restricted mutual funds (ii)</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398,111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460,086</w:t>
            </w:r>
          </w:p>
        </w:tc>
      </w:tr>
      <w:tr>
        <w:trPr>
          <w:trHeight w:val="197"/>
        </w:trPr>
        <w:tc>
          <w:tcPr>
            <w:tcW w:w="7700" w:type="dxa"/>
            <w:vAlign w:val="bottom"/>
          </w:tcPr>
          <w:p>
            <w:pPr>
              <w:spacing w:after="0"/>
              <w:rPr>
                <w:sz w:val="20"/>
                <w:szCs w:val="20"/>
                <w:color w:val="auto"/>
              </w:rPr>
            </w:pPr>
            <w:r>
              <w:rPr>
                <w:rFonts w:ascii="Arial" w:cs="Arial" w:eastAsia="Arial" w:hAnsi="Arial"/>
                <w:sz w:val="16"/>
                <w:szCs w:val="16"/>
                <w:color w:val="auto"/>
              </w:rPr>
              <w:t>Participation in RAL Funds (iii)</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328,697</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300,398</w:t>
            </w:r>
          </w:p>
        </w:tc>
      </w:tr>
      <w:tr>
        <w:trPr>
          <w:trHeight w:val="197"/>
        </w:trPr>
        <w:tc>
          <w:tcPr>
            <w:tcW w:w="7700" w:type="dxa"/>
            <w:vAlign w:val="bottom"/>
            <w:shd w:val="clear" w:color="auto" w:fill="CCEEFF"/>
          </w:tcPr>
          <w:p>
            <w:pPr>
              <w:spacing w:after="0"/>
              <w:rPr>
                <w:sz w:val="20"/>
                <w:szCs w:val="20"/>
                <w:color w:val="auto"/>
              </w:rPr>
            </w:pPr>
            <w:r>
              <w:rPr>
                <w:rFonts w:ascii="Arial" w:cs="Arial" w:eastAsia="Arial" w:hAnsi="Arial"/>
                <w:sz w:val="16"/>
                <w:szCs w:val="16"/>
                <w:color w:val="auto"/>
              </w:rPr>
              <w:t>Corporate bonds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199,285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326,673</w:t>
            </w:r>
          </w:p>
        </w:tc>
      </w:tr>
      <w:tr>
        <w:trPr>
          <w:trHeight w:val="197"/>
        </w:trPr>
        <w:tc>
          <w:tcPr>
            <w:tcW w:w="7700" w:type="dxa"/>
            <w:vAlign w:val="bottom"/>
          </w:tcPr>
          <w:p>
            <w:pPr>
              <w:spacing w:after="0"/>
              <w:rPr>
                <w:sz w:val="20"/>
                <w:szCs w:val="20"/>
                <w:color w:val="auto"/>
              </w:rPr>
            </w:pPr>
            <w:r>
              <w:rPr>
                <w:rFonts w:ascii="Arial" w:cs="Arial" w:eastAsia="Arial" w:hAnsi="Arial"/>
                <w:sz w:val="16"/>
                <w:szCs w:val="16"/>
                <w:color w:val="auto"/>
              </w:rPr>
              <w:t>Investment funds</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89,295</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327,659</w:t>
            </w:r>
          </w:p>
        </w:tc>
      </w:tr>
      <w:tr>
        <w:trPr>
          <w:trHeight w:val="197"/>
        </w:trPr>
        <w:tc>
          <w:tcPr>
            <w:tcW w:w="7700" w:type="dxa"/>
            <w:vAlign w:val="bottom"/>
            <w:shd w:val="clear" w:color="auto" w:fill="CCEEFF"/>
          </w:tcPr>
          <w:p>
            <w:pPr>
              <w:spacing w:after="0"/>
              <w:rPr>
                <w:sz w:val="20"/>
                <w:szCs w:val="20"/>
                <w:color w:val="auto"/>
              </w:rPr>
            </w:pPr>
            <w:r>
              <w:rPr>
                <w:rFonts w:ascii="Arial" w:cs="Arial" w:eastAsia="Arial" w:hAnsi="Arial"/>
                <w:sz w:val="16"/>
                <w:szCs w:val="16"/>
                <w:color w:val="auto"/>
              </w:rPr>
              <w:t>Royalty Pharma (iv)</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79,084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68,584</w:t>
            </w:r>
          </w:p>
        </w:tc>
      </w:tr>
      <w:tr>
        <w:trPr>
          <w:trHeight w:val="197"/>
        </w:trPr>
        <w:tc>
          <w:tcPr>
            <w:tcW w:w="7700" w:type="dxa"/>
            <w:vAlign w:val="bottom"/>
          </w:tcPr>
          <w:p>
            <w:pPr>
              <w:spacing w:after="0"/>
              <w:rPr>
                <w:sz w:val="20"/>
                <w:szCs w:val="20"/>
                <w:color w:val="auto"/>
              </w:rPr>
            </w:pPr>
            <w:r>
              <w:rPr>
                <w:rFonts w:ascii="Arial" w:cs="Arial" w:eastAsia="Arial" w:hAnsi="Arial"/>
                <w:sz w:val="16"/>
                <w:szCs w:val="16"/>
                <w:color w:val="auto"/>
              </w:rPr>
              <w:t>Central Bank of Chile bonds</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64,822</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182,540</w:t>
            </w:r>
          </w:p>
        </w:tc>
      </w:tr>
      <w:tr>
        <w:trPr>
          <w:trHeight w:val="197"/>
        </w:trPr>
        <w:tc>
          <w:tcPr>
            <w:tcW w:w="7700" w:type="dxa"/>
            <w:vAlign w:val="bottom"/>
            <w:shd w:val="clear" w:color="auto" w:fill="CCEEFF"/>
          </w:tcPr>
          <w:p>
            <w:pPr>
              <w:spacing w:after="0"/>
              <w:rPr>
                <w:sz w:val="20"/>
                <w:szCs w:val="20"/>
                <w:color w:val="auto"/>
              </w:rPr>
            </w:pPr>
            <w:r>
              <w:rPr>
                <w:rFonts w:ascii="Arial" w:cs="Arial" w:eastAsia="Arial" w:hAnsi="Arial"/>
                <w:sz w:val="16"/>
                <w:szCs w:val="16"/>
                <w:color w:val="auto"/>
              </w:rPr>
              <w:t>Shares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41,326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83,085</w:t>
            </w:r>
          </w:p>
        </w:tc>
      </w:tr>
      <w:tr>
        <w:trPr>
          <w:trHeight w:val="197"/>
        </w:trPr>
        <w:tc>
          <w:tcPr>
            <w:tcW w:w="7700" w:type="dxa"/>
            <w:vAlign w:val="bottom"/>
          </w:tcPr>
          <w:p>
            <w:pPr>
              <w:spacing w:after="0"/>
              <w:rPr>
                <w:sz w:val="20"/>
                <w:szCs w:val="20"/>
                <w:color w:val="auto"/>
              </w:rPr>
            </w:pPr>
            <w:r>
              <w:rPr>
                <w:rFonts w:ascii="Arial" w:cs="Arial" w:eastAsia="Arial" w:hAnsi="Arial"/>
                <w:sz w:val="16"/>
                <w:szCs w:val="16"/>
                <w:color w:val="auto"/>
              </w:rPr>
              <w:t>Subordinated bonds</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24,810</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80,084</w:t>
            </w:r>
          </w:p>
        </w:tc>
      </w:tr>
      <w:tr>
        <w:trPr>
          <w:trHeight w:val="197"/>
        </w:trPr>
        <w:tc>
          <w:tcPr>
            <w:tcW w:w="7700" w:type="dxa"/>
            <w:vAlign w:val="bottom"/>
            <w:shd w:val="clear" w:color="auto" w:fill="CCEEFF"/>
          </w:tcPr>
          <w:p>
            <w:pPr>
              <w:spacing w:after="0"/>
              <w:rPr>
                <w:sz w:val="20"/>
                <w:szCs w:val="20"/>
                <w:color w:val="auto"/>
              </w:rPr>
            </w:pPr>
            <w:r>
              <w:rPr>
                <w:rFonts w:ascii="Arial" w:cs="Arial" w:eastAsia="Arial" w:hAnsi="Arial"/>
                <w:sz w:val="16"/>
                <w:szCs w:val="16"/>
                <w:color w:val="auto"/>
              </w:rPr>
              <w:t>Multilateral organization bonds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17,793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53,353</w:t>
            </w:r>
          </w:p>
        </w:tc>
      </w:tr>
      <w:tr>
        <w:trPr>
          <w:trHeight w:val="208"/>
        </w:trPr>
        <w:tc>
          <w:tcPr>
            <w:tcW w:w="7700" w:type="dxa"/>
            <w:vAlign w:val="bottom"/>
          </w:tcPr>
          <w:p>
            <w:pPr>
              <w:spacing w:after="0"/>
              <w:rPr>
                <w:sz w:val="20"/>
                <w:szCs w:val="20"/>
                <w:color w:val="auto"/>
              </w:rPr>
            </w:pPr>
            <w:r>
              <w:rPr>
                <w:rFonts w:ascii="Arial" w:cs="Arial" w:eastAsia="Arial" w:hAnsi="Arial"/>
                <w:sz w:val="16"/>
                <w:szCs w:val="16"/>
                <w:color w:val="auto"/>
              </w:rPr>
              <w:t>Others</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129,243</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93,204</w:t>
            </w:r>
          </w:p>
        </w:tc>
      </w:tr>
      <w:tr>
        <w:trPr>
          <w:trHeight w:val="19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before accrued interest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4,175,438</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3,845,791</w:t>
            </w:r>
          </w:p>
        </w:tc>
        <w:tc>
          <w:tcPr>
            <w:tcW w:w="100" w:type="dxa"/>
            <w:vAlign w:val="bottom"/>
            <w:tcBorders>
              <w:top w:val="single" w:sz="8" w:color="CCEEFF"/>
            </w:tcBorders>
            <w:shd w:val="clear" w:color="auto" w:fill="CCEEFF"/>
          </w:tcPr>
          <w:p>
            <w:pPr>
              <w:spacing w:after="0"/>
              <w:rPr>
                <w:sz w:val="16"/>
                <w:szCs w:val="16"/>
                <w:color w:val="auto"/>
              </w:rPr>
            </w:pPr>
          </w:p>
        </w:tc>
      </w:tr>
      <w:tr>
        <w:trPr>
          <w:trHeight w:val="208"/>
        </w:trPr>
        <w:tc>
          <w:tcPr>
            <w:tcW w:w="7700" w:type="dxa"/>
            <w:vAlign w:val="bottom"/>
          </w:tcPr>
          <w:p>
            <w:pPr>
              <w:spacing w:after="0"/>
              <w:rPr>
                <w:sz w:val="20"/>
                <w:szCs w:val="20"/>
                <w:color w:val="auto"/>
              </w:rPr>
            </w:pPr>
            <w:r>
              <w:rPr>
                <w:rFonts w:ascii="Arial" w:cs="Arial" w:eastAsia="Arial" w:hAnsi="Arial"/>
                <w:sz w:val="16"/>
                <w:szCs w:val="16"/>
                <w:color w:val="auto"/>
              </w:rPr>
              <w:t>Accrued interest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10,200</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4,971</w:t>
            </w:r>
          </w:p>
        </w:tc>
      </w:tr>
      <w:tr>
        <w:trPr>
          <w:trHeight w:val="19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4,185,638</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3,850,762</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84" w:lineRule="exact"/>
        <w:rPr>
          <w:sz w:val="20"/>
          <w:szCs w:val="20"/>
          <w:color w:val="auto"/>
        </w:rPr>
      </w:pPr>
    </w:p>
    <w:p>
      <w:pPr>
        <w:ind w:left="582"/>
        <w:spacing w:after="0"/>
        <w:tabs>
          <w:tab w:leader="none" w:pos="861"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4"/>
          <w:szCs w:val="14"/>
          <w:color w:val="auto"/>
        </w:rPr>
        <w:t>As of March 31, 2020 and December 31, 2019, the balance of these instruments includes the following government treasury bonds:</w:t>
      </w:r>
    </w:p>
    <w:p>
      <w:pPr>
        <w:spacing w:after="0" w:line="205" w:lineRule="exact"/>
        <w:rPr>
          <w:sz w:val="20"/>
          <w:szCs w:val="20"/>
          <w:color w:val="auto"/>
        </w:rPr>
      </w:pPr>
    </w:p>
    <w:tbl>
      <w:tblPr>
        <w:tblLayout w:type="fixed"/>
        <w:tblInd w:w="582"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As of March</w:t>
            </w: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As of December</w:t>
            </w:r>
          </w:p>
        </w:tc>
      </w:tr>
      <w:tr>
        <w:trPr>
          <w:trHeight w:val="212"/>
        </w:trPr>
        <w:tc>
          <w:tcPr>
            <w:tcW w:w="7780" w:type="dxa"/>
            <w:vAlign w:val="bottom"/>
          </w:tcPr>
          <w:p>
            <w:pPr>
              <w:spacing w:after="0"/>
              <w:rPr>
                <w:sz w:val="18"/>
                <w:szCs w:val="18"/>
                <w:color w:val="auto"/>
              </w:rPr>
            </w:pPr>
          </w:p>
        </w:tc>
        <w:tc>
          <w:tcPr>
            <w:tcW w:w="114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31, 2020</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31, 2019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0"/>
        </w:trPr>
        <w:tc>
          <w:tcPr>
            <w:tcW w:w="7780" w:type="dxa"/>
            <w:vAlign w:val="bottom"/>
          </w:tcPr>
          <w:p>
            <w:pPr>
              <w:spacing w:after="0"/>
              <w:rPr>
                <w:sz w:val="16"/>
                <w:szCs w:val="16"/>
                <w:color w:val="auto"/>
              </w:rPr>
            </w:pPr>
          </w:p>
        </w:tc>
        <w:tc>
          <w:tcPr>
            <w:tcW w:w="1140" w:type="dxa"/>
            <w:vAlign w:val="bottom"/>
          </w:tcPr>
          <w:p>
            <w:pPr>
              <w:jc w:val="right"/>
              <w:ind w:right="178"/>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6"/>
                <w:szCs w:val="16"/>
                <w:color w:val="auto"/>
              </w:rPr>
            </w:pPr>
          </w:p>
        </w:tc>
        <w:tc>
          <w:tcPr>
            <w:tcW w:w="1140" w:type="dxa"/>
            <w:vAlign w:val="bottom"/>
          </w:tcPr>
          <w:p>
            <w:pPr>
              <w:jc w:val="right"/>
              <w:ind w:right="198"/>
              <w:spacing w:after="0"/>
              <w:rPr>
                <w:sz w:val="20"/>
                <w:szCs w:val="20"/>
                <w:color w:val="auto"/>
              </w:rPr>
            </w:pPr>
            <w:r>
              <w:rPr>
                <w:rFonts w:ascii="Arial" w:cs="Arial" w:eastAsia="Arial" w:hAnsi="Arial"/>
                <w:sz w:val="16"/>
                <w:szCs w:val="16"/>
                <w:b w:val="1"/>
                <w:bCs w:val="1"/>
                <w:color w:val="auto"/>
              </w:rPr>
              <w:t>S/(000)</w:t>
            </w:r>
          </w:p>
        </w:tc>
        <w:tc>
          <w:tcPr>
            <w:tcW w:w="100" w:type="dxa"/>
            <w:vAlign w:val="bottom"/>
            <w:gridSpan w:val="2"/>
          </w:tcPr>
          <w:p>
            <w:pPr>
              <w:spacing w:after="0"/>
              <w:rPr>
                <w:sz w:val="16"/>
                <w:szCs w:val="16"/>
                <w:color w:val="auto"/>
              </w:rPr>
            </w:pPr>
          </w:p>
        </w:tc>
      </w:tr>
      <w:tr>
        <w:trPr>
          <w:trHeight w:val="197"/>
        </w:trPr>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Colombian Treasury bonds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972,857</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1,102,865</w:t>
            </w:r>
          </w:p>
        </w:tc>
        <w:tc>
          <w:tcPr>
            <w:tcW w:w="80" w:type="dxa"/>
            <w:vAlign w:val="bottom"/>
            <w:shd w:val="clear" w:color="auto" w:fill="CCEEFF"/>
          </w:tcPr>
          <w:p>
            <w:pPr>
              <w:spacing w:after="0"/>
              <w:rPr>
                <w:sz w:val="17"/>
                <w:szCs w:val="17"/>
                <w:color w:val="auto"/>
              </w:rPr>
            </w:pPr>
          </w:p>
        </w:tc>
      </w:tr>
      <w:tr>
        <w:trPr>
          <w:trHeight w:val="197"/>
        </w:trPr>
        <w:tc>
          <w:tcPr>
            <w:tcW w:w="7780" w:type="dxa"/>
            <w:vAlign w:val="bottom"/>
          </w:tcPr>
          <w:p>
            <w:pPr>
              <w:spacing w:after="0"/>
              <w:rPr>
                <w:sz w:val="20"/>
                <w:szCs w:val="20"/>
                <w:color w:val="auto"/>
              </w:rPr>
            </w:pPr>
            <w:r>
              <w:rPr>
                <w:rFonts w:ascii="Arial" w:cs="Arial" w:eastAsia="Arial" w:hAnsi="Arial"/>
                <w:sz w:val="16"/>
                <w:szCs w:val="16"/>
                <w:color w:val="auto"/>
              </w:rPr>
              <w:t>Peruvian Treasury bonds</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768,254</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95,308</w:t>
            </w:r>
          </w:p>
        </w:tc>
        <w:tc>
          <w:tcPr>
            <w:tcW w:w="80" w:type="dxa"/>
            <w:vAlign w:val="bottom"/>
          </w:tcPr>
          <w:p>
            <w:pPr>
              <w:spacing w:after="0"/>
              <w:rPr>
                <w:sz w:val="17"/>
                <w:szCs w:val="17"/>
                <w:color w:val="auto"/>
              </w:rPr>
            </w:pPr>
          </w:p>
        </w:tc>
      </w:tr>
      <w:tr>
        <w:trPr>
          <w:trHeight w:val="197"/>
        </w:trPr>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U.S. treasury and federal agency bonds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128,542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78,400</w:t>
            </w:r>
          </w:p>
        </w:tc>
        <w:tc>
          <w:tcPr>
            <w:tcW w:w="80" w:type="dxa"/>
            <w:vAlign w:val="bottom"/>
            <w:shd w:val="clear" w:color="auto" w:fill="CCEEFF"/>
          </w:tcPr>
          <w:p>
            <w:pPr>
              <w:spacing w:after="0"/>
              <w:rPr>
                <w:sz w:val="17"/>
                <w:szCs w:val="17"/>
                <w:color w:val="auto"/>
              </w:rPr>
            </w:pPr>
          </w:p>
        </w:tc>
      </w:tr>
      <w:tr>
        <w:trPr>
          <w:trHeight w:val="197"/>
        </w:trPr>
        <w:tc>
          <w:tcPr>
            <w:tcW w:w="7780" w:type="dxa"/>
            <w:vAlign w:val="bottom"/>
          </w:tcPr>
          <w:p>
            <w:pPr>
              <w:spacing w:after="0"/>
              <w:rPr>
                <w:sz w:val="20"/>
                <w:szCs w:val="20"/>
                <w:color w:val="auto"/>
              </w:rPr>
            </w:pPr>
            <w:r>
              <w:rPr>
                <w:rFonts w:ascii="Arial" w:cs="Arial" w:eastAsia="Arial" w:hAnsi="Arial"/>
                <w:sz w:val="16"/>
                <w:szCs w:val="16"/>
                <w:color w:val="auto"/>
              </w:rPr>
              <w:t>Panama Treasury bonds</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67,173</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197"/>
        </w:trPr>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Brasil Treasury bonds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25,652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r>
      <w:tr>
        <w:trPr>
          <w:trHeight w:val="197"/>
        </w:trPr>
        <w:tc>
          <w:tcPr>
            <w:tcW w:w="7780" w:type="dxa"/>
            <w:vAlign w:val="bottom"/>
          </w:tcPr>
          <w:p>
            <w:pPr>
              <w:spacing w:after="0"/>
              <w:rPr>
                <w:sz w:val="20"/>
                <w:szCs w:val="20"/>
                <w:color w:val="auto"/>
              </w:rPr>
            </w:pPr>
            <w:r>
              <w:rPr>
                <w:rFonts w:ascii="Arial" w:cs="Arial" w:eastAsia="Arial" w:hAnsi="Arial"/>
                <w:sz w:val="16"/>
                <w:szCs w:val="16"/>
                <w:color w:val="auto"/>
              </w:rPr>
              <w:t>Chile Treasury bonds</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6,979</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209"/>
        </w:trPr>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Mexico Treasury bonds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1,740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1,971,197</w:t>
            </w:r>
          </w:p>
        </w:tc>
        <w:tc>
          <w:tcPr>
            <w:tcW w:w="20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1,276,573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184" w:lineRule="exact"/>
        <w:rPr>
          <w:sz w:val="20"/>
          <w:szCs w:val="20"/>
          <w:color w:val="auto"/>
        </w:rPr>
      </w:pPr>
    </w:p>
    <w:p>
      <w:pPr>
        <w:ind w:left="882" w:hanging="292"/>
        <w:spacing w:after="0" w:line="322" w:lineRule="auto"/>
        <w:tabs>
          <w:tab w:leader="none" w:pos="882"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restricted mutual funds comprise the participation quotas in the private pension funds managed by the Group, and are maintained in compliance with the legal regulations in Peru. Their availability is restricted and the yield received is the same as that received by the private pension funds managed.</w:t>
      </w:r>
    </w:p>
    <w:p>
      <w:pPr>
        <w:spacing w:after="0" w:line="126" w:lineRule="exact"/>
        <w:rPr>
          <w:rFonts w:ascii="Arial" w:cs="Arial" w:eastAsia="Arial" w:hAnsi="Arial"/>
          <w:sz w:val="15"/>
          <w:szCs w:val="15"/>
          <w:color w:val="auto"/>
        </w:rPr>
      </w:pPr>
    </w:p>
    <w:p>
      <w:pPr>
        <w:jc w:val="both"/>
        <w:ind w:left="882" w:right="140" w:hanging="292"/>
        <w:spacing w:after="0" w:line="298" w:lineRule="auto"/>
        <w:tabs>
          <w:tab w:leader="none" w:pos="882" w:val="left"/>
        </w:tabs>
        <w:numPr>
          <w:ilvl w:val="0"/>
          <w:numId w:val="28"/>
        </w:numPr>
        <w:rPr>
          <w:rFonts w:ascii="Arial" w:cs="Arial" w:eastAsia="Arial" w:hAnsi="Arial"/>
          <w:sz w:val="15"/>
          <w:szCs w:val="15"/>
          <w:color w:val="auto"/>
        </w:rPr>
      </w:pPr>
      <w:r>
        <w:rPr>
          <w:rFonts w:ascii="Arial" w:cs="Arial" w:eastAsia="Arial" w:hAnsi="Arial"/>
          <w:sz w:val="15"/>
          <w:szCs w:val="15"/>
          <w:color w:val="auto"/>
        </w:rPr>
        <w:t>As of March 31, 2020, these funds are approximately S/146.5 million in bolivianos and S/182.2 million in U.S. Dollars (S/166.9 million in bolivianos and S/133.5 million in U.S. Dollars as of December 31, 2019) and comprise the investments made by the Group in the Central Bank of Bolivia as collateral for deposits received from the public. These funds have restrictions for their use and are required from all banks in Bolivia.</w:t>
      </w:r>
    </w:p>
    <w:p>
      <w:pPr>
        <w:spacing w:after="0" w:line="143" w:lineRule="exact"/>
        <w:rPr>
          <w:rFonts w:ascii="Arial" w:cs="Arial" w:eastAsia="Arial" w:hAnsi="Arial"/>
          <w:sz w:val="15"/>
          <w:szCs w:val="15"/>
          <w:color w:val="auto"/>
        </w:rPr>
      </w:pPr>
    </w:p>
    <w:p>
      <w:pPr>
        <w:ind w:left="882" w:right="20" w:hanging="292"/>
        <w:spacing w:after="0" w:line="271" w:lineRule="auto"/>
        <w:tabs>
          <w:tab w:leader="none" w:pos="882" w:val="left"/>
        </w:tabs>
        <w:numPr>
          <w:ilvl w:val="0"/>
          <w:numId w:val="28"/>
        </w:numPr>
        <w:rPr>
          <w:rFonts w:ascii="Arial" w:cs="Arial" w:eastAsia="Arial" w:hAnsi="Arial"/>
          <w:sz w:val="16"/>
          <w:szCs w:val="16"/>
          <w:color w:val="auto"/>
        </w:rPr>
      </w:pPr>
      <w:r>
        <w:rPr>
          <w:rFonts w:ascii="Arial" w:cs="Arial" w:eastAsia="Arial" w:hAnsi="Arial"/>
          <w:sz w:val="16"/>
          <w:szCs w:val="16"/>
          <w:color w:val="auto"/>
        </w:rPr>
        <w:t>It corresponds to participations in RPI International Holding, LP, who invests in a series of subordinate funds whose objective is to invest in Royalty Pharma Investments, an investment fund established under the laws of Ireland. This investment fund is dedicated to buying medical and biotechnology patents. Participations in RPI International Holdings, LP, are not liquid and require authorization for negotiation.</w:t>
      </w:r>
    </w:p>
    <w:p>
      <w:pPr>
        <w:spacing w:after="0" w:line="162" w:lineRule="exact"/>
        <w:rPr>
          <w:rFonts w:ascii="Arial" w:cs="Arial" w:eastAsia="Arial" w:hAnsi="Arial"/>
          <w:sz w:val="16"/>
          <w:szCs w:val="16"/>
          <w:color w:val="auto"/>
        </w:rPr>
      </w:pPr>
    </w:p>
    <w:p>
      <w:pPr>
        <w:ind w:left="882" w:right="200"/>
        <w:spacing w:after="0" w:line="322" w:lineRule="auto"/>
        <w:rPr>
          <w:rFonts w:ascii="Arial" w:cs="Arial" w:eastAsia="Arial" w:hAnsi="Arial"/>
          <w:sz w:val="16"/>
          <w:szCs w:val="16"/>
          <w:color w:val="auto"/>
        </w:rPr>
      </w:pPr>
      <w:r>
        <w:rPr>
          <w:rFonts w:ascii="Arial" w:cs="Arial" w:eastAsia="Arial" w:hAnsi="Arial"/>
          <w:sz w:val="15"/>
          <w:szCs w:val="15"/>
          <w:color w:val="auto"/>
        </w:rPr>
        <w:t>During the period ended March 31, 2020 and March 31, 2019, the Group has received dividends from these participations for S/1,012,164 and S/930,591, respectively; which are presented in the item of “Interest and similar income” of the interim condensed consolidated statement of income.</w:t>
      </w:r>
    </w:p>
    <w:p>
      <w:pPr>
        <w:spacing w:after="0" w:line="323" w:lineRule="exact"/>
        <w:rPr>
          <w:rFonts w:ascii="Arial" w:cs="Arial" w:eastAsia="Arial" w:hAnsi="Arial"/>
          <w:sz w:val="16"/>
          <w:szCs w:val="16"/>
          <w:color w:val="auto"/>
        </w:rPr>
      </w:pPr>
    </w:p>
    <w:p>
      <w:pPr>
        <w:ind w:left="5542" w:hanging="93"/>
        <w:spacing w:after="0"/>
        <w:tabs>
          <w:tab w:leader="none" w:pos="5542" w:val="left"/>
        </w:tabs>
        <w:numPr>
          <w:ilvl w:val="1"/>
          <w:numId w:val="28"/>
        </w:numPr>
        <w:rPr>
          <w:rFonts w:ascii="Arial" w:cs="Arial" w:eastAsia="Arial" w:hAnsi="Arial"/>
          <w:sz w:val="16"/>
          <w:szCs w:val="16"/>
          <w:color w:val="auto"/>
        </w:rPr>
      </w:pPr>
      <w:r>
        <w:rPr>
          <w:rFonts w:ascii="Arial" w:cs="Arial" w:eastAsia="Arial" w:hAnsi="Arial"/>
          <w:sz w:val="16"/>
          <w:szCs w:val="16"/>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162"/>
          </w:cols>
          <w:pgMar w:left="318" w:top="835" w:right="419" w:bottom="1440" w:gutter="0" w:footer="0" w:header="0"/>
        </w:sectPr>
      </w:pPr>
    </w:p>
    <w:bookmarkStart w:id="31" w:name="page32"/>
    <w:bookmarkEnd w:id="31"/>
    <w:p>
      <w:pPr>
        <w:spacing w:after="0"/>
        <w:tabs>
          <w:tab w:leader="none" w:pos="2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Investments at fair value through other comprehensive income consist of the following:</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3"/>
                <w:szCs w:val="13"/>
                <w:b w:val="1"/>
                <w:bCs w:val="1"/>
                <w:color w:val="auto"/>
              </w:rPr>
              <w:t>As of March 31, 2020</w:t>
            </w:r>
          </w:p>
        </w:tc>
        <w:tc>
          <w:tcPr>
            <w:tcW w:w="7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3"/>
                <w:szCs w:val="13"/>
                <w:b w:val="1"/>
                <w:bCs w:val="1"/>
                <w:color w:val="auto"/>
                <w:w w:val="96"/>
              </w:rPr>
              <w:t>As of December 31, 2019</w:t>
            </w: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Amortized</w:t>
            </w:r>
          </w:p>
        </w:tc>
        <w:tc>
          <w:tcPr>
            <w:tcW w:w="1960" w:type="dxa"/>
            <w:vAlign w:val="bottom"/>
            <w:gridSpan w:val="4"/>
          </w:tcPr>
          <w:p>
            <w:pPr>
              <w:jc w:val="right"/>
              <w:ind w:right="400"/>
              <w:spacing w:after="0" w:line="140" w:lineRule="exact"/>
              <w:rPr>
                <w:sz w:val="20"/>
                <w:szCs w:val="20"/>
                <w:color w:val="auto"/>
              </w:rPr>
            </w:pPr>
            <w:r>
              <w:rPr>
                <w:rFonts w:ascii="Arial" w:cs="Arial" w:eastAsia="Arial" w:hAnsi="Arial"/>
                <w:sz w:val="13"/>
                <w:szCs w:val="13"/>
                <w:b w:val="1"/>
                <w:bCs w:val="1"/>
                <w:color w:val="auto"/>
                <w:w w:val="99"/>
              </w:rPr>
              <w:t>Unrealized gross amount</w:t>
            </w: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Estimated</w:t>
            </w: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1"/>
              </w:rPr>
              <w:t>Amortized</w:t>
            </w:r>
          </w:p>
        </w:tc>
        <w:tc>
          <w:tcPr>
            <w:tcW w:w="1900" w:type="dxa"/>
            <w:vAlign w:val="bottom"/>
            <w:gridSpan w:val="4"/>
          </w:tcPr>
          <w:p>
            <w:pPr>
              <w:jc w:val="right"/>
              <w:ind w:right="360"/>
              <w:spacing w:after="0" w:line="140" w:lineRule="exact"/>
              <w:rPr>
                <w:sz w:val="20"/>
                <w:szCs w:val="20"/>
                <w:color w:val="auto"/>
              </w:rPr>
            </w:pPr>
            <w:r>
              <w:rPr>
                <w:rFonts w:ascii="Arial" w:cs="Arial" w:eastAsia="Arial" w:hAnsi="Arial"/>
                <w:sz w:val="13"/>
                <w:szCs w:val="13"/>
                <w:b w:val="1"/>
                <w:bCs w:val="1"/>
                <w:color w:val="auto"/>
                <w:w w:val="97"/>
              </w:rPr>
              <w:t>Unrealized gross amount</w:t>
            </w: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0"/>
              </w:rPr>
              <w:t>Estimated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9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Profits</w:t>
            </w:r>
          </w:p>
        </w:tc>
        <w:tc>
          <w:tcPr>
            <w:tcW w:w="9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Losses</w:t>
            </w: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fair value</w:t>
            </w: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cost</w:t>
            </w:r>
          </w:p>
        </w:tc>
        <w:tc>
          <w:tcPr>
            <w:tcW w:w="960" w:type="dxa"/>
            <w:vAlign w:val="bottom"/>
            <w:gridSpan w:val="2"/>
          </w:tcPr>
          <w:p>
            <w:pPr>
              <w:ind w:left="180"/>
              <w:spacing w:after="0"/>
              <w:rPr>
                <w:sz w:val="20"/>
                <w:szCs w:val="20"/>
                <w:color w:val="auto"/>
              </w:rPr>
            </w:pPr>
            <w:r>
              <w:rPr>
                <w:rFonts w:ascii="Arial" w:cs="Arial" w:eastAsia="Arial" w:hAnsi="Arial"/>
                <w:sz w:val="13"/>
                <w:szCs w:val="13"/>
                <w:b w:val="1"/>
                <w:bCs w:val="1"/>
                <w:color w:val="auto"/>
              </w:rPr>
              <w:t>Profits</w:t>
            </w:r>
          </w:p>
        </w:tc>
        <w:tc>
          <w:tcPr>
            <w:tcW w:w="9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Losses</w:t>
            </w: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fair value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7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3"/>
              </w:rPr>
              <w:t>S/(000)</w:t>
            </w:r>
          </w:p>
        </w:tc>
        <w:tc>
          <w:tcPr>
            <w:tcW w:w="220" w:type="dxa"/>
            <w:vAlign w:val="bottom"/>
          </w:tcPr>
          <w:p>
            <w:pPr>
              <w:spacing w:after="0"/>
              <w:rPr>
                <w:sz w:val="11"/>
                <w:szCs w:val="11"/>
                <w:color w:val="auto"/>
              </w:rPr>
            </w:pPr>
          </w:p>
        </w:tc>
        <w:tc>
          <w:tcPr>
            <w:tcW w:w="760" w:type="dxa"/>
            <w:vAlign w:val="bottom"/>
            <w:tcBorders>
              <w:top w:val="single" w:sz="8" w:color="auto"/>
            </w:tcBorders>
          </w:tcPr>
          <w:p>
            <w:pPr>
              <w:jc w:val="right"/>
              <w:ind w:right="115"/>
              <w:spacing w:after="0" w:line="128"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60" w:type="dxa"/>
            <w:vAlign w:val="bottom"/>
            <w:tcBorders>
              <w:top w:val="single" w:sz="8" w:color="auto"/>
            </w:tcBorders>
          </w:tcPr>
          <w:p>
            <w:pPr>
              <w:jc w:val="right"/>
              <w:ind w:right="115"/>
              <w:spacing w:after="0" w:line="128" w:lineRule="exact"/>
              <w:rPr>
                <w:sz w:val="20"/>
                <w:szCs w:val="20"/>
                <w:color w:val="auto"/>
              </w:rPr>
            </w:pPr>
            <w:r>
              <w:rPr>
                <w:rFonts w:ascii="Arial" w:cs="Arial" w:eastAsia="Arial" w:hAnsi="Arial"/>
                <w:sz w:val="13"/>
                <w:szCs w:val="13"/>
                <w:b w:val="1"/>
                <w:bCs w:val="1"/>
                <w:color w:val="auto"/>
              </w:rPr>
              <w:t>S/(000)</w:t>
            </w:r>
          </w:p>
        </w:tc>
        <w:tc>
          <w:tcPr>
            <w:tcW w:w="220" w:type="dxa"/>
            <w:vAlign w:val="bottom"/>
          </w:tcPr>
          <w:p>
            <w:pPr>
              <w:spacing w:after="0"/>
              <w:rPr>
                <w:sz w:val="11"/>
                <w:szCs w:val="11"/>
                <w:color w:val="auto"/>
              </w:rPr>
            </w:pPr>
          </w:p>
        </w:tc>
        <w:tc>
          <w:tcPr>
            <w:tcW w:w="7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89"/>
              </w:rPr>
              <w:t>S/(000)</w:t>
            </w:r>
          </w:p>
        </w:tc>
        <w:tc>
          <w:tcPr>
            <w:tcW w:w="220" w:type="dxa"/>
            <w:vAlign w:val="bottom"/>
          </w:tcPr>
          <w:p>
            <w:pPr>
              <w:spacing w:after="0"/>
              <w:rPr>
                <w:sz w:val="11"/>
                <w:szCs w:val="11"/>
                <w:color w:val="auto"/>
              </w:rPr>
            </w:pPr>
          </w:p>
        </w:tc>
        <w:tc>
          <w:tcPr>
            <w:tcW w:w="7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89"/>
              </w:rPr>
              <w:t>S/(000)</w:t>
            </w:r>
          </w:p>
        </w:tc>
        <w:tc>
          <w:tcPr>
            <w:tcW w:w="240" w:type="dxa"/>
            <w:vAlign w:val="bottom"/>
          </w:tcPr>
          <w:p>
            <w:pPr>
              <w:spacing w:after="0"/>
              <w:rPr>
                <w:sz w:val="11"/>
                <w:szCs w:val="11"/>
                <w:color w:val="auto"/>
              </w:rPr>
            </w:pPr>
          </w:p>
        </w:tc>
        <w:tc>
          <w:tcPr>
            <w:tcW w:w="760" w:type="dxa"/>
            <w:vAlign w:val="bottom"/>
            <w:tcBorders>
              <w:top w:val="single" w:sz="8" w:color="auto"/>
            </w:tcBorders>
          </w:tcPr>
          <w:p>
            <w:pPr>
              <w:jc w:val="right"/>
              <w:ind w:right="135"/>
              <w:spacing w:after="0" w:line="128"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740" w:type="dxa"/>
            <w:vAlign w:val="bottom"/>
            <w:tcBorders>
              <w:top w:val="single" w:sz="8" w:color="auto"/>
            </w:tcBorders>
          </w:tcPr>
          <w:p>
            <w:pPr>
              <w:jc w:val="right"/>
              <w:ind w:right="115"/>
              <w:spacing w:after="0" w:line="128" w:lineRule="exact"/>
              <w:rPr>
                <w:sz w:val="20"/>
                <w:szCs w:val="20"/>
                <w:color w:val="auto"/>
              </w:rPr>
            </w:pPr>
            <w:r>
              <w:rPr>
                <w:rFonts w:ascii="Arial" w:cs="Arial" w:eastAsia="Arial" w:hAnsi="Arial"/>
                <w:sz w:val="13"/>
                <w:szCs w:val="13"/>
                <w:b w:val="1"/>
                <w:bCs w:val="1"/>
                <w:color w:val="auto"/>
              </w:rPr>
              <w:t>S/(000)</w:t>
            </w:r>
          </w:p>
        </w:tc>
        <w:tc>
          <w:tcPr>
            <w:tcW w:w="200" w:type="dxa"/>
            <w:vAlign w:val="bottom"/>
          </w:tcPr>
          <w:p>
            <w:pPr>
              <w:spacing w:after="0"/>
              <w:rPr>
                <w:sz w:val="11"/>
                <w:szCs w:val="11"/>
                <w:color w:val="auto"/>
              </w:rPr>
            </w:pPr>
          </w:p>
        </w:tc>
        <w:tc>
          <w:tcPr>
            <w:tcW w:w="74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3"/>
              </w:rPr>
              <w:t>S/(000)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Debts instruments:</w:t>
            </w: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Corporate bonds (i)</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9,380,090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495,928</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(366,679)</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9,509,339</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7,974,080</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706,394</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(8,322)</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8,672,152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line="135" w:lineRule="exact"/>
              <w:rPr>
                <w:sz w:val="20"/>
                <w:szCs w:val="20"/>
                <w:color w:val="auto"/>
              </w:rPr>
            </w:pPr>
            <w:r>
              <w:rPr>
                <w:rFonts w:ascii="Arial" w:cs="Arial" w:eastAsia="Arial" w:hAnsi="Arial"/>
                <w:sz w:val="13"/>
                <w:szCs w:val="13"/>
                <w:color w:val="auto"/>
              </w:rPr>
              <w:t>Certificates of deposit BCRP (ii)</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9,644,503</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40,800</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(37)</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9,685,266</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8,649,885</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15,388</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8,665,272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Government treasury bonds (iii)</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6,526,977</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519,946</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(92,463)</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6,954,460</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6,009,137</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690,048</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(1,109)</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6,698,076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line="135" w:lineRule="exact"/>
              <w:rPr>
                <w:sz w:val="20"/>
                <w:szCs w:val="20"/>
                <w:color w:val="auto"/>
              </w:rPr>
            </w:pPr>
            <w:r>
              <w:rPr>
                <w:rFonts w:ascii="Arial" w:cs="Arial" w:eastAsia="Arial" w:hAnsi="Arial"/>
                <w:sz w:val="13"/>
                <w:szCs w:val="13"/>
                <w:color w:val="auto"/>
              </w:rPr>
              <w:t>Securitization instruments (iv)</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662,395</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43,886</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(11,891)</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694,390</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580,778</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53,328</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(8,344)</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625,762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Negotiable certificates of deposit</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466,101</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1,492</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(671)</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466,922</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369,016</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856</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(303)</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369,569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line="135" w:lineRule="exact"/>
              <w:rPr>
                <w:sz w:val="20"/>
                <w:szCs w:val="20"/>
                <w:color w:val="auto"/>
              </w:rPr>
            </w:pPr>
            <w:r>
              <w:rPr>
                <w:rFonts w:ascii="Arial" w:cs="Arial" w:eastAsia="Arial" w:hAnsi="Arial"/>
                <w:sz w:val="13"/>
                <w:szCs w:val="13"/>
                <w:color w:val="auto"/>
              </w:rPr>
              <w:t>Subordinated bonds</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155,746</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10,042</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(5,352)</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160,436</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150,172</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14,085</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(100)</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164,157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Others</w:t>
            </w:r>
          </w:p>
        </w:tc>
        <w:tc>
          <w:tcPr>
            <w:tcW w:w="9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169,816</w:t>
            </w:r>
          </w:p>
        </w:tc>
        <w:tc>
          <w:tcPr>
            <w:tcW w:w="9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7,398</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(1,687)</w:t>
            </w:r>
          </w:p>
        </w:tc>
        <w:tc>
          <w:tcPr>
            <w:tcW w:w="9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175,527</w:t>
            </w:r>
          </w:p>
        </w:tc>
        <w:tc>
          <w:tcPr>
            <w:tcW w:w="10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167,529</w:t>
            </w:r>
          </w:p>
        </w:tc>
        <w:tc>
          <w:tcPr>
            <w:tcW w:w="96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7,896</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175,425</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76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rPr>
              <w:t>27,005,628</w:t>
            </w:r>
          </w:p>
        </w:tc>
        <w:tc>
          <w:tcPr>
            <w:tcW w:w="220" w:type="dxa"/>
            <w:vAlign w:val="bottom"/>
          </w:tcPr>
          <w:p>
            <w:pPr>
              <w:spacing w:after="0"/>
              <w:rPr>
                <w:sz w:val="11"/>
                <w:szCs w:val="11"/>
                <w:color w:val="auto"/>
              </w:rPr>
            </w:pPr>
          </w:p>
        </w:tc>
        <w:tc>
          <w:tcPr>
            <w:tcW w:w="76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rPr>
              <w:t>1,119,492</w:t>
            </w:r>
          </w:p>
        </w:tc>
        <w:tc>
          <w:tcPr>
            <w:tcW w:w="220" w:type="dxa"/>
            <w:vAlign w:val="bottom"/>
          </w:tcPr>
          <w:p>
            <w:pPr>
              <w:spacing w:after="0"/>
              <w:rPr>
                <w:sz w:val="11"/>
                <w:szCs w:val="11"/>
                <w:color w:val="auto"/>
              </w:rPr>
            </w:pPr>
          </w:p>
        </w:tc>
        <w:tc>
          <w:tcPr>
            <w:tcW w:w="76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rPr>
              <w:t>(478,780)</w:t>
            </w:r>
          </w:p>
        </w:tc>
        <w:tc>
          <w:tcPr>
            <w:tcW w:w="220" w:type="dxa"/>
            <w:vAlign w:val="bottom"/>
          </w:tcPr>
          <w:p>
            <w:pPr>
              <w:spacing w:after="0"/>
              <w:rPr>
                <w:sz w:val="11"/>
                <w:szCs w:val="11"/>
                <w:color w:val="auto"/>
              </w:rPr>
            </w:pPr>
          </w:p>
        </w:tc>
        <w:tc>
          <w:tcPr>
            <w:tcW w:w="76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rPr>
              <w:t>27,646,340</w:t>
            </w:r>
          </w:p>
        </w:tc>
        <w:tc>
          <w:tcPr>
            <w:tcW w:w="220" w:type="dxa"/>
            <w:vAlign w:val="bottom"/>
          </w:tcPr>
          <w:p>
            <w:pPr>
              <w:spacing w:after="0"/>
              <w:rPr>
                <w:sz w:val="11"/>
                <w:szCs w:val="11"/>
                <w:color w:val="auto"/>
              </w:rPr>
            </w:pPr>
          </w:p>
        </w:tc>
        <w:tc>
          <w:tcPr>
            <w:tcW w:w="76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rPr>
              <w:t>23,900,597</w:t>
            </w:r>
          </w:p>
        </w:tc>
        <w:tc>
          <w:tcPr>
            <w:tcW w:w="240" w:type="dxa"/>
            <w:vAlign w:val="bottom"/>
          </w:tcPr>
          <w:p>
            <w:pPr>
              <w:spacing w:after="0"/>
              <w:rPr>
                <w:sz w:val="11"/>
                <w:szCs w:val="11"/>
                <w:color w:val="auto"/>
              </w:rPr>
            </w:pPr>
          </w:p>
        </w:tc>
        <w:tc>
          <w:tcPr>
            <w:tcW w:w="76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rPr>
              <w:t>1,487,995</w:t>
            </w:r>
          </w:p>
        </w:tc>
        <w:tc>
          <w:tcPr>
            <w:tcW w:w="200" w:type="dxa"/>
            <w:vAlign w:val="bottom"/>
          </w:tcPr>
          <w:p>
            <w:pPr>
              <w:spacing w:after="0"/>
              <w:rPr>
                <w:sz w:val="11"/>
                <w:szCs w:val="11"/>
                <w:color w:val="auto"/>
              </w:rPr>
            </w:pPr>
          </w:p>
        </w:tc>
        <w:tc>
          <w:tcPr>
            <w:tcW w:w="74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rPr>
              <w:t>(18,179)</w:t>
            </w:r>
          </w:p>
        </w:tc>
        <w:tc>
          <w:tcPr>
            <w:tcW w:w="200" w:type="dxa"/>
            <w:vAlign w:val="bottom"/>
          </w:tcPr>
          <w:p>
            <w:pPr>
              <w:spacing w:after="0"/>
              <w:rPr>
                <w:sz w:val="11"/>
                <w:szCs w:val="11"/>
                <w:color w:val="auto"/>
              </w:rPr>
            </w:pPr>
          </w:p>
        </w:tc>
        <w:tc>
          <w:tcPr>
            <w:tcW w:w="740" w:type="dxa"/>
            <w:vAlign w:val="bottom"/>
            <w:tcBorders>
              <w:top w:val="single" w:sz="8" w:color="auto"/>
            </w:tcBorders>
          </w:tcPr>
          <w:p>
            <w:pPr>
              <w:jc w:val="right"/>
              <w:spacing w:after="0" w:line="128" w:lineRule="exact"/>
              <w:rPr>
                <w:sz w:val="20"/>
                <w:szCs w:val="20"/>
                <w:color w:val="auto"/>
              </w:rPr>
            </w:pPr>
            <w:r>
              <w:rPr>
                <w:rFonts w:ascii="Arial" w:cs="Arial" w:eastAsia="Arial" w:hAnsi="Arial"/>
                <w:sz w:val="13"/>
                <w:szCs w:val="13"/>
                <w:color w:val="auto"/>
              </w:rPr>
              <w:t>25,370,413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20" w:type="dxa"/>
            <w:vAlign w:val="bottom"/>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Equity instruments designated at the initial</w:t>
            </w: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recognition</w:t>
            </w: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Shares issued by:</w:t>
            </w: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line="135" w:lineRule="exact"/>
              <w:rPr>
                <w:sz w:val="20"/>
                <w:szCs w:val="20"/>
                <w:color w:val="auto"/>
              </w:rPr>
            </w:pPr>
            <w:r>
              <w:rPr>
                <w:rFonts w:ascii="Arial" w:cs="Arial" w:eastAsia="Arial" w:hAnsi="Arial"/>
                <w:sz w:val="13"/>
                <w:szCs w:val="13"/>
                <w:color w:val="auto"/>
              </w:rPr>
              <w:t>Alicorp S.A.A.</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12,198</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158,582</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170,780</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12,198</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201,567</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213,765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Inversiones Centenario</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112,647</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190,776</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303,423</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112,647</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195,305</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307,952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line="135" w:lineRule="exact"/>
              <w:rPr>
                <w:sz w:val="20"/>
                <w:szCs w:val="20"/>
                <w:color w:val="auto"/>
              </w:rPr>
            </w:pPr>
            <w:r>
              <w:rPr>
                <w:rFonts w:ascii="Arial" w:cs="Arial" w:eastAsia="Arial" w:hAnsi="Arial"/>
                <w:sz w:val="13"/>
                <w:szCs w:val="13"/>
                <w:color w:val="auto"/>
              </w:rPr>
              <w:t>Bolsa de Valores de Lima</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19,423</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1,153</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20,576</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19,423</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2,115</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21,538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Bolsa de Comercio de Santiago</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4,964</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4,365</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9,329</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4,964</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5,688</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10,652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line="135" w:lineRule="exact"/>
              <w:rPr>
                <w:sz w:val="20"/>
                <w:szCs w:val="20"/>
                <w:color w:val="auto"/>
              </w:rPr>
            </w:pPr>
            <w:r>
              <w:rPr>
                <w:rFonts w:ascii="Arial" w:cs="Arial" w:eastAsia="Arial" w:hAnsi="Arial"/>
                <w:sz w:val="13"/>
                <w:szCs w:val="13"/>
                <w:color w:val="auto"/>
              </w:rPr>
              <w:t>Compañía Universal Textil S.A.</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9,597</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248</w:t>
            </w:r>
          </w:p>
        </w:tc>
        <w:tc>
          <w:tcPr>
            <w:tcW w:w="22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(3,432)</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6,413</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9,597</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248</w:t>
            </w:r>
          </w:p>
        </w:tc>
        <w:tc>
          <w:tcPr>
            <w:tcW w:w="20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(3,432)</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6,413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Pagos Digitales Peruanos S.A.</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5,197</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5,197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line="135" w:lineRule="exact"/>
              <w:rPr>
                <w:sz w:val="20"/>
                <w:szCs w:val="20"/>
                <w:color w:val="auto"/>
              </w:rPr>
            </w:pPr>
            <w:r>
              <w:rPr>
                <w:rFonts w:ascii="Arial" w:cs="Arial" w:eastAsia="Arial" w:hAnsi="Arial"/>
                <w:sz w:val="13"/>
                <w:szCs w:val="13"/>
                <w:color w:val="auto"/>
              </w:rPr>
              <w:t>Corporación Andina de Fomento</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4,441</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181</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4,622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Bolsa de Valores de Colombia</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819</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1,286</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(210)</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1,895</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872</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4,070</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(53)</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4,889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20" w:type="dxa"/>
            <w:vAlign w:val="bottom"/>
          </w:tcPr>
          <w:p>
            <w:pPr>
              <w:spacing w:after="0" w:line="148" w:lineRule="exact"/>
              <w:rPr>
                <w:sz w:val="20"/>
                <w:szCs w:val="20"/>
                <w:color w:val="auto"/>
              </w:rPr>
            </w:pPr>
            <w:r>
              <w:rPr>
                <w:rFonts w:ascii="Arial" w:cs="Arial" w:eastAsia="Arial" w:hAnsi="Arial"/>
                <w:sz w:val="13"/>
                <w:szCs w:val="13"/>
                <w:color w:val="auto"/>
              </w:rPr>
              <w:t>Others</w:t>
            </w:r>
          </w:p>
        </w:tc>
        <w:tc>
          <w:tcPr>
            <w:tcW w:w="9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6,962</w:t>
            </w:r>
          </w:p>
        </w:tc>
        <w:tc>
          <w:tcPr>
            <w:tcW w:w="9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2,988</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9,950</w:t>
            </w:r>
          </w:p>
        </w:tc>
        <w:tc>
          <w:tcPr>
            <w:tcW w:w="100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2,638</w:t>
            </w:r>
          </w:p>
        </w:tc>
        <w:tc>
          <w:tcPr>
            <w:tcW w:w="96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1,533</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4,171</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166,610</w:t>
            </w: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359,398</w:t>
            </w: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(3,642)</w:t>
            </w: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522,366</w:t>
            </w: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171,977</w:t>
            </w:r>
          </w:p>
        </w:tc>
        <w:tc>
          <w:tcPr>
            <w:tcW w:w="2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410,707</w:t>
            </w:r>
          </w:p>
        </w:tc>
        <w:tc>
          <w:tcPr>
            <w:tcW w:w="2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(3,485)</w:t>
            </w:r>
          </w:p>
        </w:tc>
        <w:tc>
          <w:tcPr>
            <w:tcW w:w="2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579,199</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120" w:type="dxa"/>
            <w:vAlign w:val="bottom"/>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Balance before accrued interest</w:t>
            </w:r>
          </w:p>
        </w:tc>
        <w:tc>
          <w:tcPr>
            <w:tcW w:w="7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27,172,238</w:t>
            </w: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1,478,890</w:t>
            </w: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(482,422)</w:t>
            </w: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28,168,706</w:t>
            </w: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24,072,574</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1,898,702</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(21,664)</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25,949,612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120" w:type="dxa"/>
            <w:vAlign w:val="bottom"/>
          </w:tcPr>
          <w:p>
            <w:pPr>
              <w:spacing w:after="0" w:line="148" w:lineRule="exact"/>
              <w:rPr>
                <w:sz w:val="20"/>
                <w:szCs w:val="20"/>
                <w:color w:val="auto"/>
              </w:rPr>
            </w:pPr>
            <w:r>
              <w:rPr>
                <w:rFonts w:ascii="Arial" w:cs="Arial" w:eastAsia="Arial" w:hAnsi="Arial"/>
                <w:sz w:val="13"/>
                <w:szCs w:val="13"/>
                <w:color w:val="auto"/>
              </w:rPr>
              <w:t>Accrued interest</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219,666</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253,111</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120" w:type="dxa"/>
            <w:vAlign w:val="bottom"/>
            <w:tcBorders>
              <w:top w:val="single" w:sz="8" w:color="CCEEFF"/>
            </w:tcBorders>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Total</w:t>
            </w:r>
          </w:p>
        </w:tc>
        <w:tc>
          <w:tcPr>
            <w:tcW w:w="7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28,388,372</w:t>
            </w: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26,202,723</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00"/>
        <w:spacing w:after="0" w:line="283" w:lineRule="auto"/>
        <w:rPr>
          <w:sz w:val="20"/>
          <w:szCs w:val="20"/>
          <w:color w:val="auto"/>
        </w:rPr>
      </w:pPr>
      <w:r>
        <w:rPr>
          <w:rFonts w:ascii="Arial" w:cs="Arial" w:eastAsia="Arial" w:hAnsi="Arial"/>
          <w:sz w:val="15"/>
          <w:szCs w:val="15"/>
          <w:color w:val="auto"/>
        </w:rPr>
        <w:t>The Management of Credicorp has determined that the unrealized losses on investment at fair value through other comprehensive income as of March 31, 2020 and December 31, 2019 are of a temporary nature, considering factors such as intended strategy in relation with the identified security or portfolio, its underlying collateral and credit rating of the issuers. As of March 31, 2020, as a result of assessment of the impairment of its investments at fair value through other comprehensive income, the Group recorded a provision of credit loss of S/11.8 million (recovery of credit loss of S/0.7 million during the three-month period ended March 31, 2019), which is shown in “Net gain on securities” in the interim condensed consolidated statement of income. Also, Management has decided and has the ability to hold each investment for a period of time sufficient to allow for an anticipated recovery in fair value, until the earlier of its anticipated recovery or maturity.</w:t>
      </w:r>
    </w:p>
    <w:p>
      <w:pPr>
        <w:spacing w:after="0" w:line="155" w:lineRule="exact"/>
        <w:rPr>
          <w:sz w:val="20"/>
          <w:szCs w:val="20"/>
          <w:color w:val="auto"/>
        </w:rPr>
      </w:pPr>
    </w:p>
    <w:p>
      <w:pPr>
        <w:ind w:left="300" w:right="60"/>
        <w:spacing w:after="0" w:line="287" w:lineRule="auto"/>
        <w:rPr>
          <w:sz w:val="20"/>
          <w:szCs w:val="20"/>
          <w:color w:val="auto"/>
        </w:rPr>
      </w:pPr>
      <w:r>
        <w:rPr>
          <w:rFonts w:ascii="Arial" w:cs="Arial" w:eastAsia="Arial" w:hAnsi="Arial"/>
          <w:sz w:val="16"/>
          <w:szCs w:val="16"/>
          <w:color w:val="auto"/>
        </w:rPr>
        <w:t>As of March 31, 2020 and December 31, 2019, the Group has not reclassified instruments from the portfolio of investments at fair value through other comprehensive income to investments at amortized cost.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32" w:name="page33"/>
    <w:bookmarkEnd w:id="32"/>
    <w:p>
      <w:pPr>
        <w:ind w:left="2"/>
        <w:spacing w:after="0"/>
        <w:rPr>
          <w:sz w:val="20"/>
          <w:szCs w:val="20"/>
          <w:color w:val="auto"/>
        </w:rPr>
      </w:pPr>
      <w:r>
        <w:rPr>
          <w:rFonts w:ascii="Arial" w:cs="Arial" w:eastAsia="Arial" w:hAnsi="Arial"/>
          <w:sz w:val="15"/>
          <w:szCs w:val="15"/>
          <w:color w:val="auto"/>
        </w:rPr>
        <w:t>The maturities and annual market rates of investments at fair value through other comprehensive income as of March 31, 2020 and December 31, 2019, are as follows:</w:t>
      </w:r>
    </w:p>
    <w:p>
      <w:pPr>
        <w:spacing w:after="0" w:line="230" w:lineRule="exact"/>
        <w:rPr>
          <w:sz w:val="20"/>
          <w:szCs w:val="20"/>
          <w:color w:val="auto"/>
        </w:rPr>
      </w:pPr>
    </w:p>
    <w:tbl>
      <w:tblPr>
        <w:tblLayout w:type="fixed"/>
        <w:tblInd w:w="2" w:type="dxa"/>
        <w:tblCellMar>
          <w:top w:w="0" w:type="dxa"/>
          <w:left w:w="0" w:type="dxa"/>
          <w:bottom w:w="0" w:type="dxa"/>
          <w:right w:w="0" w:type="dxa"/>
        </w:tblCellMar>
      </w:tblPr>
      <w:tr>
        <w:trPr>
          <w:trHeight w:val="139"/>
        </w:trPr>
        <w:tc>
          <w:tcPr>
            <w:tcW w:w="1920" w:type="dxa"/>
            <w:vAlign w:val="bottom"/>
          </w:tcPr>
          <w:p>
            <w:pPr>
              <w:spacing w:after="0"/>
              <w:rPr>
                <w:sz w:val="12"/>
                <w:szCs w:val="12"/>
                <w:color w:val="auto"/>
              </w:rPr>
            </w:pPr>
          </w:p>
        </w:tc>
        <w:tc>
          <w:tcPr>
            <w:tcW w:w="1380" w:type="dxa"/>
            <w:vAlign w:val="bottom"/>
            <w:gridSpan w:val="4"/>
          </w:tcPr>
          <w:p>
            <w:pPr>
              <w:ind w:left="380"/>
              <w:spacing w:after="0"/>
              <w:rPr>
                <w:sz w:val="20"/>
                <w:szCs w:val="20"/>
                <w:color w:val="auto"/>
              </w:rPr>
            </w:pPr>
            <w:r>
              <w:rPr>
                <w:rFonts w:ascii="Arial" w:cs="Arial" w:eastAsia="Arial" w:hAnsi="Arial"/>
                <w:sz w:val="11"/>
                <w:szCs w:val="11"/>
                <w:b w:val="1"/>
                <w:bCs w:val="1"/>
                <w:color w:val="auto"/>
              </w:rPr>
              <w:t>Maturities</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gridSpan w:val="4"/>
          </w:tcPr>
          <w:p>
            <w:pPr>
              <w:jc w:val="right"/>
              <w:ind w:right="63"/>
              <w:spacing w:after="0"/>
              <w:rPr>
                <w:sz w:val="20"/>
                <w:szCs w:val="20"/>
                <w:color w:val="auto"/>
              </w:rPr>
            </w:pPr>
            <w:r>
              <w:rPr>
                <w:rFonts w:ascii="Arial" w:cs="Arial" w:eastAsia="Arial" w:hAnsi="Arial"/>
                <w:sz w:val="11"/>
                <w:szCs w:val="11"/>
                <w:b w:val="1"/>
                <w:bCs w:val="1"/>
                <w:color w:val="auto"/>
              </w:rPr>
              <w:t>Annual effective interest rate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99"/>
        </w:trPr>
        <w:tc>
          <w:tcPr>
            <w:tcW w:w="1920" w:type="dxa"/>
            <w:vAlign w:val="bottom"/>
          </w:tcPr>
          <w:p>
            <w:pPr>
              <w:spacing w:after="0"/>
              <w:rPr>
                <w:sz w:val="8"/>
                <w:szCs w:val="8"/>
                <w:color w:val="auto"/>
              </w:rPr>
            </w:pPr>
          </w:p>
        </w:tc>
        <w:tc>
          <w:tcPr>
            <w:tcW w:w="700" w:type="dxa"/>
            <w:vAlign w:val="bottom"/>
            <w:tcBorders>
              <w:top w:val="single" w:sz="8" w:color="auto"/>
            </w:tcBorders>
            <w:gridSpan w:val="2"/>
          </w:tcPr>
          <w:p>
            <w:pPr>
              <w:jc w:val="center"/>
              <w:ind w:right="120"/>
              <w:spacing w:after="0" w:line="100" w:lineRule="exact"/>
              <w:rPr>
                <w:sz w:val="20"/>
                <w:szCs w:val="20"/>
                <w:color w:val="auto"/>
              </w:rPr>
            </w:pPr>
            <w:r>
              <w:rPr>
                <w:rFonts w:ascii="Arial" w:cs="Arial" w:eastAsia="Arial" w:hAnsi="Arial"/>
                <w:sz w:val="11"/>
                <w:szCs w:val="11"/>
                <w:b w:val="1"/>
                <w:bCs w:val="1"/>
                <w:color w:val="auto"/>
                <w:w w:val="94"/>
              </w:rPr>
              <w:t>As of</w:t>
            </w:r>
          </w:p>
        </w:tc>
        <w:tc>
          <w:tcPr>
            <w:tcW w:w="56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87"/>
              </w:rPr>
              <w:t>As of</w:t>
            </w:r>
          </w:p>
        </w:tc>
        <w:tc>
          <w:tcPr>
            <w:tcW w:w="1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23"/>
        </w:trPr>
        <w:tc>
          <w:tcPr>
            <w:tcW w:w="1920" w:type="dxa"/>
            <w:vAlign w:val="bottom"/>
          </w:tcPr>
          <w:p>
            <w:pPr>
              <w:spacing w:after="0"/>
              <w:rPr>
                <w:sz w:val="10"/>
                <w:szCs w:val="10"/>
                <w:color w:val="auto"/>
              </w:rPr>
            </w:pPr>
          </w:p>
        </w:tc>
        <w:tc>
          <w:tcPr>
            <w:tcW w:w="70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w w:val="98"/>
              </w:rPr>
              <w:t>March 31,</w:t>
            </w:r>
          </w:p>
        </w:tc>
        <w:tc>
          <w:tcPr>
            <w:tcW w:w="680" w:type="dxa"/>
            <w:vAlign w:val="bottom"/>
            <w:gridSpan w:val="2"/>
          </w:tcPr>
          <w:p>
            <w:pPr>
              <w:jc w:val="center"/>
              <w:ind w:right="140"/>
              <w:spacing w:after="0" w:line="123" w:lineRule="exact"/>
              <w:rPr>
                <w:sz w:val="20"/>
                <w:szCs w:val="20"/>
                <w:color w:val="auto"/>
              </w:rPr>
            </w:pPr>
            <w:r>
              <w:rPr>
                <w:rFonts w:ascii="Arial" w:cs="Arial" w:eastAsia="Arial" w:hAnsi="Arial"/>
                <w:sz w:val="11"/>
                <w:szCs w:val="11"/>
                <w:b w:val="1"/>
                <w:bCs w:val="1"/>
                <w:color w:val="auto"/>
                <w:w w:val="93"/>
              </w:rPr>
              <w:t>December</w:t>
            </w: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9"/>
        </w:trPr>
        <w:tc>
          <w:tcPr>
            <w:tcW w:w="1920" w:type="dxa"/>
            <w:vAlign w:val="bottom"/>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2020</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31, 2019</w:t>
            </w:r>
          </w:p>
        </w:tc>
        <w:tc>
          <w:tcPr>
            <w:tcW w:w="1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ind w:left="120"/>
              <w:spacing w:after="0"/>
              <w:rPr>
                <w:sz w:val="20"/>
                <w:szCs w:val="20"/>
                <w:color w:val="auto"/>
              </w:rPr>
            </w:pPr>
            <w:r>
              <w:rPr>
                <w:rFonts w:ascii="Arial" w:cs="Arial" w:eastAsia="Arial" w:hAnsi="Arial"/>
                <w:sz w:val="11"/>
                <w:szCs w:val="11"/>
                <w:b w:val="1"/>
                <w:bCs w:val="1"/>
                <w:color w:val="auto"/>
              </w:rPr>
              <w:t>As of March 31, 2020</w:t>
            </w:r>
          </w:p>
        </w:tc>
        <w:tc>
          <w:tcPr>
            <w:tcW w:w="7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1"/>
                <w:szCs w:val="11"/>
                <w:b w:val="1"/>
                <w:bCs w:val="1"/>
                <w:color w:val="auto"/>
                <w:w w:val="92"/>
              </w:rPr>
              <w:t>As of December 31, 2019</w:t>
            </w:r>
          </w:p>
        </w:tc>
        <w:tc>
          <w:tcPr>
            <w:tcW w:w="7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7"/>
        </w:trPr>
        <w:tc>
          <w:tcPr>
            <w:tcW w:w="1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jc w:val="right"/>
              <w:ind w:right="660"/>
              <w:spacing w:after="0"/>
              <w:rPr>
                <w:sz w:val="20"/>
                <w:szCs w:val="20"/>
                <w:color w:val="auto"/>
              </w:rPr>
            </w:pPr>
            <w:r>
              <w:rPr>
                <w:rFonts w:ascii="Arial" w:cs="Arial" w:eastAsia="Arial" w:hAnsi="Arial"/>
                <w:sz w:val="11"/>
                <w:szCs w:val="11"/>
                <w:b w:val="1"/>
                <w:bCs w:val="1"/>
                <w:color w:val="auto"/>
                <w:w w:val="95"/>
              </w:rPr>
              <w:t>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US$</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Other</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ind w:right="23"/>
              <w:spacing w:after="0"/>
              <w:rPr>
                <w:sz w:val="20"/>
                <w:szCs w:val="20"/>
                <w:color w:val="auto"/>
              </w:rPr>
            </w:pPr>
            <w:r>
              <w:rPr>
                <w:rFonts w:ascii="Arial" w:cs="Arial" w:eastAsia="Arial" w:hAnsi="Arial"/>
                <w:sz w:val="11"/>
                <w:szCs w:val="11"/>
                <w:b w:val="1"/>
                <w:bCs w:val="1"/>
                <w:color w:val="auto"/>
              </w:rPr>
              <w:t>S/</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gridSpan w:val="2"/>
          </w:tcPr>
          <w:p>
            <w:pPr>
              <w:jc w:val="center"/>
              <w:ind w:right="680"/>
              <w:spacing w:after="0"/>
              <w:rPr>
                <w:sz w:val="20"/>
                <w:szCs w:val="20"/>
                <w:color w:val="auto"/>
              </w:rPr>
            </w:pPr>
            <w:r>
              <w:rPr>
                <w:rFonts w:ascii="Arial" w:cs="Arial" w:eastAsia="Arial" w:hAnsi="Arial"/>
                <w:sz w:val="11"/>
                <w:szCs w:val="11"/>
                <w:b w:val="1"/>
                <w:bCs w:val="1"/>
                <w:color w:val="auto"/>
                <w:w w:val="93"/>
              </w:rPr>
              <w:t>US$</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Other</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99"/>
        </w:trPr>
        <w:tc>
          <w:tcPr>
            <w:tcW w:w="1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top w:val="single" w:sz="8" w:color="auto"/>
            </w:tcBorders>
          </w:tcPr>
          <w:p>
            <w:pPr>
              <w:jc w:val="right"/>
              <w:ind w:right="123"/>
              <w:spacing w:after="0" w:line="100" w:lineRule="exact"/>
              <w:rPr>
                <w:sz w:val="20"/>
                <w:szCs w:val="20"/>
                <w:color w:val="auto"/>
              </w:rPr>
            </w:pPr>
            <w:r>
              <w:rPr>
                <w:rFonts w:ascii="Arial" w:cs="Arial" w:eastAsia="Arial" w:hAnsi="Arial"/>
                <w:sz w:val="11"/>
                <w:szCs w:val="11"/>
                <w:b w:val="1"/>
                <w:bCs w:val="1"/>
                <w:color w:val="auto"/>
              </w:rPr>
              <w:t>Min</w:t>
            </w:r>
          </w:p>
        </w:tc>
        <w:tc>
          <w:tcPr>
            <w:tcW w:w="660" w:type="dxa"/>
            <w:vAlign w:val="bottom"/>
            <w:tcBorders>
              <w:top w:val="single" w:sz="8" w:color="auto"/>
            </w:tcBorders>
          </w:tcPr>
          <w:p>
            <w:pPr>
              <w:jc w:val="right"/>
              <w:ind w:right="63"/>
              <w:spacing w:after="0" w:line="100" w:lineRule="exact"/>
              <w:rPr>
                <w:sz w:val="20"/>
                <w:szCs w:val="20"/>
                <w:color w:val="auto"/>
              </w:rPr>
            </w:pPr>
            <w:r>
              <w:rPr>
                <w:rFonts w:ascii="Arial" w:cs="Arial" w:eastAsia="Arial" w:hAnsi="Arial"/>
                <w:sz w:val="11"/>
                <w:szCs w:val="11"/>
                <w:b w:val="1"/>
                <w:bCs w:val="1"/>
                <w:color w:val="auto"/>
              </w:rPr>
              <w:t>Max</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top w:val="single" w:sz="8" w:color="auto"/>
            </w:tcBorders>
          </w:tcPr>
          <w:p>
            <w:pPr>
              <w:jc w:val="right"/>
              <w:ind w:right="63"/>
              <w:spacing w:after="0" w:line="100" w:lineRule="exact"/>
              <w:rPr>
                <w:sz w:val="20"/>
                <w:szCs w:val="20"/>
                <w:color w:val="auto"/>
              </w:rPr>
            </w:pPr>
            <w:r>
              <w:rPr>
                <w:rFonts w:ascii="Arial" w:cs="Arial" w:eastAsia="Arial" w:hAnsi="Arial"/>
                <w:sz w:val="11"/>
                <w:szCs w:val="11"/>
                <w:b w:val="1"/>
                <w:bCs w:val="1"/>
                <w:color w:val="auto"/>
              </w:rPr>
              <w:t>Min</w:t>
            </w:r>
          </w:p>
        </w:tc>
        <w:tc>
          <w:tcPr>
            <w:tcW w:w="660" w:type="dxa"/>
            <w:vAlign w:val="bottom"/>
            <w:tcBorders>
              <w:top w:val="single" w:sz="8" w:color="auto"/>
            </w:tcBorders>
          </w:tcPr>
          <w:p>
            <w:pPr>
              <w:jc w:val="right"/>
              <w:ind w:right="63"/>
              <w:spacing w:after="0" w:line="100" w:lineRule="exact"/>
              <w:rPr>
                <w:sz w:val="20"/>
                <w:szCs w:val="20"/>
                <w:color w:val="auto"/>
              </w:rPr>
            </w:pPr>
            <w:r>
              <w:rPr>
                <w:rFonts w:ascii="Arial" w:cs="Arial" w:eastAsia="Arial" w:hAnsi="Arial"/>
                <w:sz w:val="11"/>
                <w:szCs w:val="11"/>
                <w:b w:val="1"/>
                <w:bCs w:val="1"/>
                <w:color w:val="auto"/>
              </w:rPr>
              <w:t>Max</w:t>
            </w:r>
          </w:p>
        </w:tc>
        <w:tc>
          <w:tcPr>
            <w:tcW w:w="220" w:type="dxa"/>
            <w:vAlign w:val="bottom"/>
          </w:tcPr>
          <w:p>
            <w:pPr>
              <w:spacing w:after="0"/>
              <w:rPr>
                <w:sz w:val="8"/>
                <w:szCs w:val="8"/>
                <w:color w:val="auto"/>
              </w:rPr>
            </w:pPr>
          </w:p>
        </w:tc>
        <w:tc>
          <w:tcPr>
            <w:tcW w:w="740" w:type="dxa"/>
            <w:vAlign w:val="bottom"/>
            <w:tcBorders>
              <w:top w:val="single" w:sz="8" w:color="auto"/>
            </w:tcBorders>
          </w:tcPr>
          <w:p>
            <w:pPr>
              <w:jc w:val="right"/>
              <w:ind w:right="363"/>
              <w:spacing w:after="0" w:line="100" w:lineRule="exact"/>
              <w:rPr>
                <w:sz w:val="20"/>
                <w:szCs w:val="20"/>
                <w:color w:val="auto"/>
              </w:rPr>
            </w:pPr>
            <w:r>
              <w:rPr>
                <w:rFonts w:ascii="Arial" w:cs="Arial" w:eastAsia="Arial" w:hAnsi="Arial"/>
                <w:sz w:val="11"/>
                <w:szCs w:val="11"/>
                <w:b w:val="1"/>
                <w:bCs w:val="1"/>
                <w:color w:val="auto"/>
              </w:rPr>
              <w:t>Min</w:t>
            </w:r>
          </w:p>
        </w:tc>
        <w:tc>
          <w:tcPr>
            <w:tcW w:w="360" w:type="dxa"/>
            <w:vAlign w:val="bottom"/>
            <w:tcBorders>
              <w:top w:val="single" w:sz="8" w:color="auto"/>
            </w:tcBorders>
          </w:tcPr>
          <w:p>
            <w:pPr>
              <w:jc w:val="right"/>
              <w:ind w:right="63"/>
              <w:spacing w:after="0" w:line="100" w:lineRule="exact"/>
              <w:rPr>
                <w:sz w:val="20"/>
                <w:szCs w:val="20"/>
                <w:color w:val="auto"/>
              </w:rPr>
            </w:pPr>
            <w:r>
              <w:rPr>
                <w:rFonts w:ascii="Arial" w:cs="Arial" w:eastAsia="Arial" w:hAnsi="Arial"/>
                <w:sz w:val="11"/>
                <w:szCs w:val="11"/>
                <w:b w:val="1"/>
                <w:bCs w:val="1"/>
                <w:color w:val="auto"/>
              </w:rPr>
              <w:t>Max</w:t>
            </w:r>
          </w:p>
        </w:tc>
        <w:tc>
          <w:tcPr>
            <w:tcW w:w="220" w:type="dxa"/>
            <w:vAlign w:val="bottom"/>
          </w:tcPr>
          <w:p>
            <w:pPr>
              <w:spacing w:after="0"/>
              <w:rPr>
                <w:sz w:val="8"/>
                <w:szCs w:val="8"/>
                <w:color w:val="auto"/>
              </w:rPr>
            </w:pPr>
          </w:p>
        </w:tc>
        <w:tc>
          <w:tcPr>
            <w:tcW w:w="680" w:type="dxa"/>
            <w:vAlign w:val="bottom"/>
            <w:tcBorders>
              <w:top w:val="single" w:sz="8" w:color="auto"/>
            </w:tcBorders>
          </w:tcPr>
          <w:p>
            <w:pPr>
              <w:jc w:val="right"/>
              <w:ind w:right="303"/>
              <w:spacing w:after="0" w:line="100" w:lineRule="exact"/>
              <w:rPr>
                <w:sz w:val="20"/>
                <w:szCs w:val="20"/>
                <w:color w:val="auto"/>
              </w:rPr>
            </w:pPr>
            <w:r>
              <w:rPr>
                <w:rFonts w:ascii="Arial" w:cs="Arial" w:eastAsia="Arial" w:hAnsi="Arial"/>
                <w:sz w:val="11"/>
                <w:szCs w:val="11"/>
                <w:b w:val="1"/>
                <w:bCs w:val="1"/>
                <w:color w:val="auto"/>
              </w:rPr>
              <w:t>Min</w:t>
            </w:r>
          </w:p>
        </w:tc>
        <w:tc>
          <w:tcPr>
            <w:tcW w:w="42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Max</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top w:val="single" w:sz="8" w:color="auto"/>
            </w:tcBorders>
          </w:tcPr>
          <w:p>
            <w:pPr>
              <w:jc w:val="right"/>
              <w:ind w:right="63"/>
              <w:spacing w:after="0" w:line="100" w:lineRule="exact"/>
              <w:rPr>
                <w:sz w:val="20"/>
                <w:szCs w:val="20"/>
                <w:color w:val="auto"/>
              </w:rPr>
            </w:pPr>
            <w:r>
              <w:rPr>
                <w:rFonts w:ascii="Arial" w:cs="Arial" w:eastAsia="Arial" w:hAnsi="Arial"/>
                <w:sz w:val="11"/>
                <w:szCs w:val="11"/>
                <w:b w:val="1"/>
                <w:bCs w:val="1"/>
                <w:color w:val="auto"/>
              </w:rPr>
              <w:t>Min</w:t>
            </w:r>
          </w:p>
        </w:tc>
        <w:tc>
          <w:tcPr>
            <w:tcW w:w="660" w:type="dxa"/>
            <w:vAlign w:val="bottom"/>
            <w:tcBorders>
              <w:top w:val="single" w:sz="8" w:color="auto"/>
            </w:tcBorders>
          </w:tcPr>
          <w:p>
            <w:pPr>
              <w:jc w:val="right"/>
              <w:ind w:right="63"/>
              <w:spacing w:after="0" w:line="100" w:lineRule="exact"/>
              <w:rPr>
                <w:sz w:val="20"/>
                <w:szCs w:val="20"/>
                <w:color w:val="auto"/>
              </w:rPr>
            </w:pPr>
            <w:r>
              <w:rPr>
                <w:rFonts w:ascii="Arial" w:cs="Arial" w:eastAsia="Arial" w:hAnsi="Arial"/>
                <w:sz w:val="11"/>
                <w:szCs w:val="11"/>
                <w:b w:val="1"/>
                <w:bCs w:val="1"/>
                <w:color w:val="auto"/>
              </w:rPr>
              <w:t>Max</w:t>
            </w:r>
          </w:p>
        </w:tc>
        <w:tc>
          <w:tcPr>
            <w:tcW w:w="220" w:type="dxa"/>
            <w:vAlign w:val="bottom"/>
          </w:tcPr>
          <w:p>
            <w:pPr>
              <w:spacing w:after="0"/>
              <w:rPr>
                <w:sz w:val="8"/>
                <w:szCs w:val="8"/>
                <w:color w:val="auto"/>
              </w:rPr>
            </w:pPr>
          </w:p>
        </w:tc>
        <w:tc>
          <w:tcPr>
            <w:tcW w:w="720" w:type="dxa"/>
            <w:vAlign w:val="bottom"/>
            <w:tcBorders>
              <w:top w:val="single" w:sz="8" w:color="auto"/>
            </w:tcBorders>
          </w:tcPr>
          <w:p>
            <w:pPr>
              <w:jc w:val="right"/>
              <w:ind w:right="343"/>
              <w:spacing w:after="0" w:line="100" w:lineRule="exact"/>
              <w:rPr>
                <w:sz w:val="20"/>
                <w:szCs w:val="20"/>
                <w:color w:val="auto"/>
              </w:rPr>
            </w:pPr>
            <w:r>
              <w:rPr>
                <w:rFonts w:ascii="Arial" w:cs="Arial" w:eastAsia="Arial" w:hAnsi="Arial"/>
                <w:sz w:val="11"/>
                <w:szCs w:val="11"/>
                <w:b w:val="1"/>
                <w:bCs w:val="1"/>
                <w:color w:val="auto"/>
              </w:rPr>
              <w:t>Min</w:t>
            </w:r>
          </w:p>
        </w:tc>
        <w:tc>
          <w:tcPr>
            <w:tcW w:w="380" w:type="dxa"/>
            <w:vAlign w:val="bottom"/>
            <w:tcBorders>
              <w:top w:val="single" w:sz="8" w:color="auto"/>
            </w:tcBorders>
          </w:tcPr>
          <w:p>
            <w:pPr>
              <w:jc w:val="right"/>
              <w:ind w:right="63"/>
              <w:spacing w:after="0" w:line="100" w:lineRule="exact"/>
              <w:rPr>
                <w:sz w:val="20"/>
                <w:szCs w:val="20"/>
                <w:color w:val="auto"/>
              </w:rPr>
            </w:pPr>
            <w:r>
              <w:rPr>
                <w:rFonts w:ascii="Arial" w:cs="Arial" w:eastAsia="Arial" w:hAnsi="Arial"/>
                <w:sz w:val="11"/>
                <w:szCs w:val="11"/>
                <w:b w:val="1"/>
                <w:bCs w:val="1"/>
                <w:color w:val="auto"/>
              </w:rPr>
              <w:t>Max</w:t>
            </w:r>
          </w:p>
        </w:tc>
        <w:tc>
          <w:tcPr>
            <w:tcW w:w="100" w:type="dxa"/>
            <w:vAlign w:val="bottom"/>
          </w:tcPr>
          <w:p>
            <w:pPr>
              <w:spacing w:after="0"/>
              <w:rPr>
                <w:sz w:val="8"/>
                <w:szCs w:val="8"/>
                <w:color w:val="auto"/>
              </w:rPr>
            </w:pPr>
          </w:p>
        </w:tc>
      </w:tr>
      <w:tr>
        <w:trPr>
          <w:trHeight w:val="139"/>
        </w:trPr>
        <w:tc>
          <w:tcPr>
            <w:tcW w:w="1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63"/>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123"/>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23"/>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123"/>
              <w:spacing w:after="0"/>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2"/>
                <w:szCs w:val="12"/>
                <w:color w:val="auto"/>
              </w:rPr>
            </w:pPr>
          </w:p>
        </w:tc>
        <w:tc>
          <w:tcPr>
            <w:tcW w:w="740" w:type="dxa"/>
            <w:vAlign w:val="bottom"/>
          </w:tcPr>
          <w:p>
            <w:pPr>
              <w:jc w:val="right"/>
              <w:ind w:right="403"/>
              <w:spacing w:after="0"/>
              <w:rPr>
                <w:sz w:val="20"/>
                <w:szCs w:val="20"/>
                <w:color w:val="auto"/>
              </w:rPr>
            </w:pPr>
            <w:r>
              <w:rPr>
                <w:rFonts w:ascii="Arial" w:cs="Arial" w:eastAsia="Arial" w:hAnsi="Arial"/>
                <w:sz w:val="11"/>
                <w:szCs w:val="11"/>
                <w:b w:val="1"/>
                <w:bCs w:val="1"/>
                <w:color w:val="auto"/>
              </w:rPr>
              <w:t>%</w:t>
            </w:r>
          </w:p>
        </w:tc>
        <w:tc>
          <w:tcPr>
            <w:tcW w:w="360" w:type="dxa"/>
            <w:vAlign w:val="bottom"/>
          </w:tcPr>
          <w:p>
            <w:pPr>
              <w:jc w:val="right"/>
              <w:ind w:right="103"/>
              <w:spacing w:after="0"/>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2"/>
                <w:szCs w:val="12"/>
                <w:color w:val="auto"/>
              </w:rPr>
            </w:pPr>
          </w:p>
        </w:tc>
        <w:tc>
          <w:tcPr>
            <w:tcW w:w="680" w:type="dxa"/>
            <w:vAlign w:val="bottom"/>
          </w:tcPr>
          <w:p>
            <w:pPr>
              <w:jc w:val="right"/>
              <w:ind w:right="343"/>
              <w:spacing w:after="0"/>
              <w:rPr>
                <w:sz w:val="20"/>
                <w:szCs w:val="20"/>
                <w:color w:val="auto"/>
              </w:rPr>
            </w:pPr>
            <w:r>
              <w:rPr>
                <w:rFonts w:ascii="Arial" w:cs="Arial" w:eastAsia="Arial" w:hAnsi="Arial"/>
                <w:sz w:val="11"/>
                <w:szCs w:val="11"/>
                <w:b w:val="1"/>
                <w:bCs w:val="1"/>
                <w:color w:val="auto"/>
              </w:rPr>
              <w:t>%</w:t>
            </w:r>
          </w:p>
        </w:tc>
        <w:tc>
          <w:tcPr>
            <w:tcW w:w="420" w:type="dxa"/>
            <w:vAlign w:val="bottom"/>
          </w:tcPr>
          <w:p>
            <w:pPr>
              <w:jc w:val="right"/>
              <w:ind w:right="103"/>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3"/>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123"/>
              <w:spacing w:after="0"/>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2"/>
                <w:szCs w:val="12"/>
                <w:color w:val="auto"/>
              </w:rPr>
            </w:pPr>
          </w:p>
        </w:tc>
        <w:tc>
          <w:tcPr>
            <w:tcW w:w="720" w:type="dxa"/>
            <w:vAlign w:val="bottom"/>
          </w:tcPr>
          <w:p>
            <w:pPr>
              <w:jc w:val="right"/>
              <w:ind w:right="383"/>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jc w:val="right"/>
              <w:ind w:right="103"/>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r>
      <w:tr>
        <w:trPr>
          <w:trHeight w:val="109"/>
        </w:trPr>
        <w:tc>
          <w:tcPr>
            <w:tcW w:w="19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center"/>
              <w:ind w:right="120"/>
              <w:spacing w:after="0" w:line="109" w:lineRule="exact"/>
              <w:rPr>
                <w:sz w:val="20"/>
                <w:szCs w:val="20"/>
                <w:color w:val="auto"/>
              </w:rPr>
            </w:pPr>
            <w:r>
              <w:rPr>
                <w:rFonts w:ascii="Arial" w:cs="Arial" w:eastAsia="Arial" w:hAnsi="Arial"/>
                <w:sz w:val="11"/>
                <w:szCs w:val="11"/>
                <w:color w:val="auto"/>
                <w:w w:val="97"/>
              </w:rPr>
              <w:t>Apr-2020 /</w:t>
            </w:r>
          </w:p>
        </w:tc>
        <w:tc>
          <w:tcPr>
            <w:tcW w:w="680" w:type="dxa"/>
            <w:vAlign w:val="bottom"/>
            <w:gridSpan w:val="2"/>
            <w:shd w:val="clear" w:color="auto" w:fill="CCEEFF"/>
          </w:tcPr>
          <w:p>
            <w:pPr>
              <w:jc w:val="center"/>
              <w:ind w:right="120"/>
              <w:spacing w:after="0" w:line="109" w:lineRule="exact"/>
              <w:rPr>
                <w:sz w:val="20"/>
                <w:szCs w:val="20"/>
                <w:color w:val="auto"/>
              </w:rPr>
            </w:pPr>
            <w:r>
              <w:rPr>
                <w:rFonts w:ascii="Arial" w:cs="Arial" w:eastAsia="Arial" w:hAnsi="Arial"/>
                <w:sz w:val="11"/>
                <w:szCs w:val="11"/>
                <w:color w:val="auto"/>
                <w:w w:val="92"/>
              </w:rPr>
              <w:t>Jan-2020 /</w:t>
            </w:r>
          </w:p>
        </w:tc>
        <w:tc>
          <w:tcPr>
            <w:tcW w:w="5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7"/>
        </w:trPr>
        <w:tc>
          <w:tcPr>
            <w:tcW w:w="1920" w:type="dxa"/>
            <w:vAlign w:val="bottom"/>
            <w:shd w:val="clear" w:color="auto" w:fill="CCEEFF"/>
          </w:tcPr>
          <w:p>
            <w:pPr>
              <w:spacing w:after="0"/>
              <w:rPr>
                <w:sz w:val="20"/>
                <w:szCs w:val="20"/>
                <w:color w:val="auto"/>
              </w:rPr>
            </w:pPr>
            <w:r>
              <w:rPr>
                <w:rFonts w:ascii="Arial" w:cs="Arial" w:eastAsia="Arial" w:hAnsi="Arial"/>
                <w:sz w:val="11"/>
                <w:szCs w:val="11"/>
                <w:color w:val="auto"/>
              </w:rPr>
              <w:t>Corporate bonds (*)</w:t>
            </w: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1"/>
                <w:szCs w:val="11"/>
                <w:color w:val="auto"/>
                <w:w w:val="93"/>
              </w:rPr>
              <w:t>Feb-2065</w:t>
            </w: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3"/>
              </w:rPr>
              <w:t>Feb-2065</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33.99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0.41</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19.43</w:t>
            </w: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0.49</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9.92</w:t>
            </w:r>
          </w:p>
        </w:tc>
        <w:tc>
          <w:tcPr>
            <w:tcW w:w="68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rPr>
              <w:t>1.09</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8.16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0.47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8.25</w:t>
            </w:r>
          </w:p>
        </w:tc>
        <w:tc>
          <w:tcPr>
            <w:tcW w:w="72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0.62</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6.55</w:t>
            </w:r>
          </w:p>
        </w:tc>
      </w:tr>
      <w:tr>
        <w:trPr>
          <w:trHeight w:val="109"/>
        </w:trPr>
        <w:tc>
          <w:tcPr>
            <w:tcW w:w="1920" w:type="dxa"/>
            <w:vAlign w:val="bottom"/>
          </w:tcPr>
          <w:p>
            <w:pPr>
              <w:spacing w:after="0"/>
              <w:rPr>
                <w:sz w:val="9"/>
                <w:szCs w:val="9"/>
                <w:color w:val="auto"/>
              </w:rPr>
            </w:pPr>
          </w:p>
        </w:tc>
        <w:tc>
          <w:tcPr>
            <w:tcW w:w="700" w:type="dxa"/>
            <w:vAlign w:val="bottom"/>
            <w:gridSpan w:val="2"/>
          </w:tcPr>
          <w:p>
            <w:pPr>
              <w:jc w:val="center"/>
              <w:ind w:right="120"/>
              <w:spacing w:after="0" w:line="109" w:lineRule="exact"/>
              <w:rPr>
                <w:sz w:val="20"/>
                <w:szCs w:val="20"/>
                <w:color w:val="auto"/>
              </w:rPr>
            </w:pPr>
            <w:r>
              <w:rPr>
                <w:rFonts w:ascii="Arial" w:cs="Arial" w:eastAsia="Arial" w:hAnsi="Arial"/>
                <w:sz w:val="11"/>
                <w:szCs w:val="11"/>
                <w:color w:val="auto"/>
                <w:w w:val="97"/>
              </w:rPr>
              <w:t>Apr-2020 /</w:t>
            </w:r>
          </w:p>
        </w:tc>
        <w:tc>
          <w:tcPr>
            <w:tcW w:w="680" w:type="dxa"/>
            <w:vAlign w:val="bottom"/>
            <w:gridSpan w:val="2"/>
          </w:tcPr>
          <w:p>
            <w:pPr>
              <w:jc w:val="center"/>
              <w:ind w:right="120"/>
              <w:spacing w:after="0" w:line="109" w:lineRule="exact"/>
              <w:rPr>
                <w:sz w:val="20"/>
                <w:szCs w:val="20"/>
                <w:color w:val="auto"/>
              </w:rPr>
            </w:pPr>
            <w:r>
              <w:rPr>
                <w:rFonts w:ascii="Arial" w:cs="Arial" w:eastAsia="Arial" w:hAnsi="Arial"/>
                <w:sz w:val="11"/>
                <w:szCs w:val="11"/>
                <w:color w:val="auto"/>
                <w:w w:val="92"/>
              </w:rPr>
              <w:t>Jan-2020 /</w:t>
            </w: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7"/>
        </w:trPr>
        <w:tc>
          <w:tcPr>
            <w:tcW w:w="1920" w:type="dxa"/>
            <w:vAlign w:val="bottom"/>
          </w:tcPr>
          <w:p>
            <w:pPr>
              <w:spacing w:after="0"/>
              <w:rPr>
                <w:sz w:val="20"/>
                <w:szCs w:val="20"/>
                <w:color w:val="auto"/>
              </w:rPr>
            </w:pPr>
            <w:r>
              <w:rPr>
                <w:rFonts w:ascii="Arial" w:cs="Arial" w:eastAsia="Arial" w:hAnsi="Arial"/>
                <w:sz w:val="11"/>
                <w:szCs w:val="11"/>
                <w:color w:val="auto"/>
              </w:rPr>
              <w:t>Certificates of deposit BCRP</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Mar-2023</w:t>
            </w:r>
          </w:p>
        </w:tc>
        <w:tc>
          <w:tcPr>
            <w:tcW w:w="68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Jul-2021</w:t>
            </w: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1.25</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2.41</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83"/>
              <w:spacing w:after="0"/>
              <w:rPr>
                <w:sz w:val="20"/>
                <w:szCs w:val="20"/>
                <w:color w:val="auto"/>
              </w:rPr>
            </w:pPr>
            <w:r>
              <w:rPr>
                <w:rFonts w:ascii="Arial" w:cs="Arial" w:eastAsia="Arial" w:hAnsi="Arial"/>
                <w:sz w:val="11"/>
                <w:szCs w:val="11"/>
                <w:color w:val="auto"/>
              </w:rPr>
              <w:t>2.02</w:t>
            </w: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2.35</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r>
      <w:tr>
        <w:trPr>
          <w:trHeight w:val="109"/>
        </w:trPr>
        <w:tc>
          <w:tcPr>
            <w:tcW w:w="19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center"/>
              <w:ind w:right="120"/>
              <w:spacing w:after="0" w:line="109" w:lineRule="exact"/>
              <w:rPr>
                <w:sz w:val="20"/>
                <w:szCs w:val="20"/>
                <w:color w:val="auto"/>
              </w:rPr>
            </w:pPr>
            <w:r>
              <w:rPr>
                <w:rFonts w:ascii="Arial" w:cs="Arial" w:eastAsia="Arial" w:hAnsi="Arial"/>
                <w:sz w:val="11"/>
                <w:szCs w:val="11"/>
                <w:color w:val="auto"/>
                <w:w w:val="97"/>
              </w:rPr>
              <w:t>Apr-2020 /</w:t>
            </w:r>
          </w:p>
        </w:tc>
        <w:tc>
          <w:tcPr>
            <w:tcW w:w="680" w:type="dxa"/>
            <w:vAlign w:val="bottom"/>
            <w:gridSpan w:val="2"/>
            <w:shd w:val="clear" w:color="auto" w:fill="CCEEFF"/>
          </w:tcPr>
          <w:p>
            <w:pPr>
              <w:jc w:val="center"/>
              <w:ind w:right="120"/>
              <w:spacing w:after="0" w:line="109" w:lineRule="exact"/>
              <w:rPr>
                <w:sz w:val="20"/>
                <w:szCs w:val="20"/>
                <w:color w:val="auto"/>
              </w:rPr>
            </w:pPr>
            <w:r>
              <w:rPr>
                <w:rFonts w:ascii="Arial" w:cs="Arial" w:eastAsia="Arial" w:hAnsi="Arial"/>
                <w:sz w:val="11"/>
                <w:szCs w:val="11"/>
                <w:color w:val="auto"/>
                <w:w w:val="92"/>
              </w:rPr>
              <w:t>Jan-2020 /</w:t>
            </w:r>
          </w:p>
        </w:tc>
        <w:tc>
          <w:tcPr>
            <w:tcW w:w="5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7"/>
        </w:trPr>
        <w:tc>
          <w:tcPr>
            <w:tcW w:w="1920" w:type="dxa"/>
            <w:vAlign w:val="bottom"/>
            <w:shd w:val="clear" w:color="auto" w:fill="CCEEFF"/>
          </w:tcPr>
          <w:p>
            <w:pPr>
              <w:spacing w:after="0"/>
              <w:rPr>
                <w:sz w:val="20"/>
                <w:szCs w:val="20"/>
                <w:color w:val="auto"/>
              </w:rPr>
            </w:pPr>
            <w:r>
              <w:rPr>
                <w:rFonts w:ascii="Arial" w:cs="Arial" w:eastAsia="Arial" w:hAnsi="Arial"/>
                <w:sz w:val="11"/>
                <w:szCs w:val="11"/>
                <w:color w:val="auto"/>
              </w:rPr>
              <w:t>Government treasury bonds</w:t>
            </w: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1"/>
                <w:szCs w:val="11"/>
                <w:color w:val="auto"/>
                <w:w w:val="93"/>
              </w:rPr>
              <w:t>Feb-2055</w:t>
            </w: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3"/>
              </w:rPr>
              <w:t>Feb-2055</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0.78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5.88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0.62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6.31</w:t>
            </w:r>
          </w:p>
        </w:tc>
        <w:tc>
          <w:tcPr>
            <w:tcW w:w="74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2.59</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2.89</w:t>
            </w:r>
          </w:p>
        </w:tc>
        <w:tc>
          <w:tcPr>
            <w:tcW w:w="68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rPr>
              <w:t>0.55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5.31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4.61</w:t>
            </w:r>
          </w:p>
        </w:tc>
        <w:tc>
          <w:tcPr>
            <w:tcW w:w="72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0.43</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0.82</w:t>
            </w:r>
          </w:p>
        </w:tc>
      </w:tr>
      <w:tr>
        <w:trPr>
          <w:trHeight w:val="109"/>
        </w:trPr>
        <w:tc>
          <w:tcPr>
            <w:tcW w:w="1920" w:type="dxa"/>
            <w:vAlign w:val="bottom"/>
          </w:tcPr>
          <w:p>
            <w:pPr>
              <w:spacing w:after="0"/>
              <w:rPr>
                <w:sz w:val="9"/>
                <w:szCs w:val="9"/>
                <w:color w:val="auto"/>
              </w:rPr>
            </w:pPr>
          </w:p>
        </w:tc>
        <w:tc>
          <w:tcPr>
            <w:tcW w:w="700" w:type="dxa"/>
            <w:vAlign w:val="bottom"/>
            <w:gridSpan w:val="2"/>
          </w:tcPr>
          <w:p>
            <w:pPr>
              <w:jc w:val="center"/>
              <w:ind w:right="120"/>
              <w:spacing w:after="0" w:line="109" w:lineRule="exact"/>
              <w:rPr>
                <w:sz w:val="20"/>
                <w:szCs w:val="20"/>
                <w:color w:val="auto"/>
              </w:rPr>
            </w:pPr>
            <w:r>
              <w:rPr>
                <w:rFonts w:ascii="Arial" w:cs="Arial" w:eastAsia="Arial" w:hAnsi="Arial"/>
                <w:sz w:val="11"/>
                <w:szCs w:val="11"/>
                <w:color w:val="auto"/>
                <w:w w:val="98"/>
              </w:rPr>
              <w:t>May-2020 /</w:t>
            </w:r>
          </w:p>
        </w:tc>
        <w:tc>
          <w:tcPr>
            <w:tcW w:w="680" w:type="dxa"/>
            <w:vAlign w:val="bottom"/>
            <w:gridSpan w:val="2"/>
          </w:tcPr>
          <w:p>
            <w:pPr>
              <w:jc w:val="center"/>
              <w:ind w:right="140"/>
              <w:spacing w:after="0" w:line="109" w:lineRule="exact"/>
              <w:rPr>
                <w:sz w:val="20"/>
                <w:szCs w:val="20"/>
                <w:color w:val="auto"/>
              </w:rPr>
            </w:pPr>
            <w:r>
              <w:rPr>
                <w:rFonts w:ascii="Arial" w:cs="Arial" w:eastAsia="Arial" w:hAnsi="Arial"/>
                <w:sz w:val="11"/>
                <w:szCs w:val="11"/>
                <w:color w:val="auto"/>
                <w:w w:val="98"/>
              </w:rPr>
              <w:t>May-2020 /</w:t>
            </w: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7"/>
        </w:trPr>
        <w:tc>
          <w:tcPr>
            <w:tcW w:w="1920" w:type="dxa"/>
            <w:vAlign w:val="bottom"/>
          </w:tcPr>
          <w:p>
            <w:pPr>
              <w:spacing w:after="0"/>
              <w:rPr>
                <w:sz w:val="20"/>
                <w:szCs w:val="20"/>
                <w:color w:val="auto"/>
              </w:rPr>
            </w:pPr>
            <w:r>
              <w:rPr>
                <w:rFonts w:ascii="Arial" w:cs="Arial" w:eastAsia="Arial" w:hAnsi="Arial"/>
                <w:sz w:val="11"/>
                <w:szCs w:val="11"/>
                <w:color w:val="auto"/>
              </w:rPr>
              <w:t>Securitization instruments</w:t>
            </w:r>
          </w:p>
        </w:tc>
        <w:tc>
          <w:tcPr>
            <w:tcW w:w="70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Sep-2045</w:t>
            </w:r>
          </w:p>
        </w:tc>
        <w:tc>
          <w:tcPr>
            <w:tcW w:w="68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Sep-2045</w:t>
            </w: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2.89</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13.32</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3.40</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9.11</w:t>
            </w:r>
          </w:p>
        </w:tc>
        <w:tc>
          <w:tcPr>
            <w:tcW w:w="740" w:type="dxa"/>
            <w:vAlign w:val="bottom"/>
          </w:tcPr>
          <w:p>
            <w:pPr>
              <w:jc w:val="right"/>
              <w:ind w:right="243"/>
              <w:spacing w:after="0"/>
              <w:rPr>
                <w:sz w:val="20"/>
                <w:szCs w:val="20"/>
                <w:color w:val="auto"/>
              </w:rPr>
            </w:pPr>
            <w:r>
              <w:rPr>
                <w:rFonts w:ascii="Arial" w:cs="Arial" w:eastAsia="Arial" w:hAnsi="Arial"/>
                <w:sz w:val="11"/>
                <w:szCs w:val="11"/>
                <w:color w:val="auto"/>
              </w:rPr>
              <w:t>1.68</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6.00</w:t>
            </w:r>
          </w:p>
        </w:tc>
        <w:tc>
          <w:tcPr>
            <w:tcW w:w="680" w:type="dxa"/>
            <w:vAlign w:val="bottom"/>
          </w:tcPr>
          <w:p>
            <w:pPr>
              <w:jc w:val="right"/>
              <w:ind w:right="183"/>
              <w:spacing w:after="0"/>
              <w:rPr>
                <w:sz w:val="20"/>
                <w:szCs w:val="20"/>
                <w:color w:val="auto"/>
              </w:rPr>
            </w:pPr>
            <w:r>
              <w:rPr>
                <w:rFonts w:ascii="Arial" w:cs="Arial" w:eastAsia="Arial" w:hAnsi="Arial"/>
                <w:sz w:val="11"/>
                <w:szCs w:val="11"/>
                <w:color w:val="auto"/>
              </w:rPr>
              <w:t>2.46</w:t>
            </w: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13.26</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3.08</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9.14</w:t>
            </w:r>
          </w:p>
        </w:tc>
        <w:tc>
          <w:tcPr>
            <w:tcW w:w="720" w:type="dxa"/>
            <w:vAlign w:val="bottom"/>
          </w:tcPr>
          <w:p>
            <w:pPr>
              <w:jc w:val="right"/>
              <w:ind w:right="223"/>
              <w:spacing w:after="0"/>
              <w:rPr>
                <w:sz w:val="20"/>
                <w:szCs w:val="20"/>
                <w:color w:val="auto"/>
              </w:rPr>
            </w:pPr>
            <w:r>
              <w:rPr>
                <w:rFonts w:ascii="Arial" w:cs="Arial" w:eastAsia="Arial" w:hAnsi="Arial"/>
                <w:sz w:val="11"/>
                <w:szCs w:val="11"/>
                <w:color w:val="auto"/>
              </w:rPr>
              <w:t>1.68</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6.00</w:t>
            </w:r>
          </w:p>
        </w:tc>
      </w:tr>
      <w:tr>
        <w:trPr>
          <w:trHeight w:val="109"/>
        </w:trPr>
        <w:tc>
          <w:tcPr>
            <w:tcW w:w="19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center"/>
              <w:ind w:right="120"/>
              <w:spacing w:after="0" w:line="109" w:lineRule="exact"/>
              <w:rPr>
                <w:sz w:val="20"/>
                <w:szCs w:val="20"/>
                <w:color w:val="auto"/>
              </w:rPr>
            </w:pPr>
            <w:r>
              <w:rPr>
                <w:rFonts w:ascii="Arial" w:cs="Arial" w:eastAsia="Arial" w:hAnsi="Arial"/>
                <w:sz w:val="11"/>
                <w:szCs w:val="11"/>
                <w:color w:val="auto"/>
                <w:w w:val="97"/>
              </w:rPr>
              <w:t>Apr-2020 /</w:t>
            </w:r>
          </w:p>
        </w:tc>
        <w:tc>
          <w:tcPr>
            <w:tcW w:w="680" w:type="dxa"/>
            <w:vAlign w:val="bottom"/>
            <w:gridSpan w:val="2"/>
            <w:shd w:val="clear" w:color="auto" w:fill="CCEEFF"/>
          </w:tcPr>
          <w:p>
            <w:pPr>
              <w:jc w:val="center"/>
              <w:ind w:right="120"/>
              <w:spacing w:after="0" w:line="109" w:lineRule="exact"/>
              <w:rPr>
                <w:sz w:val="20"/>
                <w:szCs w:val="20"/>
                <w:color w:val="auto"/>
              </w:rPr>
            </w:pPr>
            <w:r>
              <w:rPr>
                <w:rFonts w:ascii="Arial" w:cs="Arial" w:eastAsia="Arial" w:hAnsi="Arial"/>
                <w:sz w:val="11"/>
                <w:szCs w:val="11"/>
                <w:color w:val="auto"/>
                <w:w w:val="92"/>
              </w:rPr>
              <w:t>Jan-2020 /</w:t>
            </w:r>
          </w:p>
        </w:tc>
        <w:tc>
          <w:tcPr>
            <w:tcW w:w="5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7"/>
        </w:trPr>
        <w:tc>
          <w:tcPr>
            <w:tcW w:w="1920" w:type="dxa"/>
            <w:vAlign w:val="bottom"/>
            <w:shd w:val="clear" w:color="auto" w:fill="CCEEFF"/>
          </w:tcPr>
          <w:p>
            <w:pPr>
              <w:spacing w:after="0"/>
              <w:rPr>
                <w:sz w:val="20"/>
                <w:szCs w:val="20"/>
                <w:color w:val="auto"/>
              </w:rPr>
            </w:pPr>
            <w:r>
              <w:rPr>
                <w:rFonts w:ascii="Arial" w:cs="Arial" w:eastAsia="Arial" w:hAnsi="Arial"/>
                <w:sz w:val="11"/>
                <w:szCs w:val="11"/>
                <w:color w:val="auto"/>
              </w:rPr>
              <w:t>Negotiable certificates of deposits</w:t>
            </w:r>
          </w:p>
        </w:tc>
        <w:tc>
          <w:tcPr>
            <w:tcW w:w="70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7"/>
              </w:rPr>
              <w:t>Dec 2026</w:t>
            </w:r>
          </w:p>
        </w:tc>
        <w:tc>
          <w:tcPr>
            <w:tcW w:w="68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2"/>
              </w:rPr>
              <w:t>Dec-2026</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3.75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4.00</w:t>
            </w:r>
          </w:p>
        </w:tc>
        <w:tc>
          <w:tcPr>
            <w:tcW w:w="74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0.80</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4.98</w:t>
            </w:r>
          </w:p>
        </w:tc>
        <w:tc>
          <w:tcPr>
            <w:tcW w:w="68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rPr>
              <w:t>3.27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4.01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2.48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2.68</w:t>
            </w:r>
          </w:p>
        </w:tc>
        <w:tc>
          <w:tcPr>
            <w:tcW w:w="72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1.00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4.98</w:t>
            </w:r>
          </w:p>
        </w:tc>
      </w:tr>
      <w:tr>
        <w:trPr>
          <w:trHeight w:val="109"/>
        </w:trPr>
        <w:tc>
          <w:tcPr>
            <w:tcW w:w="1920" w:type="dxa"/>
            <w:vAlign w:val="bottom"/>
          </w:tcPr>
          <w:p>
            <w:pPr>
              <w:spacing w:after="0"/>
              <w:rPr>
                <w:sz w:val="9"/>
                <w:szCs w:val="9"/>
                <w:color w:val="auto"/>
              </w:rPr>
            </w:pPr>
          </w:p>
        </w:tc>
        <w:tc>
          <w:tcPr>
            <w:tcW w:w="700" w:type="dxa"/>
            <w:vAlign w:val="bottom"/>
            <w:gridSpan w:val="2"/>
          </w:tcPr>
          <w:p>
            <w:pPr>
              <w:jc w:val="center"/>
              <w:ind w:right="120"/>
              <w:spacing w:after="0" w:line="109" w:lineRule="exact"/>
              <w:rPr>
                <w:sz w:val="20"/>
                <w:szCs w:val="20"/>
                <w:color w:val="auto"/>
              </w:rPr>
            </w:pPr>
            <w:r>
              <w:rPr>
                <w:rFonts w:ascii="Arial" w:cs="Arial" w:eastAsia="Arial" w:hAnsi="Arial"/>
                <w:sz w:val="11"/>
                <w:szCs w:val="11"/>
                <w:color w:val="auto"/>
                <w:w w:val="97"/>
              </w:rPr>
              <w:t>Apr-2022 /</w:t>
            </w:r>
          </w:p>
        </w:tc>
        <w:tc>
          <w:tcPr>
            <w:tcW w:w="680" w:type="dxa"/>
            <w:vAlign w:val="bottom"/>
            <w:gridSpan w:val="2"/>
          </w:tcPr>
          <w:p>
            <w:pPr>
              <w:jc w:val="center"/>
              <w:ind w:right="140"/>
              <w:spacing w:after="0" w:line="109" w:lineRule="exact"/>
              <w:rPr>
                <w:sz w:val="20"/>
                <w:szCs w:val="20"/>
                <w:color w:val="auto"/>
              </w:rPr>
            </w:pPr>
            <w:r>
              <w:rPr>
                <w:rFonts w:ascii="Arial" w:cs="Arial" w:eastAsia="Arial" w:hAnsi="Arial"/>
                <w:sz w:val="11"/>
                <w:szCs w:val="11"/>
                <w:color w:val="auto"/>
                <w:w w:val="97"/>
              </w:rPr>
              <w:t>Apr-2022 /</w:t>
            </w: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7"/>
        </w:trPr>
        <w:tc>
          <w:tcPr>
            <w:tcW w:w="1920" w:type="dxa"/>
            <w:vAlign w:val="bottom"/>
          </w:tcPr>
          <w:p>
            <w:pPr>
              <w:spacing w:after="0"/>
              <w:rPr>
                <w:sz w:val="20"/>
                <w:szCs w:val="20"/>
                <w:color w:val="auto"/>
              </w:rPr>
            </w:pPr>
            <w:r>
              <w:rPr>
                <w:rFonts w:ascii="Arial" w:cs="Arial" w:eastAsia="Arial" w:hAnsi="Arial"/>
                <w:sz w:val="11"/>
                <w:szCs w:val="11"/>
                <w:color w:val="auto"/>
              </w:rPr>
              <w:t>Subordinated bonds</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color w:val="auto"/>
                <w:w w:val="96"/>
              </w:rPr>
              <w:t>Aug-2045</w:t>
            </w:r>
          </w:p>
        </w:tc>
        <w:tc>
          <w:tcPr>
            <w:tcW w:w="680" w:type="dxa"/>
            <w:vAlign w:val="bottom"/>
            <w:gridSpan w:val="2"/>
          </w:tcPr>
          <w:p>
            <w:pPr>
              <w:jc w:val="center"/>
              <w:ind w:right="140"/>
              <w:spacing w:after="0"/>
              <w:rPr>
                <w:sz w:val="20"/>
                <w:szCs w:val="20"/>
                <w:color w:val="auto"/>
              </w:rPr>
            </w:pPr>
            <w:r>
              <w:rPr>
                <w:rFonts w:ascii="Arial" w:cs="Arial" w:eastAsia="Arial" w:hAnsi="Arial"/>
                <w:sz w:val="11"/>
                <w:szCs w:val="11"/>
                <w:color w:val="auto"/>
                <w:w w:val="96"/>
              </w:rPr>
              <w:t>Aug-2045</w:t>
            </w: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1.28</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7.28</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3.63</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6.78</w:t>
            </w:r>
          </w:p>
        </w:tc>
        <w:tc>
          <w:tcPr>
            <w:tcW w:w="74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83"/>
              <w:spacing w:after="0"/>
              <w:rPr>
                <w:sz w:val="20"/>
                <w:szCs w:val="20"/>
                <w:color w:val="auto"/>
              </w:rPr>
            </w:pPr>
            <w:r>
              <w:rPr>
                <w:rFonts w:ascii="Arial" w:cs="Arial" w:eastAsia="Arial" w:hAnsi="Arial"/>
                <w:sz w:val="11"/>
                <w:szCs w:val="11"/>
                <w:color w:val="auto"/>
              </w:rPr>
              <w:t>1.21</w:t>
            </w: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5.52</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3.27</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5.23</w:t>
            </w:r>
          </w:p>
        </w:tc>
        <w:tc>
          <w:tcPr>
            <w:tcW w:w="720" w:type="dxa"/>
            <w:vAlign w:val="bottom"/>
          </w:tcPr>
          <w:p>
            <w:pPr>
              <w:jc w:val="right"/>
              <w:ind w:right="223"/>
              <w:spacing w:after="0"/>
              <w:rPr>
                <w:sz w:val="20"/>
                <w:szCs w:val="20"/>
                <w:color w:val="auto"/>
              </w:rPr>
            </w:pPr>
            <w:r>
              <w:rPr>
                <w:rFonts w:ascii="Arial" w:cs="Arial" w:eastAsia="Arial" w:hAnsi="Arial"/>
                <w:sz w:val="11"/>
                <w:szCs w:val="11"/>
                <w:color w:val="auto"/>
              </w:rPr>
              <w:t>1.53</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1.53</w:t>
            </w:r>
          </w:p>
        </w:tc>
      </w:tr>
      <w:tr>
        <w:trPr>
          <w:trHeight w:val="109"/>
        </w:trPr>
        <w:tc>
          <w:tcPr>
            <w:tcW w:w="19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center"/>
              <w:ind w:right="120"/>
              <w:spacing w:after="0" w:line="109" w:lineRule="exact"/>
              <w:rPr>
                <w:sz w:val="20"/>
                <w:szCs w:val="20"/>
                <w:color w:val="auto"/>
              </w:rPr>
            </w:pPr>
            <w:r>
              <w:rPr>
                <w:rFonts w:ascii="Arial" w:cs="Arial" w:eastAsia="Arial" w:hAnsi="Arial"/>
                <w:sz w:val="11"/>
                <w:szCs w:val="11"/>
                <w:color w:val="auto"/>
                <w:w w:val="97"/>
              </w:rPr>
              <w:t>Apr-2020 /</w:t>
            </w:r>
          </w:p>
        </w:tc>
        <w:tc>
          <w:tcPr>
            <w:tcW w:w="680" w:type="dxa"/>
            <w:vAlign w:val="bottom"/>
            <w:gridSpan w:val="2"/>
            <w:shd w:val="clear" w:color="auto" w:fill="CCEEFF"/>
          </w:tcPr>
          <w:p>
            <w:pPr>
              <w:jc w:val="center"/>
              <w:ind w:right="120"/>
              <w:spacing w:after="0" w:line="109" w:lineRule="exact"/>
              <w:rPr>
                <w:sz w:val="20"/>
                <w:szCs w:val="20"/>
                <w:color w:val="auto"/>
              </w:rPr>
            </w:pPr>
            <w:r>
              <w:rPr>
                <w:rFonts w:ascii="Arial" w:cs="Arial" w:eastAsia="Arial" w:hAnsi="Arial"/>
                <w:sz w:val="11"/>
                <w:szCs w:val="11"/>
                <w:color w:val="auto"/>
                <w:w w:val="92"/>
              </w:rPr>
              <w:t>Jan-2020 /</w:t>
            </w:r>
          </w:p>
        </w:tc>
        <w:tc>
          <w:tcPr>
            <w:tcW w:w="5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7"/>
        </w:trPr>
        <w:tc>
          <w:tcPr>
            <w:tcW w:w="1920" w:type="dxa"/>
            <w:vAlign w:val="bottom"/>
            <w:shd w:val="clear" w:color="auto" w:fill="CCEEFF"/>
          </w:tcPr>
          <w:p>
            <w:pPr>
              <w:spacing w:after="0"/>
              <w:rPr>
                <w:sz w:val="20"/>
                <w:szCs w:val="20"/>
                <w:color w:val="auto"/>
              </w:rPr>
            </w:pPr>
            <w:r>
              <w:rPr>
                <w:rFonts w:ascii="Arial" w:cs="Arial" w:eastAsia="Arial" w:hAnsi="Arial"/>
                <w:sz w:val="11"/>
                <w:szCs w:val="11"/>
                <w:color w:val="auto"/>
              </w:rPr>
              <w:t>Others</w:t>
            </w: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1"/>
                <w:szCs w:val="11"/>
                <w:color w:val="auto"/>
                <w:w w:val="93"/>
              </w:rPr>
              <w:t>Feb-2035</w:t>
            </w:r>
          </w:p>
        </w:tc>
        <w:tc>
          <w:tcPr>
            <w:tcW w:w="680" w:type="dxa"/>
            <w:vAlign w:val="bottom"/>
            <w:gridSpan w:val="2"/>
            <w:shd w:val="clear" w:color="auto" w:fill="CCEEFF"/>
          </w:tcPr>
          <w:p>
            <w:pPr>
              <w:jc w:val="center"/>
              <w:ind w:right="140"/>
              <w:spacing w:after="0"/>
              <w:rPr>
                <w:sz w:val="20"/>
                <w:szCs w:val="20"/>
                <w:color w:val="auto"/>
              </w:rPr>
            </w:pPr>
            <w:r>
              <w:rPr>
                <w:rFonts w:ascii="Arial" w:cs="Arial" w:eastAsia="Arial" w:hAnsi="Arial"/>
                <w:sz w:val="11"/>
                <w:szCs w:val="11"/>
                <w:color w:val="auto"/>
                <w:w w:val="91"/>
              </w:rPr>
              <w:t>Jan-2028</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1.61</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7.05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3.40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6.92</w:t>
            </w:r>
          </w:p>
        </w:tc>
        <w:tc>
          <w:tcPr>
            <w:tcW w:w="74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rPr>
              <w:t>1.95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3.73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4.73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6.92</w:t>
            </w:r>
          </w:p>
        </w:tc>
        <w:tc>
          <w:tcPr>
            <w:tcW w:w="72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r>
    </w:tbl>
    <w:p>
      <w:pPr>
        <w:spacing w:after="0" w:line="184" w:lineRule="exact"/>
        <w:rPr>
          <w:sz w:val="20"/>
          <w:szCs w:val="20"/>
          <w:color w:val="auto"/>
        </w:rPr>
      </w:pPr>
    </w:p>
    <w:p>
      <w:pPr>
        <w:ind w:left="2" w:right="400" w:hanging="2"/>
        <w:spacing w:after="0" w:line="287" w:lineRule="auto"/>
        <w:tabs>
          <w:tab w:leader="none" w:pos="234"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of March 31, 2020, the annual effective interest rates of (0.57) percent and 33.99 percent correspond to bonds issued by JP Morgan Chase &amp; Co. and ICCGSA Inversiones S.A., respectively; excluding such interest rates, the ranges are from 1.34 percent to 11.90 percent.</w:t>
      </w:r>
    </w:p>
    <w:p>
      <w:pPr>
        <w:spacing w:after="0" w:line="150" w:lineRule="exact"/>
        <w:rPr>
          <w:sz w:val="20"/>
          <w:szCs w:val="20"/>
          <w:color w:val="auto"/>
        </w:rPr>
      </w:pPr>
    </w:p>
    <w:p>
      <w:pPr>
        <w:ind w:left="2" w:right="180"/>
        <w:spacing w:after="0" w:line="266" w:lineRule="auto"/>
        <w:rPr>
          <w:sz w:val="20"/>
          <w:szCs w:val="20"/>
          <w:color w:val="auto"/>
        </w:rPr>
      </w:pPr>
      <w:r>
        <w:rPr>
          <w:rFonts w:ascii="Arial" w:cs="Arial" w:eastAsia="Arial" w:hAnsi="Arial"/>
          <w:sz w:val="16"/>
          <w:szCs w:val="16"/>
          <w:color w:val="auto"/>
        </w:rPr>
        <w:t>Likewise, as of March 31, 2020, the Group entered into repurchase agreement transactions for corporate bonds, multilateral organization bonds and foreign government bonds classified as investments at fair value through other comprehensive income, for an estimated fair value of S/2,552.2 million (S/1,588.7 million as of December 31, 2019), of which the related liability is presented in “Payables from repurchase agreements and securities lending” of the interim condensed consolidated statement of financial position, see note 5(c).</w:t>
      </w:r>
    </w:p>
    <w:p>
      <w:pPr>
        <w:spacing w:after="0" w:line="36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39" w:right="339" w:bottom="1440" w:gutter="0" w:footer="0" w:header="0"/>
        </w:sectPr>
      </w:pPr>
    </w:p>
    <w:bookmarkStart w:id="33" w:name="page34"/>
    <w:bookmarkEnd w:id="33"/>
    <w:p>
      <w:pPr>
        <w:ind w:left="300" w:right="20" w:hanging="289"/>
        <w:spacing w:after="0" w:line="271" w:lineRule="auto"/>
        <w:tabs>
          <w:tab w:leader="none" w:pos="33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of March 31, 2020, the largest unrealized loss respect to the balance as of December 31, 2019 is due to the COVID-19 crisis, which had a greater impact in the electricity, gas and water sector and in the financial services sector amounting to S/145.2 million and S/75.2 million, respectively; generated mainly by Peruvian, Colombian and United States issuers for S/113.2 million, S/38.8 million and S/23.0 million, respectively.</w:t>
      </w:r>
    </w:p>
    <w:p>
      <w:pPr>
        <w:spacing w:after="0" w:line="162" w:lineRule="exact"/>
        <w:rPr>
          <w:rFonts w:ascii="Arial" w:cs="Arial" w:eastAsia="Arial" w:hAnsi="Arial"/>
          <w:sz w:val="16"/>
          <w:szCs w:val="16"/>
          <w:color w:val="auto"/>
        </w:rPr>
      </w:pPr>
    </w:p>
    <w:p>
      <w:pPr>
        <w:ind w:left="280" w:right="340" w:hanging="279"/>
        <w:spacing w:after="0" w:line="287" w:lineRule="auto"/>
        <w:tabs>
          <w:tab w:leader="none" w:pos="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of March 31, 2020, the Group maintains 97,647 certificates of deposits BCRP (87,530 as of December 31, 2019); which are instruments issued at discount through public auction, traded on the Peruvian secondary market and payable in soles.</w:t>
      </w:r>
    </w:p>
    <w:p>
      <w:pPr>
        <w:spacing w:after="0" w:line="149" w:lineRule="exact"/>
        <w:rPr>
          <w:rFonts w:ascii="Arial" w:cs="Arial" w:eastAsia="Arial" w:hAnsi="Arial"/>
          <w:sz w:val="16"/>
          <w:szCs w:val="16"/>
          <w:color w:val="auto"/>
        </w:rPr>
      </w:pPr>
    </w:p>
    <w:p>
      <w:pPr>
        <w:ind w:left="280" w:hanging="279"/>
        <w:spacing w:after="0"/>
        <w:tabs>
          <w:tab w:leader="none" w:pos="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of March 31, 2020 and December 31, 2019, the balance includes the following Government Treasury Bonds: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As of March</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0"/>
              </w:rPr>
              <w:t>As of December</w:t>
            </w:r>
          </w:p>
        </w:tc>
        <w:tc>
          <w:tcPr>
            <w:tcW w:w="0" w:type="dxa"/>
            <w:vAlign w:val="bottom"/>
          </w:tcPr>
          <w:p>
            <w:pPr>
              <w:spacing w:after="0"/>
              <w:rPr>
                <w:sz w:val="1"/>
                <w:szCs w:val="1"/>
                <w:color w:val="auto"/>
              </w:rPr>
            </w:pPr>
          </w:p>
        </w:tc>
      </w:tr>
      <w:tr>
        <w:trPr>
          <w:trHeight w:val="212"/>
        </w:trPr>
        <w:tc>
          <w:tcPr>
            <w:tcW w:w="28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31, 2020</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31, 2019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Peruvian treasury bonds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6,126,787</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5,959,066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U.S. treasury and federal agency bonds</w:t>
            </w:r>
          </w:p>
        </w:tc>
        <w:tc>
          <w:tcPr>
            <w:tcW w:w="1120" w:type="dxa"/>
            <w:vAlign w:val="bottom"/>
          </w:tcPr>
          <w:p>
            <w:pPr>
              <w:jc w:val="right"/>
              <w:spacing w:after="0"/>
              <w:rPr>
                <w:sz w:val="20"/>
                <w:szCs w:val="20"/>
                <w:color w:val="auto"/>
              </w:rPr>
            </w:pPr>
            <w:r>
              <w:rPr>
                <w:rFonts w:ascii="Arial" w:cs="Arial" w:eastAsia="Arial" w:hAnsi="Arial"/>
                <w:sz w:val="16"/>
                <w:szCs w:val="16"/>
                <w:color w:val="auto"/>
              </w:rPr>
              <w:t>485,215</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391,475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Chilean treasury bonds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179,061</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Bolivian treasury bonds</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60,803</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72,516</w:t>
            </w: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Colombian treasury bonds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61,157</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61,009</w:t>
            </w: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Others</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41,437</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40,646</w:t>
            </w: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7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6,954,460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6,698,076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6"/>
                <w:szCs w:val="16"/>
                <w:color w:val="auto"/>
                <w:w w:val="97"/>
              </w:rPr>
              <w:t>(iv) As of March 31, 2020 and December 31, 2019, the balance of securitization instruments includes the following:</w:t>
            </w: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78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As of March</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0"/>
              </w:rPr>
              <w:t>As of December</w:t>
            </w:r>
          </w:p>
        </w:tc>
        <w:tc>
          <w:tcPr>
            <w:tcW w:w="0" w:type="dxa"/>
            <w:vAlign w:val="bottom"/>
          </w:tcPr>
          <w:p>
            <w:pPr>
              <w:spacing w:after="0"/>
              <w:rPr>
                <w:sz w:val="1"/>
                <w:szCs w:val="1"/>
                <w:color w:val="auto"/>
              </w:rPr>
            </w:pPr>
          </w:p>
        </w:tc>
      </w:tr>
      <w:tr>
        <w:trPr>
          <w:trHeight w:val="212"/>
        </w:trPr>
        <w:tc>
          <w:tcPr>
            <w:tcW w:w="28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31, 2020</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31, 2019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Inmuebles Panamericana</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163,705</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Abengoa Transmisión del Norte</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89,961</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87,377</w:t>
            </w: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Industrias de Aceite S.A.</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50,808</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32,050</w:t>
            </w: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Costa de Sol S.A.</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49,807</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Homecenters Peruanos S.A.</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34,537</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35,269</w:t>
            </w: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76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305,572</w:t>
            </w:r>
          </w:p>
        </w:tc>
        <w:tc>
          <w:tcPr>
            <w:tcW w:w="2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301,107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694,390</w:t>
            </w: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625,762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00"/>
        <w:spacing w:after="0" w:line="266" w:lineRule="auto"/>
        <w:rPr>
          <w:sz w:val="20"/>
          <w:szCs w:val="20"/>
          <w:color w:val="auto"/>
        </w:rPr>
      </w:pPr>
      <w:r>
        <w:rPr>
          <w:rFonts w:ascii="Arial" w:cs="Arial" w:eastAsia="Arial" w:hAnsi="Arial"/>
          <w:sz w:val="16"/>
          <w:szCs w:val="16"/>
          <w:color w:val="auto"/>
        </w:rPr>
        <w:t>The instruments have semiannual payments until 2045.The pool of underlying assets consists mainly of accounts receivable from income, revenues for services and from maintenance and marketing contributions (Inmuebles Panamericana), accounts receivable for electrical transmission services from the Carhuamayo - Cajamarca line (Abengoa Transmisión Norte) and accounts receivable for the transformation and commercialization of agribusiness products (Industrias de Aceite S.A.).</w:t>
      </w:r>
    </w:p>
    <w:p>
      <w:pPr>
        <w:spacing w:after="0" w:line="364"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15875</wp:posOffset>
            </wp:positionV>
            <wp:extent cx="714438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960"/>
          </w:cols>
          <w:pgMar w:left="600" w:top="1036"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8"/>
        </w:trPr>
        <w:tc>
          <w:tcPr>
            <w:tcW w:w="8160" w:type="dxa"/>
            <w:vAlign w:val="bottom"/>
            <w:gridSpan w:val="2"/>
          </w:tcPr>
          <w:p>
            <w:pPr>
              <w:spacing w:after="0"/>
              <w:rPr>
                <w:sz w:val="20"/>
                <w:szCs w:val="20"/>
                <w:color w:val="auto"/>
              </w:rPr>
            </w:pPr>
            <w:r>
              <w:rPr>
                <w:rFonts w:ascii="Arial" w:cs="Arial" w:eastAsia="Arial" w:hAnsi="Arial"/>
                <w:sz w:val="16"/>
                <w:szCs w:val="16"/>
                <w:color w:val="auto"/>
              </w:rPr>
              <w:t>c)  Amortized cost investments consist of the following:</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5"/>
        </w:trPr>
        <w:tc>
          <w:tcPr>
            <w:tcW w:w="56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520" w:type="dxa"/>
            <w:vAlign w:val="bottom"/>
            <w:gridSpan w:val="4"/>
          </w:tcPr>
          <w:p>
            <w:pPr>
              <w:jc w:val="right"/>
              <w:ind w:right="560"/>
              <w:spacing w:after="0"/>
              <w:rPr>
                <w:sz w:val="20"/>
                <w:szCs w:val="20"/>
                <w:color w:val="auto"/>
              </w:rPr>
            </w:pPr>
            <w:r>
              <w:rPr>
                <w:rFonts w:ascii="Arial" w:cs="Arial" w:eastAsia="Arial" w:hAnsi="Arial"/>
                <w:sz w:val="16"/>
                <w:szCs w:val="16"/>
                <w:b w:val="1"/>
                <w:bCs w:val="1"/>
                <w:color w:val="auto"/>
              </w:rPr>
              <w:t>As of March 31, 2020</w:t>
            </w:r>
          </w:p>
        </w:tc>
      </w:tr>
      <w:tr>
        <w:trPr>
          <w:trHeight w:val="186"/>
        </w:trPr>
        <w:tc>
          <w:tcPr>
            <w:tcW w:w="56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7"/>
              </w:rPr>
              <w:t>Carrying</w:t>
            </w: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6"/>
                <w:szCs w:val="16"/>
                <w:color w:val="auto"/>
              </w:rPr>
            </w:pPr>
          </w:p>
        </w:tc>
      </w:tr>
      <w:tr>
        <w:trPr>
          <w:trHeight w:val="212"/>
        </w:trPr>
        <w:tc>
          <w:tcPr>
            <w:tcW w:w="56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amount</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value</w:t>
            </w:r>
          </w:p>
        </w:tc>
      </w:tr>
      <w:tr>
        <w:trPr>
          <w:trHeight w:val="190"/>
        </w:trPr>
        <w:tc>
          <w:tcPr>
            <w:tcW w:w="56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100" w:type="dxa"/>
            <w:vAlign w:val="bottom"/>
          </w:tcPr>
          <w:p>
            <w:pPr>
              <w:spacing w:after="0"/>
              <w:rPr>
                <w:sz w:val="16"/>
                <w:szCs w:val="16"/>
                <w:color w:val="auto"/>
              </w:rPr>
            </w:pPr>
          </w:p>
        </w:tc>
      </w:tr>
      <w:tr>
        <w:trPr>
          <w:trHeight w:val="197"/>
        </w:trPr>
        <w:tc>
          <w:tcPr>
            <w:tcW w:w="56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Peruvian sovereign bonds (i)</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4,086,569</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4,332,415</w:t>
            </w:r>
          </w:p>
        </w:tc>
        <w:tc>
          <w:tcPr>
            <w:tcW w:w="100" w:type="dxa"/>
            <w:vAlign w:val="bottom"/>
            <w:shd w:val="clear" w:color="auto" w:fill="CCEEFF"/>
          </w:tcPr>
          <w:p>
            <w:pPr>
              <w:spacing w:after="0"/>
              <w:rPr>
                <w:sz w:val="17"/>
                <w:szCs w:val="17"/>
                <w:color w:val="auto"/>
              </w:rPr>
            </w:pPr>
          </w:p>
        </w:tc>
      </w:tr>
      <w:tr>
        <w:trPr>
          <w:trHeight w:val="197"/>
        </w:trPr>
        <w:tc>
          <w:tcPr>
            <w:tcW w:w="56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Foreign government bonds (i)</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18,360</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18,363</w:t>
            </w:r>
          </w:p>
        </w:tc>
      </w:tr>
      <w:tr>
        <w:trPr>
          <w:trHeight w:val="209"/>
        </w:trPr>
        <w:tc>
          <w:tcPr>
            <w:tcW w:w="56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Certificates of payment on work progress (CRPAO) (ii)</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99,226</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103,432</w:t>
            </w:r>
          </w:p>
        </w:tc>
        <w:tc>
          <w:tcPr>
            <w:tcW w:w="100" w:type="dxa"/>
            <w:vAlign w:val="bottom"/>
            <w:shd w:val="clear" w:color="auto" w:fill="CCEEFF"/>
          </w:tcPr>
          <w:p>
            <w:pPr>
              <w:spacing w:after="0"/>
              <w:rPr>
                <w:sz w:val="18"/>
                <w:szCs w:val="18"/>
                <w:color w:val="auto"/>
              </w:rPr>
            </w:pPr>
          </w:p>
        </w:tc>
      </w:tr>
      <w:tr>
        <w:trPr>
          <w:trHeight w:val="189"/>
        </w:trPr>
        <w:tc>
          <w:tcPr>
            <w:tcW w:w="560" w:type="dxa"/>
            <w:vAlign w:val="bottom"/>
          </w:tcPr>
          <w:p>
            <w:pPr>
              <w:spacing w:after="0"/>
              <w:rPr>
                <w:sz w:val="16"/>
                <w:szCs w:val="16"/>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Sub total</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4,204,155</w:t>
            </w:r>
          </w:p>
        </w:tc>
        <w:tc>
          <w:tcPr>
            <w:tcW w:w="200" w:type="dxa"/>
            <w:vAlign w:val="bottom"/>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4,454,210</w:t>
            </w:r>
          </w:p>
        </w:tc>
        <w:tc>
          <w:tcPr>
            <w:tcW w:w="100" w:type="dxa"/>
            <w:vAlign w:val="bottom"/>
          </w:tcPr>
          <w:p>
            <w:pPr>
              <w:spacing w:after="0"/>
              <w:rPr>
                <w:sz w:val="16"/>
                <w:szCs w:val="16"/>
                <w:color w:val="auto"/>
              </w:rPr>
            </w:pPr>
          </w:p>
        </w:tc>
      </w:tr>
      <w:tr>
        <w:trPr>
          <w:trHeight w:val="209"/>
        </w:trPr>
        <w:tc>
          <w:tcPr>
            <w:tcW w:w="56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Accrued interest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39,080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39,080</w:t>
            </w:r>
          </w:p>
        </w:tc>
      </w:tr>
      <w:tr>
        <w:trPr>
          <w:trHeight w:val="189"/>
        </w:trPr>
        <w:tc>
          <w:tcPr>
            <w:tcW w:w="560" w:type="dxa"/>
            <w:vAlign w:val="bottom"/>
          </w:tcPr>
          <w:p>
            <w:pPr>
              <w:spacing w:after="0"/>
              <w:rPr>
                <w:sz w:val="16"/>
                <w:szCs w:val="16"/>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Total investments at amortized cost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4,243,235</w:t>
            </w:r>
          </w:p>
        </w:tc>
        <w:tc>
          <w:tcPr>
            <w:tcW w:w="200" w:type="dxa"/>
            <w:vAlign w:val="bottom"/>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4,493,290</w:t>
            </w:r>
          </w:p>
        </w:tc>
        <w:tc>
          <w:tcPr>
            <w:tcW w:w="100" w:type="dxa"/>
            <w:vAlign w:val="bottom"/>
          </w:tcPr>
          <w:p>
            <w:pPr>
              <w:spacing w:after="0"/>
              <w:rPr>
                <w:sz w:val="16"/>
                <w:szCs w:val="16"/>
                <w:color w:val="auto"/>
              </w:rPr>
            </w:pPr>
          </w:p>
        </w:tc>
      </w:tr>
      <w:tr>
        <w:trPr>
          <w:trHeight w:val="209"/>
        </w:trPr>
        <w:tc>
          <w:tcPr>
            <w:tcW w:w="56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Provision for credit losses</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(592)</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(592)</w:t>
            </w:r>
          </w:p>
        </w:tc>
      </w:tr>
      <w:tr>
        <w:trPr>
          <w:trHeight w:val="201"/>
        </w:trPr>
        <w:tc>
          <w:tcPr>
            <w:tcW w:w="56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b w:val="1"/>
                <w:bCs w:val="1"/>
                <w:color w:val="auto"/>
              </w:rPr>
              <w:t>Total investments at amortized cost, net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4,242,643</w:t>
            </w:r>
          </w:p>
        </w:tc>
        <w:tc>
          <w:tcPr>
            <w:tcW w:w="2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4,492,698</w:t>
            </w:r>
          </w:p>
        </w:tc>
        <w:tc>
          <w:tcPr>
            <w:tcW w:w="100" w:type="dxa"/>
            <w:vAlign w:val="bottom"/>
          </w:tcPr>
          <w:p>
            <w:pPr>
              <w:spacing w:after="0"/>
              <w:rPr>
                <w:sz w:val="17"/>
                <w:szCs w:val="17"/>
                <w:color w:val="auto"/>
              </w:rPr>
            </w:pPr>
          </w:p>
        </w:tc>
      </w:tr>
      <w:tr>
        <w:trPr>
          <w:trHeight w:val="397"/>
        </w:trPr>
        <w:tc>
          <w:tcPr>
            <w:tcW w:w="56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520" w:type="dxa"/>
            <w:vAlign w:val="bottom"/>
            <w:gridSpan w:val="4"/>
          </w:tcPr>
          <w:p>
            <w:pPr>
              <w:jc w:val="right"/>
              <w:ind w:right="440"/>
              <w:spacing w:after="0"/>
              <w:rPr>
                <w:sz w:val="20"/>
                <w:szCs w:val="20"/>
                <w:color w:val="auto"/>
              </w:rPr>
            </w:pPr>
            <w:r>
              <w:rPr>
                <w:rFonts w:ascii="Arial" w:cs="Arial" w:eastAsia="Arial" w:hAnsi="Arial"/>
                <w:sz w:val="16"/>
                <w:szCs w:val="16"/>
                <w:b w:val="1"/>
                <w:bCs w:val="1"/>
                <w:color w:val="auto"/>
              </w:rPr>
              <w:t>As of December 31, 2019</w:t>
            </w:r>
          </w:p>
        </w:tc>
      </w:tr>
      <w:tr>
        <w:trPr>
          <w:trHeight w:val="186"/>
        </w:trPr>
        <w:tc>
          <w:tcPr>
            <w:tcW w:w="56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7"/>
              </w:rPr>
              <w:t>Carrying</w:t>
            </w: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6"/>
                <w:szCs w:val="16"/>
                <w:color w:val="auto"/>
              </w:rPr>
            </w:pPr>
          </w:p>
        </w:tc>
      </w:tr>
      <w:tr>
        <w:trPr>
          <w:trHeight w:val="212"/>
        </w:trPr>
        <w:tc>
          <w:tcPr>
            <w:tcW w:w="56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amount</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value</w:t>
            </w:r>
          </w:p>
        </w:tc>
      </w:tr>
      <w:tr>
        <w:trPr>
          <w:trHeight w:val="190"/>
        </w:trPr>
        <w:tc>
          <w:tcPr>
            <w:tcW w:w="56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100" w:type="dxa"/>
            <w:vAlign w:val="bottom"/>
          </w:tcPr>
          <w:p>
            <w:pPr>
              <w:spacing w:after="0"/>
              <w:rPr>
                <w:sz w:val="16"/>
                <w:szCs w:val="16"/>
                <w:color w:val="auto"/>
              </w:rPr>
            </w:pPr>
          </w:p>
        </w:tc>
      </w:tr>
      <w:tr>
        <w:trPr>
          <w:trHeight w:val="197"/>
        </w:trPr>
        <w:tc>
          <w:tcPr>
            <w:tcW w:w="56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Peruvian sovereign bonds (i)</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3,277,667</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3,694,631</w:t>
            </w:r>
          </w:p>
        </w:tc>
        <w:tc>
          <w:tcPr>
            <w:tcW w:w="100" w:type="dxa"/>
            <w:vAlign w:val="bottom"/>
            <w:shd w:val="clear" w:color="auto" w:fill="CCEEFF"/>
          </w:tcPr>
          <w:p>
            <w:pPr>
              <w:spacing w:after="0"/>
              <w:rPr>
                <w:sz w:val="17"/>
                <w:szCs w:val="17"/>
                <w:color w:val="auto"/>
              </w:rPr>
            </w:pPr>
          </w:p>
        </w:tc>
      </w:tr>
      <w:tr>
        <w:trPr>
          <w:trHeight w:val="197"/>
        </w:trPr>
        <w:tc>
          <w:tcPr>
            <w:tcW w:w="56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Foreign government bonds (i)</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21,168</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21,168</w:t>
            </w:r>
          </w:p>
        </w:tc>
      </w:tr>
      <w:tr>
        <w:trPr>
          <w:trHeight w:val="209"/>
        </w:trPr>
        <w:tc>
          <w:tcPr>
            <w:tcW w:w="56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Certificates of payment on work progress (CRPAO) (ii)</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100,298</w:t>
            </w:r>
          </w:p>
        </w:tc>
        <w:tc>
          <w:tcPr>
            <w:tcW w:w="2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103,015</w:t>
            </w:r>
          </w:p>
        </w:tc>
        <w:tc>
          <w:tcPr>
            <w:tcW w:w="100" w:type="dxa"/>
            <w:vAlign w:val="bottom"/>
            <w:shd w:val="clear" w:color="auto" w:fill="CCEEFF"/>
          </w:tcPr>
          <w:p>
            <w:pPr>
              <w:spacing w:after="0"/>
              <w:rPr>
                <w:sz w:val="18"/>
                <w:szCs w:val="18"/>
                <w:color w:val="auto"/>
              </w:rPr>
            </w:pPr>
          </w:p>
        </w:tc>
      </w:tr>
      <w:tr>
        <w:trPr>
          <w:trHeight w:val="189"/>
        </w:trPr>
        <w:tc>
          <w:tcPr>
            <w:tcW w:w="560" w:type="dxa"/>
            <w:vAlign w:val="bottom"/>
          </w:tcPr>
          <w:p>
            <w:pPr>
              <w:spacing w:after="0"/>
              <w:rPr>
                <w:sz w:val="16"/>
                <w:szCs w:val="16"/>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Sub total</w:t>
            </w:r>
          </w:p>
        </w:tc>
        <w:tc>
          <w:tcPr>
            <w:tcW w:w="1120" w:type="dxa"/>
            <w:vAlign w:val="bottom"/>
          </w:tcPr>
          <w:p>
            <w:pPr>
              <w:jc w:val="right"/>
              <w:spacing w:after="0"/>
              <w:rPr>
                <w:sz w:val="20"/>
                <w:szCs w:val="20"/>
                <w:color w:val="auto"/>
              </w:rPr>
            </w:pPr>
            <w:r>
              <w:rPr>
                <w:rFonts w:ascii="Arial" w:cs="Arial" w:eastAsia="Arial" w:hAnsi="Arial"/>
                <w:sz w:val="16"/>
                <w:szCs w:val="16"/>
                <w:color w:val="auto"/>
              </w:rPr>
              <w:t>3,399,133</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3,818,814</w:t>
            </w:r>
          </w:p>
        </w:tc>
        <w:tc>
          <w:tcPr>
            <w:tcW w:w="100" w:type="dxa"/>
            <w:vAlign w:val="bottom"/>
          </w:tcPr>
          <w:p>
            <w:pPr>
              <w:spacing w:after="0"/>
              <w:rPr>
                <w:sz w:val="16"/>
                <w:szCs w:val="16"/>
                <w:color w:val="auto"/>
              </w:rPr>
            </w:pPr>
          </w:p>
        </w:tc>
      </w:tr>
      <w:tr>
        <w:trPr>
          <w:trHeight w:val="209"/>
        </w:trPr>
        <w:tc>
          <w:tcPr>
            <w:tcW w:w="56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Accrued interest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78,180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78,180</w:t>
            </w:r>
          </w:p>
        </w:tc>
      </w:tr>
      <w:tr>
        <w:trPr>
          <w:trHeight w:val="189"/>
        </w:trPr>
        <w:tc>
          <w:tcPr>
            <w:tcW w:w="560" w:type="dxa"/>
            <w:vAlign w:val="bottom"/>
          </w:tcPr>
          <w:p>
            <w:pPr>
              <w:spacing w:after="0"/>
              <w:rPr>
                <w:sz w:val="16"/>
                <w:szCs w:val="16"/>
                <w:color w:val="auto"/>
              </w:rPr>
            </w:pPr>
          </w:p>
        </w:tc>
        <w:tc>
          <w:tcPr>
            <w:tcW w:w="7600" w:type="dxa"/>
            <w:vAlign w:val="bottom"/>
          </w:tcPr>
          <w:p>
            <w:pPr>
              <w:spacing w:after="0"/>
              <w:rPr>
                <w:sz w:val="20"/>
                <w:szCs w:val="20"/>
                <w:color w:val="auto"/>
              </w:rPr>
            </w:pPr>
            <w:r>
              <w:rPr>
                <w:rFonts w:ascii="Arial" w:cs="Arial" w:eastAsia="Arial" w:hAnsi="Arial"/>
                <w:sz w:val="16"/>
                <w:szCs w:val="16"/>
                <w:color w:val="auto"/>
              </w:rPr>
              <w:t>Total investments at amortized cost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3,477,313</w:t>
            </w:r>
          </w:p>
        </w:tc>
        <w:tc>
          <w:tcPr>
            <w:tcW w:w="200" w:type="dxa"/>
            <w:vAlign w:val="bottom"/>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3,896,994</w:t>
            </w:r>
          </w:p>
        </w:tc>
        <w:tc>
          <w:tcPr>
            <w:tcW w:w="100" w:type="dxa"/>
            <w:vAlign w:val="bottom"/>
          </w:tcPr>
          <w:p>
            <w:pPr>
              <w:spacing w:after="0"/>
              <w:rPr>
                <w:sz w:val="16"/>
                <w:szCs w:val="16"/>
                <w:color w:val="auto"/>
              </w:rPr>
            </w:pPr>
          </w:p>
        </w:tc>
      </w:tr>
      <w:tr>
        <w:trPr>
          <w:trHeight w:val="209"/>
        </w:trPr>
        <w:tc>
          <w:tcPr>
            <w:tcW w:w="56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Provision for credit losses</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(267)</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(267)</w:t>
            </w:r>
          </w:p>
        </w:tc>
      </w:tr>
      <w:tr>
        <w:trPr>
          <w:trHeight w:val="225"/>
        </w:trPr>
        <w:tc>
          <w:tcPr>
            <w:tcW w:w="8160" w:type="dxa"/>
            <w:vAlign w:val="bottom"/>
            <w:gridSpan w:val="2"/>
          </w:tcPr>
          <w:p>
            <w:pPr>
              <w:ind w:left="560"/>
              <w:spacing w:after="0"/>
              <w:rPr>
                <w:sz w:val="20"/>
                <w:szCs w:val="20"/>
                <w:color w:val="auto"/>
              </w:rPr>
            </w:pPr>
            <w:r>
              <w:rPr>
                <w:rFonts w:ascii="Arial" w:cs="Arial" w:eastAsia="Arial" w:hAnsi="Arial"/>
                <w:sz w:val="16"/>
                <w:szCs w:val="16"/>
                <w:b w:val="1"/>
                <w:bCs w:val="1"/>
                <w:color w:val="auto"/>
              </w:rPr>
              <w:t>Total investments at amortized cost, net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3,477,046</w:t>
            </w:r>
          </w:p>
        </w:tc>
        <w:tc>
          <w:tcPr>
            <w:tcW w:w="2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3,896,727</w:t>
            </w:r>
          </w:p>
        </w:tc>
        <w:tc>
          <w:tcPr>
            <w:tcW w:w="100" w:type="dxa"/>
            <w:vAlign w:val="bottom"/>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680" w:hanging="227"/>
        <w:spacing w:after="0" w:line="289" w:lineRule="auto"/>
        <w:tabs>
          <w:tab w:leader="none" w:pos="6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As of March 31, 2020, said bonds have maturities between April 2020 and February 2042, accruing interest at an annual effective interest rate between 1.27 percent and 5.88 percent on bonds denominated in soles and between 0.47 percent and 2.62 percent annual on bonds issued in other currencies (as of December 31, 2019, have maturities between January 2020 and February 2042, accruing interest at an annual effective interest rate between 2.14 percent and 5.28 percent on bonds denominated in soles and between 0.45 percent and 2.53 percent on bonds issued in other currencies).</w:t>
      </w:r>
    </w:p>
    <w:p>
      <w:pPr>
        <w:spacing w:after="0" w:line="152" w:lineRule="exact"/>
        <w:rPr>
          <w:sz w:val="20"/>
          <w:szCs w:val="20"/>
          <w:color w:val="auto"/>
        </w:rPr>
      </w:pPr>
    </w:p>
    <w:p>
      <w:pPr>
        <w:ind w:left="700" w:right="160"/>
        <w:spacing w:after="0" w:line="287" w:lineRule="auto"/>
        <w:rPr>
          <w:sz w:val="20"/>
          <w:szCs w:val="20"/>
          <w:color w:val="auto"/>
        </w:rPr>
      </w:pPr>
      <w:r>
        <w:rPr>
          <w:rFonts w:ascii="Arial" w:cs="Arial" w:eastAsia="Arial" w:hAnsi="Arial"/>
          <w:sz w:val="16"/>
          <w:szCs w:val="16"/>
          <w:color w:val="auto"/>
        </w:rPr>
        <w:t>Likewise, Credicorp Management has determined that as of March 31, 2020, the difference between amortized cost and the fair value of these investments is temporary in nature and Credicorp has the intention and ability to hold each of these investments until its maturity.</w:t>
      </w:r>
    </w:p>
    <w:p>
      <w:pPr>
        <w:spacing w:after="0" w:line="150" w:lineRule="exact"/>
        <w:rPr>
          <w:sz w:val="20"/>
          <w:szCs w:val="20"/>
          <w:color w:val="auto"/>
        </w:rPr>
      </w:pPr>
    </w:p>
    <w:p>
      <w:pPr>
        <w:ind w:left="700" w:right="220"/>
        <w:spacing w:after="0" w:line="271" w:lineRule="auto"/>
        <w:rPr>
          <w:sz w:val="20"/>
          <w:szCs w:val="20"/>
          <w:color w:val="auto"/>
        </w:rPr>
      </w:pPr>
      <w:r>
        <w:rPr>
          <w:rFonts w:ascii="Arial" w:cs="Arial" w:eastAsia="Arial" w:hAnsi="Arial"/>
          <w:sz w:val="16"/>
          <w:szCs w:val="16"/>
          <w:color w:val="auto"/>
        </w:rPr>
        <w:t>As of March 31, 2020, the Group has repurchase agreement transactions for investments at amortized cost for an estimated fair value of S/1,536.5 million (S/1,569.3 million as of December 31, 2019), the related liability for which is presented in the caption “Payables from repurchase agreements and securities lending” of the interim condensed consolidated statement of financial position, see note 5(c).</w:t>
      </w: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120"/>
          </w:cols>
          <w:pgMar w:left="320" w:top="839" w:right="459" w:bottom="1440" w:gutter="0" w:footer="0" w:header="0"/>
        </w:sectPr>
      </w:pPr>
    </w:p>
    <w:bookmarkStart w:id="35" w:name="page36"/>
    <w:bookmarkEnd w:id="35"/>
    <w:p>
      <w:pPr>
        <w:ind w:left="227" w:hanging="227"/>
        <w:spacing w:after="0" w:line="285" w:lineRule="auto"/>
        <w:tabs>
          <w:tab w:leader="none" w:pos="227" w:val="left"/>
        </w:tabs>
        <w:numPr>
          <w:ilvl w:val="0"/>
          <w:numId w:val="32"/>
        </w:numPr>
        <w:rPr>
          <w:rFonts w:ascii="Arial" w:cs="Arial" w:eastAsia="Arial" w:hAnsi="Arial"/>
          <w:sz w:val="15"/>
          <w:szCs w:val="15"/>
          <w:color w:val="auto"/>
        </w:rPr>
      </w:pPr>
      <w:r>
        <w:rPr>
          <w:rFonts w:ascii="Arial" w:cs="Arial" w:eastAsia="Arial" w:hAnsi="Arial"/>
          <w:sz w:val="15"/>
          <w:szCs w:val="15"/>
          <w:color w:val="auto"/>
        </w:rPr>
        <w:t>As of March 31, 2020, there are 145 certificates of Annual Recognition of Payment on Work Progress - CRPAO from Spanish acronym (153 CRPAOs as of December 31, 2019), issued by the Peruvian Government to finance projects and concessions. Said issuance is a mechanism established in the concession agreement signed between the State and the concessionaire, which allows the latter to obtain financing to continue with the work undertaken. Said investment matures between April 2020 and April 2026, accruing interest at an annual effective rate between 2.48 percent and 4.52 percent as of March 31, 2020 (between January 2020 and April 2026, accruing interest at an annual effective rate between 3.74 percent and 4.67 percent as of December 31, 2019).</w:t>
      </w:r>
    </w:p>
    <w:p>
      <w:pPr>
        <w:spacing w:after="0" w:line="155" w:lineRule="exact"/>
        <w:rPr>
          <w:sz w:val="20"/>
          <w:szCs w:val="20"/>
          <w:color w:val="auto"/>
        </w:rPr>
      </w:pPr>
    </w:p>
    <w:p>
      <w:pPr>
        <w:jc w:val="both"/>
        <w:ind w:left="7" w:right="120"/>
        <w:spacing w:after="0" w:line="266" w:lineRule="auto"/>
        <w:rPr>
          <w:sz w:val="20"/>
          <w:szCs w:val="20"/>
          <w:color w:val="auto"/>
        </w:rPr>
      </w:pPr>
      <w:r>
        <w:rPr>
          <w:rFonts w:ascii="Arial" w:cs="Arial" w:eastAsia="Arial" w:hAnsi="Arial"/>
          <w:sz w:val="16"/>
          <w:szCs w:val="16"/>
          <w:color w:val="auto"/>
        </w:rPr>
        <w:t>On July 30, 2019, the Assets and Liabilities Committee (ALCO) approved the request to change the Atlantic Security Bank (ASB) business model to manage its investments according to its new balance sheet structure, which generated a reclassification of the entire investment portfolio classified as amortized cost to the investment portfolio at fair value with changes in other comprehensive income and then sell them and acquire new investments that adapt to the new investment portfolio strategy.</w:t>
      </w:r>
    </w:p>
    <w:p>
      <w:pPr>
        <w:spacing w:after="0" w:line="167" w:lineRule="exact"/>
        <w:rPr>
          <w:sz w:val="20"/>
          <w:szCs w:val="20"/>
          <w:color w:val="auto"/>
        </w:rPr>
      </w:pPr>
    </w:p>
    <w:p>
      <w:pPr>
        <w:ind w:left="7" w:right="20"/>
        <w:spacing w:after="0" w:line="271" w:lineRule="auto"/>
        <w:rPr>
          <w:sz w:val="20"/>
          <w:szCs w:val="20"/>
          <w:color w:val="auto"/>
        </w:rPr>
      </w:pPr>
      <w:r>
        <w:rPr>
          <w:rFonts w:ascii="Arial" w:cs="Arial" w:eastAsia="Arial" w:hAnsi="Arial"/>
          <w:sz w:val="16"/>
          <w:szCs w:val="16"/>
          <w:color w:val="auto"/>
        </w:rPr>
        <w:t>The value of the investments at amortized cost as of July 30, 2019 amounted to US$73,030.4 (in thousands) with a fluctuation amounting to US$2,117.5 (in thousands), with a market value of US$ 75,147.9 (in thousands) and finally an expected credit loss of US$82.4 (in thousands). The fluctuation and expected credit loss were recorded in other comprehensive income.</w:t>
      </w:r>
    </w:p>
    <w:p>
      <w:pPr>
        <w:spacing w:after="0" w:line="359" w:lineRule="exact"/>
        <w:rPr>
          <w:sz w:val="20"/>
          <w:szCs w:val="20"/>
          <w:color w:val="auto"/>
        </w:rPr>
      </w:pPr>
    </w:p>
    <w:p>
      <w:pPr>
        <w:jc w:val="center"/>
        <w:ind w:right="293"/>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15875</wp:posOffset>
            </wp:positionV>
            <wp:extent cx="714438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647"/>
          </w:cols>
          <w:pgMar w:left="773" w:top="839" w:right="479" w:bottom="1440" w:gutter="0" w:footer="0" w:header="0"/>
        </w:sectPr>
      </w:pPr>
    </w:p>
    <w:bookmarkStart w:id="36" w:name="page37"/>
    <w:bookmarkEnd w:id="36"/>
    <w:p>
      <w:pPr>
        <w:ind w:left="462" w:hanging="462"/>
        <w:spacing w:after="0"/>
        <w:tabs>
          <w:tab w:leader="none" w:pos="462"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table below shows the balance of investments classified by maturity, without consider accrued interest or provision for credit loss:</w:t>
      </w:r>
    </w:p>
    <w:p>
      <w:pPr>
        <w:spacing w:after="0" w:line="217"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760" w:type="dxa"/>
            <w:vAlign w:val="bottom"/>
            <w:tcBorders>
              <w:bottom w:val="single" w:sz="8" w:color="auto"/>
            </w:tcBorders>
            <w:gridSpan w:val="5"/>
          </w:tcPr>
          <w:p>
            <w:pPr>
              <w:jc w:val="center"/>
              <w:ind w:left="878"/>
              <w:spacing w:after="0"/>
              <w:rPr>
                <w:sz w:val="20"/>
                <w:szCs w:val="20"/>
                <w:color w:val="auto"/>
              </w:rPr>
            </w:pPr>
            <w:r>
              <w:rPr>
                <w:rFonts w:ascii="Arial" w:cs="Arial" w:eastAsia="Arial" w:hAnsi="Arial"/>
                <w:sz w:val="16"/>
                <w:szCs w:val="16"/>
                <w:b w:val="1"/>
                <w:bCs w:val="1"/>
                <w:color w:val="auto"/>
                <w:w w:val="93"/>
              </w:rPr>
              <w:t>As of March 31, 2020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jc w:val="center"/>
              <w:ind w:right="320"/>
              <w:spacing w:after="0" w:line="173" w:lineRule="exact"/>
              <w:rPr>
                <w:sz w:val="20"/>
                <w:szCs w:val="20"/>
                <w:color w:val="auto"/>
              </w:rPr>
            </w:pPr>
            <w:r>
              <w:rPr>
                <w:rFonts w:ascii="Arial" w:cs="Arial" w:eastAsia="Arial" w:hAnsi="Arial"/>
                <w:sz w:val="16"/>
                <w:szCs w:val="16"/>
                <w:b w:val="1"/>
                <w:bCs w:val="1"/>
                <w:color w:val="auto"/>
                <w:w w:val="96"/>
              </w:rPr>
              <w:t>At fair value</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6"/>
              </w:rPr>
              <w:t>At fair value</w:t>
            </w:r>
          </w:p>
        </w:tc>
        <w:tc>
          <w:tcPr>
            <w:tcW w:w="14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3"/>
              </w:rPr>
              <w:t>through other</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through profit</w:t>
            </w:r>
          </w:p>
        </w:tc>
        <w:tc>
          <w:tcPr>
            <w:tcW w:w="14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88"/>
              </w:rPr>
              <w:t>comprehensive</w:t>
            </w: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Amortized</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3"/>
              </w:rPr>
              <w:t>or loss</w:t>
            </w:r>
          </w:p>
        </w:tc>
        <w:tc>
          <w:tcPr>
            <w:tcW w:w="14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9"/>
              </w:rPr>
              <w:t>income</w:t>
            </w: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cost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58"/>
              <w:spacing w:after="0"/>
              <w:rPr>
                <w:sz w:val="20"/>
                <w:szCs w:val="20"/>
                <w:color w:val="auto"/>
              </w:rPr>
            </w:pPr>
            <w:r>
              <w:rPr>
                <w:rFonts w:ascii="Arial" w:cs="Arial" w:eastAsia="Arial" w:hAnsi="Arial"/>
                <w:sz w:val="16"/>
                <w:szCs w:val="16"/>
                <w:b w:val="1"/>
                <w:bCs w:val="1"/>
                <w:color w:val="auto"/>
                <w:w w:val="95"/>
              </w:rPr>
              <w:t>S/(000)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Up to 3 months</w:t>
            </w:r>
          </w:p>
        </w:tc>
        <w:tc>
          <w:tcPr>
            <w:tcW w:w="43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80,620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3,096,776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9,930</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From 3 months to 1 year</w:t>
            </w:r>
          </w:p>
        </w:tc>
        <w:tc>
          <w:tcPr>
            <w:tcW w:w="4360" w:type="dxa"/>
            <w:vAlign w:val="bottom"/>
            <w:gridSpan w:val="3"/>
          </w:tcPr>
          <w:p>
            <w:pPr>
              <w:jc w:val="right"/>
              <w:ind w:right="200"/>
              <w:spacing w:after="0"/>
              <w:rPr>
                <w:sz w:val="20"/>
                <w:szCs w:val="20"/>
                <w:color w:val="auto"/>
              </w:rPr>
            </w:pPr>
            <w:r>
              <w:rPr>
                <w:rFonts w:ascii="Arial" w:cs="Arial" w:eastAsia="Arial" w:hAnsi="Arial"/>
                <w:sz w:val="16"/>
                <w:szCs w:val="16"/>
                <w:color w:val="auto"/>
              </w:rPr>
              <w:t>227,761</w:t>
            </w:r>
          </w:p>
        </w:tc>
        <w:tc>
          <w:tcPr>
            <w:tcW w:w="1100" w:type="dxa"/>
            <w:vAlign w:val="bottom"/>
          </w:tcPr>
          <w:p>
            <w:pPr>
              <w:jc w:val="right"/>
              <w:spacing w:after="0"/>
              <w:rPr>
                <w:sz w:val="20"/>
                <w:szCs w:val="20"/>
                <w:color w:val="auto"/>
              </w:rPr>
            </w:pPr>
            <w:r>
              <w:rPr>
                <w:rFonts w:ascii="Arial" w:cs="Arial" w:eastAsia="Arial" w:hAnsi="Arial"/>
                <w:sz w:val="16"/>
                <w:szCs w:val="16"/>
                <w:color w:val="auto"/>
              </w:rPr>
              <w:t>7,395,276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900,711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From 1 to 3 years</w:t>
            </w:r>
          </w:p>
        </w:tc>
        <w:tc>
          <w:tcPr>
            <w:tcW w:w="43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301,369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2,992,056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43,921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From 3 to 5 years</w:t>
            </w:r>
          </w:p>
        </w:tc>
        <w:tc>
          <w:tcPr>
            <w:tcW w:w="4360" w:type="dxa"/>
            <w:vAlign w:val="bottom"/>
            <w:gridSpan w:val="3"/>
          </w:tcPr>
          <w:p>
            <w:pPr>
              <w:jc w:val="right"/>
              <w:ind w:right="200"/>
              <w:spacing w:after="0"/>
              <w:rPr>
                <w:sz w:val="20"/>
                <w:szCs w:val="20"/>
                <w:color w:val="auto"/>
              </w:rPr>
            </w:pPr>
            <w:r>
              <w:rPr>
                <w:rFonts w:ascii="Arial" w:cs="Arial" w:eastAsia="Arial" w:hAnsi="Arial"/>
                <w:sz w:val="16"/>
                <w:szCs w:val="16"/>
                <w:color w:val="auto"/>
              </w:rPr>
              <w:t>406,610</w:t>
            </w:r>
          </w:p>
        </w:tc>
        <w:tc>
          <w:tcPr>
            <w:tcW w:w="1100" w:type="dxa"/>
            <w:vAlign w:val="bottom"/>
          </w:tcPr>
          <w:p>
            <w:pPr>
              <w:jc w:val="right"/>
              <w:spacing w:after="0"/>
              <w:rPr>
                <w:sz w:val="20"/>
                <w:szCs w:val="20"/>
                <w:color w:val="auto"/>
              </w:rPr>
            </w:pPr>
            <w:r>
              <w:rPr>
                <w:rFonts w:ascii="Arial" w:cs="Arial" w:eastAsia="Arial" w:hAnsi="Arial"/>
                <w:sz w:val="16"/>
                <w:szCs w:val="16"/>
                <w:color w:val="auto"/>
              </w:rPr>
              <w:t>2,724,779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687,704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More than 5 years</w:t>
            </w:r>
          </w:p>
        </w:tc>
        <w:tc>
          <w:tcPr>
            <w:tcW w:w="43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1,488,621</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11,437,457</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2,561,889</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Without maturity</w:t>
            </w:r>
          </w:p>
        </w:tc>
        <w:tc>
          <w:tcPr>
            <w:tcW w:w="30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1,670,457</w:t>
            </w:r>
          </w:p>
        </w:tc>
        <w:tc>
          <w:tcPr>
            <w:tcW w:w="1100" w:type="dxa"/>
            <w:vAlign w:val="bottom"/>
          </w:tcPr>
          <w:p>
            <w:pPr>
              <w:jc w:val="right"/>
              <w:spacing w:after="0"/>
              <w:rPr>
                <w:sz w:val="20"/>
                <w:szCs w:val="20"/>
                <w:color w:val="auto"/>
              </w:rPr>
            </w:pPr>
            <w:r>
              <w:rPr>
                <w:rFonts w:ascii="Arial" w:cs="Arial" w:eastAsia="Arial" w:hAnsi="Arial"/>
                <w:sz w:val="16"/>
                <w:szCs w:val="16"/>
                <w:color w:val="auto"/>
              </w:rPr>
              <w:t>522,362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26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0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60" w:type="dxa"/>
            <w:vAlign w:val="bottom"/>
          </w:tcPr>
          <w:p>
            <w:pPr>
              <w:spacing w:after="0"/>
              <w:rPr>
                <w:sz w:val="19"/>
                <w:szCs w:val="19"/>
                <w:color w:val="auto"/>
              </w:rPr>
            </w:pPr>
          </w:p>
        </w:tc>
        <w:tc>
          <w:tcPr>
            <w:tcW w:w="3260" w:type="dxa"/>
            <w:vAlign w:val="bottom"/>
            <w:vMerge w:val="continue"/>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4,175,438</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28,168,706</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4,204,155</w:t>
            </w:r>
          </w:p>
        </w:tc>
        <w:tc>
          <w:tcPr>
            <w:tcW w:w="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5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760" w:type="dxa"/>
            <w:vAlign w:val="bottom"/>
            <w:tcBorders>
              <w:bottom w:val="single" w:sz="8" w:color="auto"/>
            </w:tcBorders>
            <w:gridSpan w:val="5"/>
          </w:tcPr>
          <w:p>
            <w:pPr>
              <w:jc w:val="center"/>
              <w:ind w:left="878"/>
              <w:spacing w:after="0"/>
              <w:rPr>
                <w:sz w:val="20"/>
                <w:szCs w:val="20"/>
                <w:color w:val="auto"/>
              </w:rPr>
            </w:pPr>
            <w:r>
              <w:rPr>
                <w:rFonts w:ascii="Arial" w:cs="Arial" w:eastAsia="Arial" w:hAnsi="Arial"/>
                <w:sz w:val="16"/>
                <w:szCs w:val="16"/>
                <w:b w:val="1"/>
                <w:bCs w:val="1"/>
                <w:color w:val="auto"/>
                <w:w w:val="91"/>
              </w:rPr>
              <w:t>As of December 31, 2019</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jc w:val="center"/>
              <w:ind w:right="320"/>
              <w:spacing w:after="0" w:line="173" w:lineRule="exact"/>
              <w:rPr>
                <w:sz w:val="20"/>
                <w:szCs w:val="20"/>
                <w:color w:val="auto"/>
              </w:rPr>
            </w:pPr>
            <w:r>
              <w:rPr>
                <w:rFonts w:ascii="Arial" w:cs="Arial" w:eastAsia="Arial" w:hAnsi="Arial"/>
                <w:sz w:val="16"/>
                <w:szCs w:val="16"/>
                <w:b w:val="1"/>
                <w:bCs w:val="1"/>
                <w:color w:val="auto"/>
                <w:w w:val="96"/>
              </w:rPr>
              <w:t>At fair value</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6"/>
              </w:rPr>
              <w:t>At fair value</w:t>
            </w:r>
          </w:p>
        </w:tc>
        <w:tc>
          <w:tcPr>
            <w:tcW w:w="14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3"/>
              </w:rPr>
              <w:t>through other</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through profit</w:t>
            </w:r>
          </w:p>
        </w:tc>
        <w:tc>
          <w:tcPr>
            <w:tcW w:w="14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88"/>
              </w:rPr>
              <w:t>comprehensive</w:t>
            </w: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Amortized</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3"/>
              </w:rPr>
              <w:t>or loss</w:t>
            </w:r>
          </w:p>
        </w:tc>
        <w:tc>
          <w:tcPr>
            <w:tcW w:w="14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9"/>
              </w:rPr>
              <w:t>income</w:t>
            </w: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cost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58"/>
              <w:spacing w:after="0"/>
              <w:rPr>
                <w:sz w:val="20"/>
                <w:szCs w:val="20"/>
                <w:color w:val="auto"/>
              </w:rPr>
            </w:pPr>
            <w:r>
              <w:rPr>
                <w:rFonts w:ascii="Arial" w:cs="Arial" w:eastAsia="Arial" w:hAnsi="Arial"/>
                <w:sz w:val="16"/>
                <w:szCs w:val="16"/>
                <w:b w:val="1"/>
                <w:bCs w:val="1"/>
                <w:color w:val="auto"/>
                <w:w w:val="95"/>
              </w:rPr>
              <w:t>S/(000)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Up to 3 months</w:t>
            </w:r>
          </w:p>
        </w:tc>
        <w:tc>
          <w:tcPr>
            <w:tcW w:w="43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237,624</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2,420,464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9,969</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From 3 months to 1 year</w:t>
            </w:r>
          </w:p>
        </w:tc>
        <w:tc>
          <w:tcPr>
            <w:tcW w:w="4360" w:type="dxa"/>
            <w:vAlign w:val="bottom"/>
            <w:gridSpan w:val="3"/>
          </w:tcPr>
          <w:p>
            <w:pPr>
              <w:jc w:val="right"/>
              <w:ind w:right="200"/>
              <w:spacing w:after="0"/>
              <w:rPr>
                <w:sz w:val="20"/>
                <w:szCs w:val="20"/>
                <w:color w:val="auto"/>
              </w:rPr>
            </w:pPr>
            <w:r>
              <w:rPr>
                <w:rFonts w:ascii="Arial" w:cs="Arial" w:eastAsia="Arial" w:hAnsi="Arial"/>
                <w:sz w:val="16"/>
                <w:szCs w:val="16"/>
                <w:color w:val="auto"/>
              </w:rPr>
              <w:t>269,199</w:t>
            </w:r>
          </w:p>
        </w:tc>
        <w:tc>
          <w:tcPr>
            <w:tcW w:w="1100" w:type="dxa"/>
            <w:vAlign w:val="bottom"/>
          </w:tcPr>
          <w:p>
            <w:pPr>
              <w:jc w:val="right"/>
              <w:spacing w:after="0"/>
              <w:rPr>
                <w:sz w:val="20"/>
                <w:szCs w:val="20"/>
                <w:color w:val="auto"/>
              </w:rPr>
            </w:pPr>
            <w:r>
              <w:rPr>
                <w:rFonts w:ascii="Arial" w:cs="Arial" w:eastAsia="Arial" w:hAnsi="Arial"/>
                <w:sz w:val="16"/>
                <w:szCs w:val="16"/>
                <w:color w:val="auto"/>
              </w:rPr>
              <w:t>6,694,486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908,271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From 1 to 3 years</w:t>
            </w:r>
          </w:p>
        </w:tc>
        <w:tc>
          <w:tcPr>
            <w:tcW w:w="43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472,215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2,155,053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42,440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From 3 to 5 years</w:t>
            </w:r>
          </w:p>
        </w:tc>
        <w:tc>
          <w:tcPr>
            <w:tcW w:w="4360" w:type="dxa"/>
            <w:vAlign w:val="bottom"/>
            <w:gridSpan w:val="3"/>
          </w:tcPr>
          <w:p>
            <w:pPr>
              <w:jc w:val="right"/>
              <w:ind w:right="200"/>
              <w:spacing w:after="0"/>
              <w:rPr>
                <w:sz w:val="20"/>
                <w:szCs w:val="20"/>
                <w:color w:val="auto"/>
              </w:rPr>
            </w:pPr>
            <w:r>
              <w:rPr>
                <w:rFonts w:ascii="Arial" w:cs="Arial" w:eastAsia="Arial" w:hAnsi="Arial"/>
                <w:sz w:val="16"/>
                <w:szCs w:val="16"/>
                <w:color w:val="auto"/>
              </w:rPr>
              <w:t>289,393</w:t>
            </w:r>
          </w:p>
        </w:tc>
        <w:tc>
          <w:tcPr>
            <w:tcW w:w="1100" w:type="dxa"/>
            <w:vAlign w:val="bottom"/>
          </w:tcPr>
          <w:p>
            <w:pPr>
              <w:jc w:val="right"/>
              <w:spacing w:after="0"/>
              <w:rPr>
                <w:sz w:val="20"/>
                <w:szCs w:val="20"/>
                <w:color w:val="auto"/>
              </w:rPr>
            </w:pPr>
            <w:r>
              <w:rPr>
                <w:rFonts w:ascii="Arial" w:cs="Arial" w:eastAsia="Arial" w:hAnsi="Arial"/>
                <w:sz w:val="16"/>
                <w:szCs w:val="16"/>
                <w:color w:val="auto"/>
              </w:rPr>
              <w:t>2,961,767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690,289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More than 5 years</w:t>
            </w:r>
          </w:p>
        </w:tc>
        <w:tc>
          <w:tcPr>
            <w:tcW w:w="43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1,029,883</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11,138,643</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1,748,164</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6"/>
                <w:szCs w:val="16"/>
                <w:color w:val="auto"/>
              </w:rPr>
              <w:t>Without maturity</w:t>
            </w:r>
          </w:p>
        </w:tc>
        <w:tc>
          <w:tcPr>
            <w:tcW w:w="30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1,547,477</w:t>
            </w:r>
          </w:p>
        </w:tc>
        <w:tc>
          <w:tcPr>
            <w:tcW w:w="1100" w:type="dxa"/>
            <w:vAlign w:val="bottom"/>
          </w:tcPr>
          <w:p>
            <w:pPr>
              <w:jc w:val="right"/>
              <w:spacing w:after="0"/>
              <w:rPr>
                <w:sz w:val="20"/>
                <w:szCs w:val="20"/>
                <w:color w:val="auto"/>
              </w:rPr>
            </w:pPr>
            <w:r>
              <w:rPr>
                <w:rFonts w:ascii="Arial" w:cs="Arial" w:eastAsia="Arial" w:hAnsi="Arial"/>
                <w:sz w:val="16"/>
                <w:szCs w:val="16"/>
                <w:color w:val="auto"/>
              </w:rPr>
              <w:t>579,199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26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0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60" w:type="dxa"/>
            <w:vAlign w:val="bottom"/>
          </w:tcPr>
          <w:p>
            <w:pPr>
              <w:spacing w:after="0"/>
              <w:rPr>
                <w:sz w:val="19"/>
                <w:szCs w:val="19"/>
                <w:color w:val="auto"/>
              </w:rPr>
            </w:pPr>
          </w:p>
        </w:tc>
        <w:tc>
          <w:tcPr>
            <w:tcW w:w="3260" w:type="dxa"/>
            <w:vAlign w:val="bottom"/>
            <w:vMerge w:val="continue"/>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3,845,791</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25,949,612</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3,399,133</w:t>
            </w:r>
          </w:p>
        </w:tc>
        <w:tc>
          <w:tcPr>
            <w:tcW w:w="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vMerge w:val="restart"/>
          </w:tcPr>
          <w:p>
            <w:pPr>
              <w:jc w:val="right"/>
              <w:ind w:right="978"/>
              <w:spacing w:after="0"/>
              <w:rPr>
                <w:sz w:val="20"/>
                <w:szCs w:val="20"/>
                <w:color w:val="auto"/>
              </w:rPr>
            </w:pPr>
            <w:r>
              <w:rPr>
                <w:rFonts w:ascii="Arial" w:cs="Arial" w:eastAsia="Arial" w:hAnsi="Arial"/>
                <w:sz w:val="16"/>
                <w:szCs w:val="16"/>
                <w:color w:val="auto"/>
              </w:rPr>
              <w:t>-31-</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5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2"/>
          </w:cols>
          <w:pgMar w:left="318" w:top="839" w:right="339" w:bottom="1440" w:gutter="0" w:footer="0" w:header="0"/>
        </w:sectPr>
      </w:pPr>
    </w:p>
    <w:bookmarkStart w:id="37" w:name="page38"/>
    <w:bookmarkEnd w:id="37"/>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280" w:type="dxa"/>
            <w:vAlign w:val="bottom"/>
          </w:tcPr>
          <w:p>
            <w:pPr>
              <w:spacing w:after="0"/>
              <w:rPr>
                <w:sz w:val="20"/>
                <w:szCs w:val="20"/>
                <w:color w:val="auto"/>
              </w:rPr>
            </w:pPr>
            <w:r>
              <w:rPr>
                <w:rFonts w:ascii="Arial" w:cs="Arial" w:eastAsia="Arial" w:hAnsi="Arial"/>
                <w:sz w:val="16"/>
                <w:szCs w:val="16"/>
                <w:b w:val="1"/>
                <w:bCs w:val="1"/>
                <w:color w:val="auto"/>
              </w:rPr>
              <w:t>7</w:t>
            </w:r>
          </w:p>
        </w:tc>
        <w:tc>
          <w:tcPr>
            <w:tcW w:w="8020" w:type="dxa"/>
            <w:vAlign w:val="bottom"/>
          </w:tcPr>
          <w:p>
            <w:pPr>
              <w:ind w:left="380"/>
              <w:spacing w:after="0"/>
              <w:rPr>
                <w:sz w:val="20"/>
                <w:szCs w:val="20"/>
                <w:color w:val="auto"/>
              </w:rPr>
            </w:pPr>
            <w:r>
              <w:rPr>
                <w:rFonts w:ascii="Arial" w:cs="Arial" w:eastAsia="Arial" w:hAnsi="Arial"/>
                <w:sz w:val="16"/>
                <w:szCs w:val="16"/>
                <w:b w:val="1"/>
                <w:bCs w:val="1"/>
                <w:color w:val="auto"/>
              </w:rPr>
              <w:t>LOANS, NET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8300" w:type="dxa"/>
            <w:vAlign w:val="bottom"/>
            <w:gridSpan w:val="2"/>
          </w:tcPr>
          <w:p>
            <w:pPr>
              <w:spacing w:after="0"/>
              <w:rPr>
                <w:sz w:val="20"/>
                <w:szCs w:val="20"/>
                <w:color w:val="auto"/>
              </w:rPr>
            </w:pPr>
            <w:r>
              <w:rPr>
                <w:rFonts w:ascii="Arial" w:cs="Arial" w:eastAsia="Arial" w:hAnsi="Arial"/>
                <w:sz w:val="16"/>
                <w:szCs w:val="16"/>
                <w:color w:val="auto"/>
              </w:rPr>
              <w:t>a)  This item consists of the following:</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8020" w:type="dxa"/>
            <w:vAlign w:val="bottom"/>
          </w:tcPr>
          <w:p>
            <w:pPr>
              <w:spacing w:after="0"/>
              <w:rPr>
                <w:sz w:val="17"/>
                <w:szCs w:val="17"/>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As of March</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2"/>
        </w:trPr>
        <w:tc>
          <w:tcPr>
            <w:tcW w:w="28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2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31, 2020</w:t>
            </w:r>
          </w:p>
        </w:tc>
        <w:tc>
          <w:tcPr>
            <w:tcW w:w="200" w:type="dxa"/>
            <w:vAlign w:val="bottom"/>
          </w:tcPr>
          <w:p>
            <w:pPr>
              <w:spacing w:after="0"/>
              <w:rPr>
                <w:sz w:val="18"/>
                <w:szCs w:val="18"/>
                <w:color w:val="auto"/>
              </w:rPr>
            </w:pPr>
          </w:p>
        </w:tc>
        <w:tc>
          <w:tcPr>
            <w:tcW w:w="116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Direct loans -</w:t>
            </w: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8020" w:type="dxa"/>
            <w:vAlign w:val="bottom"/>
          </w:tcPr>
          <w:p>
            <w:pPr>
              <w:spacing w:after="0"/>
              <w:rPr>
                <w:sz w:val="20"/>
                <w:szCs w:val="20"/>
                <w:color w:val="auto"/>
              </w:rPr>
            </w:pPr>
            <w:r>
              <w:rPr>
                <w:rFonts w:ascii="Arial" w:cs="Arial" w:eastAsia="Arial" w:hAnsi="Arial"/>
                <w:sz w:val="16"/>
                <w:szCs w:val="16"/>
                <w:color w:val="auto"/>
              </w:rPr>
              <w:t>Loans</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96,511,233</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91,481,200</w:t>
            </w: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Leasing receivables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6,082,888</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5,978,421</w:t>
            </w: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8020" w:type="dxa"/>
            <w:vAlign w:val="bottom"/>
          </w:tcPr>
          <w:p>
            <w:pPr>
              <w:spacing w:after="0"/>
              <w:rPr>
                <w:sz w:val="20"/>
                <w:szCs w:val="20"/>
                <w:color w:val="auto"/>
              </w:rPr>
            </w:pPr>
            <w:r>
              <w:rPr>
                <w:rFonts w:ascii="Arial" w:cs="Arial" w:eastAsia="Arial" w:hAnsi="Arial"/>
                <w:sz w:val="16"/>
                <w:szCs w:val="16"/>
                <w:color w:val="auto"/>
              </w:rPr>
              <w:t>Credit cards</w:t>
            </w:r>
          </w:p>
        </w:tc>
        <w:tc>
          <w:tcPr>
            <w:tcW w:w="1200" w:type="dxa"/>
            <w:vAlign w:val="bottom"/>
          </w:tcPr>
          <w:p>
            <w:pPr>
              <w:jc w:val="right"/>
              <w:spacing w:after="0"/>
              <w:rPr>
                <w:sz w:val="20"/>
                <w:szCs w:val="20"/>
                <w:color w:val="auto"/>
              </w:rPr>
            </w:pPr>
            <w:r>
              <w:rPr>
                <w:rFonts w:ascii="Arial" w:cs="Arial" w:eastAsia="Arial" w:hAnsi="Arial"/>
                <w:sz w:val="16"/>
                <w:szCs w:val="16"/>
                <w:color w:val="auto"/>
              </w:rPr>
              <w:t>8,317,732</w:t>
            </w:r>
          </w:p>
        </w:tc>
        <w:tc>
          <w:tcPr>
            <w:tcW w:w="20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8,479,355</w:t>
            </w: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Discounted notes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1,985,466</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2,200,142</w:t>
            </w: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8020" w:type="dxa"/>
            <w:vAlign w:val="bottom"/>
          </w:tcPr>
          <w:p>
            <w:pPr>
              <w:spacing w:after="0"/>
              <w:rPr>
                <w:sz w:val="20"/>
                <w:szCs w:val="20"/>
                <w:color w:val="auto"/>
              </w:rPr>
            </w:pPr>
            <w:r>
              <w:rPr>
                <w:rFonts w:ascii="Arial" w:cs="Arial" w:eastAsia="Arial" w:hAnsi="Arial"/>
                <w:sz w:val="16"/>
                <w:szCs w:val="16"/>
                <w:color w:val="auto"/>
              </w:rPr>
              <w:t>Factoring receivables</w:t>
            </w:r>
          </w:p>
        </w:tc>
        <w:tc>
          <w:tcPr>
            <w:tcW w:w="1200" w:type="dxa"/>
            <w:vAlign w:val="bottom"/>
          </w:tcPr>
          <w:p>
            <w:pPr>
              <w:jc w:val="right"/>
              <w:spacing w:after="0"/>
              <w:rPr>
                <w:sz w:val="20"/>
                <w:szCs w:val="20"/>
                <w:color w:val="auto"/>
              </w:rPr>
            </w:pPr>
            <w:r>
              <w:rPr>
                <w:rFonts w:ascii="Arial" w:cs="Arial" w:eastAsia="Arial" w:hAnsi="Arial"/>
                <w:sz w:val="16"/>
                <w:szCs w:val="16"/>
                <w:color w:val="auto"/>
              </w:rPr>
              <w:t>1,870,705</w:t>
            </w:r>
          </w:p>
        </w:tc>
        <w:tc>
          <w:tcPr>
            <w:tcW w:w="20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2,015,513</w:t>
            </w: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Advances and overdrafts in current account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388,912</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162,149</w:t>
            </w: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8020" w:type="dxa"/>
            <w:vAlign w:val="bottom"/>
          </w:tcPr>
          <w:p>
            <w:pPr>
              <w:spacing w:after="0"/>
              <w:rPr>
                <w:sz w:val="20"/>
                <w:szCs w:val="20"/>
                <w:color w:val="auto"/>
              </w:rPr>
            </w:pPr>
            <w:r>
              <w:rPr>
                <w:rFonts w:ascii="Arial" w:cs="Arial" w:eastAsia="Arial" w:hAnsi="Arial"/>
                <w:sz w:val="16"/>
                <w:szCs w:val="16"/>
                <w:color w:val="auto"/>
              </w:rPr>
              <w:t>Refinanced loans</w:t>
            </w:r>
          </w:p>
        </w:tc>
        <w:tc>
          <w:tcPr>
            <w:tcW w:w="1200" w:type="dxa"/>
            <w:vAlign w:val="bottom"/>
          </w:tcPr>
          <w:p>
            <w:pPr>
              <w:jc w:val="right"/>
              <w:spacing w:after="0"/>
              <w:rPr>
                <w:sz w:val="20"/>
                <w:szCs w:val="20"/>
                <w:color w:val="auto"/>
              </w:rPr>
            </w:pPr>
            <w:r>
              <w:rPr>
                <w:rFonts w:ascii="Arial" w:cs="Arial" w:eastAsia="Arial" w:hAnsi="Arial"/>
                <w:sz w:val="16"/>
                <w:szCs w:val="16"/>
                <w:color w:val="auto"/>
              </w:rPr>
              <w:t>1,128,730</w:t>
            </w:r>
          </w:p>
        </w:tc>
        <w:tc>
          <w:tcPr>
            <w:tcW w:w="20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1,186,167</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Restructured loans</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8020" w:type="dxa"/>
            <w:vAlign w:val="bottom"/>
          </w:tcPr>
          <w:p>
            <w:pPr>
              <w:spacing w:after="0"/>
              <w:rPr>
                <w:sz w:val="20"/>
                <w:szCs w:val="20"/>
                <w:color w:val="auto"/>
              </w:rPr>
            </w:pPr>
            <w:r>
              <w:rPr>
                <w:rFonts w:ascii="Arial" w:cs="Arial" w:eastAsia="Arial" w:hAnsi="Arial"/>
                <w:sz w:val="16"/>
                <w:szCs w:val="16"/>
                <w:b w:val="1"/>
                <w:bCs w:val="1"/>
                <w:color w:val="auto"/>
              </w:rPr>
              <w:t>Total direct loans</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116,285,795</w:t>
            </w:r>
          </w:p>
        </w:tc>
        <w:tc>
          <w:tcPr>
            <w:tcW w:w="20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111,503,072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80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6"/>
                <w:szCs w:val="16"/>
                <w:color w:val="auto"/>
              </w:rPr>
              <w:t>Internal overdue loans and under legal collection loans</w:t>
            </w:r>
          </w:p>
        </w:tc>
        <w:tc>
          <w:tcPr>
            <w:tcW w:w="1200" w:type="dxa"/>
            <w:vAlign w:val="bottom"/>
          </w:tcPr>
          <w:p>
            <w:pPr>
              <w:jc w:val="right"/>
              <w:spacing w:after="0"/>
              <w:rPr>
                <w:sz w:val="20"/>
                <w:szCs w:val="20"/>
                <w:color w:val="auto"/>
              </w:rPr>
            </w:pPr>
            <w:r>
              <w:rPr>
                <w:rFonts w:ascii="Arial" w:cs="Arial" w:eastAsia="Arial" w:hAnsi="Arial"/>
                <w:sz w:val="16"/>
                <w:szCs w:val="16"/>
                <w:color w:val="auto"/>
              </w:rPr>
              <w:t>3,586,794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3,304,886</w:t>
            </w: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80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119,872,589</w:t>
            </w:r>
          </w:p>
        </w:tc>
        <w:tc>
          <w:tcPr>
            <w:tcW w:w="20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114,807,958</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8020" w:type="dxa"/>
            <w:vAlign w:val="bottom"/>
          </w:tcPr>
          <w:p>
            <w:pPr>
              <w:spacing w:after="0"/>
              <w:rPr>
                <w:sz w:val="20"/>
                <w:szCs w:val="20"/>
                <w:color w:val="auto"/>
              </w:rPr>
            </w:pPr>
            <w:r>
              <w:rPr>
                <w:rFonts w:ascii="Arial" w:cs="Arial" w:eastAsia="Arial" w:hAnsi="Arial"/>
                <w:sz w:val="16"/>
                <w:szCs w:val="16"/>
                <w:b w:val="1"/>
                <w:bCs w:val="1"/>
                <w:color w:val="auto"/>
              </w:rPr>
              <w:t>Add (less) -</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0" w:type="dxa"/>
            <w:vAlign w:val="bottom"/>
          </w:tcPr>
          <w:p>
            <w:pPr>
              <w:spacing w:after="0"/>
              <w:rPr>
                <w:sz w:val="17"/>
                <w:szCs w:val="17"/>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Accrued interest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964,985</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870,410</w:t>
            </w: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6"/>
                <w:szCs w:val="16"/>
                <w:color w:val="auto"/>
              </w:rPr>
              <w:t>Unearned interest</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(129,059)</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(68,689)</w:t>
            </w: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direct loans</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120,708,515</w:t>
            </w:r>
          </w:p>
        </w:tc>
        <w:tc>
          <w:tcPr>
            <w:tcW w:w="20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115,609,679</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6"/>
                <w:szCs w:val="16"/>
                <w:color w:val="auto"/>
              </w:rPr>
              <w:t>Allowance for loan losses (c)</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(5,931,772)</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(5,123,962)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02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Total direct loans, net</w:t>
            </w: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80" w:type="dxa"/>
            <w:vAlign w:val="bottom"/>
          </w:tcPr>
          <w:p>
            <w:pPr>
              <w:spacing w:after="0"/>
              <w:rPr>
                <w:sz w:val="19"/>
                <w:szCs w:val="19"/>
                <w:color w:val="auto"/>
              </w:rPr>
            </w:pPr>
          </w:p>
        </w:tc>
        <w:tc>
          <w:tcPr>
            <w:tcW w:w="8020" w:type="dxa"/>
            <w:vAlign w:val="bottom"/>
            <w:vMerge w:val="continue"/>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114,776,743</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110,485,717</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1">
            <w:col w:w="10962"/>
          </w:cols>
          <w:pgMar w:left="318" w:top="835" w:right="619" w:bottom="1440" w:gutter="0" w:footer="0" w:header="0"/>
        </w:sectPr>
      </w:pPr>
    </w:p>
    <w:p>
      <w:pPr>
        <w:ind w:left="302" w:hanging="302"/>
        <w:spacing w:after="0"/>
        <w:tabs>
          <w:tab w:leader="none" w:pos="302" w:val="left"/>
        </w:tabs>
        <w:numPr>
          <w:ilvl w:val="0"/>
          <w:numId w:val="34"/>
        </w:numPr>
        <w:rPr>
          <w:rFonts w:ascii="Arial" w:cs="Arial" w:eastAsia="Arial" w:hAnsi="Arial"/>
          <w:sz w:val="14"/>
          <w:szCs w:val="14"/>
          <w:color w:val="auto"/>
        </w:rPr>
      </w:pPr>
      <w:r>
        <w:rPr>
          <w:rFonts w:ascii="Arial" w:cs="Arial" w:eastAsia="Arial" w:hAnsi="Arial"/>
          <w:sz w:val="14"/>
          <w:szCs w:val="14"/>
          <w:color w:val="auto"/>
        </w:rPr>
        <w:t>As of March 31, 2020 and December 31, 2019, the composition of the gross credit balance is as follows: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30" w:lineRule="exact"/>
        <w:rPr>
          <w:rFonts w:ascii="Arial" w:cs="Arial" w:eastAsia="Arial" w:hAnsi="Arial"/>
          <w:sz w:val="14"/>
          <w:szCs w:val="14"/>
          <w:color w:val="auto"/>
        </w:rPr>
      </w:pPr>
    </w:p>
    <w:p>
      <w:pPr>
        <w:ind w:left="282"/>
        <w:spacing w:after="0"/>
        <w:rPr>
          <w:rFonts w:ascii="Arial" w:cs="Arial" w:eastAsia="Arial" w:hAnsi="Arial"/>
          <w:sz w:val="14"/>
          <w:szCs w:val="14"/>
          <w:color w:val="auto"/>
        </w:rPr>
      </w:pPr>
      <w:r>
        <w:rPr>
          <w:rFonts w:ascii="Arial" w:cs="Arial" w:eastAsia="Arial" w:hAnsi="Arial"/>
          <w:sz w:val="16"/>
          <w:szCs w:val="16"/>
          <w:color w:val="auto"/>
        </w:rPr>
        <w:t>Direct loans</w:t>
      </w:r>
    </w:p>
    <w:p>
      <w:pPr>
        <w:spacing w:after="0" w:line="23" w:lineRule="exact"/>
        <w:rPr>
          <w:rFonts w:ascii="Arial" w:cs="Arial" w:eastAsia="Arial" w:hAnsi="Arial"/>
          <w:sz w:val="14"/>
          <w:szCs w:val="14"/>
          <w:color w:val="auto"/>
        </w:rPr>
      </w:pPr>
    </w:p>
    <w:p>
      <w:pPr>
        <w:ind w:left="282" w:right="5240"/>
        <w:spacing w:after="0" w:line="308" w:lineRule="auto"/>
        <w:rPr>
          <w:rFonts w:ascii="Arial" w:cs="Arial" w:eastAsia="Arial" w:hAnsi="Arial"/>
          <w:sz w:val="14"/>
          <w:szCs w:val="14"/>
          <w:color w:val="auto"/>
        </w:rPr>
      </w:pPr>
      <w:r>
        <w:rPr>
          <w:rFonts w:ascii="Arial" w:cs="Arial" w:eastAsia="Arial" w:hAnsi="Arial"/>
          <w:sz w:val="14"/>
          <w:szCs w:val="14"/>
          <w:color w:val="auto"/>
        </w:rPr>
        <w:t>Indirect loans, Note 21(a) Banker’s acceptances outstanding</w:t>
      </w:r>
    </w:p>
    <w:p>
      <w:pPr>
        <w:spacing w:after="0" w:line="1" w:lineRule="exact"/>
        <w:rPr>
          <w:rFonts w:ascii="Arial" w:cs="Arial" w:eastAsia="Arial" w:hAnsi="Arial"/>
          <w:sz w:val="14"/>
          <w:szCs w:val="14"/>
          <w:color w:val="auto"/>
        </w:rPr>
      </w:pPr>
    </w:p>
    <w:p>
      <w:pPr>
        <w:ind w:left="282"/>
        <w:spacing w:after="0"/>
        <w:rPr>
          <w:rFonts w:ascii="Arial" w:cs="Arial" w:eastAsia="Arial" w:hAnsi="Arial"/>
          <w:sz w:val="14"/>
          <w:szCs w:val="14"/>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-503555</wp:posOffset>
            </wp:positionV>
            <wp:extent cx="6785610" cy="1250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85610" cy="125095"/>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-254000</wp:posOffset>
            </wp:positionV>
            <wp:extent cx="6785610" cy="132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85610" cy="132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5"/>
          <w:szCs w:val="15"/>
          <w:b w:val="1"/>
          <w:bCs w:val="1"/>
          <w:color w:val="auto"/>
        </w:rPr>
        <w:t>As of March</w:t>
      </w:r>
    </w:p>
    <w:p>
      <w:pPr>
        <w:spacing w:after="0" w:line="39"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31, 2020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-115570</wp:posOffset>
            </wp:positionV>
            <wp:extent cx="75628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56285" cy="7620"/>
                    </a:xfrm>
                    <a:prstGeom prst="rect">
                      <a:avLst/>
                    </a:prstGeom>
                    <a:noFill/>
                  </pic:spPr>
                </pic:pic>
              </a:graphicData>
            </a:graphic>
          </wp:anchor>
        </w:drawing>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119,872,589</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20,426,402</w:t>
      </w:r>
    </w:p>
    <w:p>
      <w:pPr>
        <w:spacing w:after="0" w:line="1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555,598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30480</wp:posOffset>
            </wp:positionV>
            <wp:extent cx="75628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56285" cy="7620"/>
                    </a:xfrm>
                    <a:prstGeom prst="rect">
                      <a:avLst/>
                    </a:prstGeom>
                    <a:noFill/>
                  </pic:spPr>
                </pic:pic>
              </a:graphicData>
            </a:graphic>
          </wp:anchor>
        </w:drawing>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140,854,589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30480</wp:posOffset>
            </wp:positionV>
            <wp:extent cx="75628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56285" cy="762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46355</wp:posOffset>
            </wp:positionV>
            <wp:extent cx="75628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562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As of</w:t>
      </w:r>
    </w:p>
    <w:p>
      <w:pPr>
        <w:spacing w:after="0" w:line="28"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December 31,</w:t>
      </w:r>
    </w:p>
    <w:p>
      <w:pPr>
        <w:spacing w:after="0" w:line="36"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2019</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-115570</wp:posOffset>
            </wp:positionV>
            <wp:extent cx="74104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41045" cy="7620"/>
                    </a:xfrm>
                    <a:prstGeom prst="rect">
                      <a:avLst/>
                    </a:prstGeom>
                    <a:noFill/>
                  </pic:spPr>
                </pic:pic>
              </a:graphicData>
            </a:graphic>
          </wp:anchor>
        </w:drawing>
      </w:r>
    </w:p>
    <w:p>
      <w:pPr>
        <w:spacing w:after="0" w:line="5"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114,807,958</w:t>
      </w:r>
    </w:p>
    <w:p>
      <w:pPr>
        <w:spacing w:after="0" w:line="1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21,081,035</w:t>
      </w:r>
    </w:p>
    <w:p>
      <w:pPr>
        <w:spacing w:after="0" w:line="1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535,222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15875</wp:posOffset>
            </wp:positionV>
            <wp:extent cx="74104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1045" cy="7620"/>
                    </a:xfrm>
                    <a:prstGeom prst="rect">
                      <a:avLst/>
                    </a:prstGeom>
                    <a:noFill/>
                  </pic:spPr>
                </pic:pic>
              </a:graphicData>
            </a:graphic>
          </wp:anchor>
        </w:drawing>
      </w:r>
    </w:p>
    <w:p>
      <w:pPr>
        <w:spacing w:after="0" w:line="4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136,424,215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15875</wp:posOffset>
            </wp:positionV>
            <wp:extent cx="74104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41045" cy="7620"/>
                    </a:xfrm>
                    <a:prstGeom prst="rect">
                      <a:avLst/>
                    </a:prstGeom>
                    <a:noFill/>
                  </pic:spPr>
                </pic:pic>
              </a:graphicData>
            </a:graphic>
          </wp:anchor>
        </w:drawing>
        <w:drawing>
          <wp:anchor simplePos="0" relativeHeight="251657728" behindDoc="1" locked="0" layoutInCell="0" allowOverlap="1">
            <wp:simplePos x="0" y="0"/>
            <wp:positionH relativeFrom="column">
              <wp:posOffset>-61595</wp:posOffset>
            </wp:positionH>
            <wp:positionV relativeFrom="paragraph">
              <wp:posOffset>31750</wp:posOffset>
            </wp:positionV>
            <wp:extent cx="74104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4104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742" w:space="720"/>
            <w:col w:w="1040" w:space="300"/>
            <w:col w:w="1160"/>
          </w:cols>
          <w:pgMar w:left="318" w:top="835" w:right="619" w:bottom="1440" w:gutter="0" w:footer="0" w:header="0"/>
          <w:type w:val="continuous"/>
        </w:sectPr>
      </w:pPr>
    </w:p>
    <w:p>
      <w:pPr>
        <w:spacing w:after="0" w:line="242" w:lineRule="exact"/>
        <w:rPr>
          <w:sz w:val="20"/>
          <w:szCs w:val="20"/>
          <w:color w:val="auto"/>
        </w:rPr>
      </w:pPr>
    </w:p>
    <w:p>
      <w:pPr>
        <w:jc w:val="center"/>
        <w:ind w:right="-281"/>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962"/>
          </w:cols>
          <w:pgMar w:left="318" w:top="835" w:right="619" w:bottom="1440" w:gutter="0" w:footer="0" w:header="0"/>
          <w:type w:val="continuous"/>
        </w:sectPr>
      </w:pPr>
    </w:p>
    <w:bookmarkStart w:id="38" w:name="page39"/>
    <w:bookmarkEnd w:id="38"/>
    <w:p>
      <w:pPr>
        <w:ind w:left="20"/>
        <w:spacing w:after="0"/>
        <w:rPr>
          <w:sz w:val="20"/>
          <w:szCs w:val="20"/>
          <w:color w:val="auto"/>
        </w:rPr>
      </w:pPr>
      <w:r>
        <w:rPr>
          <w:rFonts w:ascii="Arial" w:cs="Arial" w:eastAsia="Arial" w:hAnsi="Arial"/>
          <w:sz w:val="16"/>
          <w:szCs w:val="16"/>
          <w:color w:val="auto"/>
        </w:rPr>
        <w:t>The composition of gross balance of direct and indirect loans and the allowance of loan losses by stages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rPr>
              <w:t>Allowance for loan losses of</w:t>
            </w:r>
          </w:p>
        </w:tc>
        <w:tc>
          <w:tcPr>
            <w:tcW w:w="0" w:type="dxa"/>
            <w:vAlign w:val="bottom"/>
          </w:tcPr>
          <w:p>
            <w:pPr>
              <w:spacing w:after="0"/>
              <w:rPr>
                <w:sz w:val="1"/>
                <w:szCs w:val="1"/>
                <w:color w:val="auto"/>
              </w:rPr>
            </w:pPr>
          </w:p>
        </w:tc>
      </w:tr>
      <w:tr>
        <w:trPr>
          <w:trHeight w:val="212"/>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rPr>
              <w:t>Direct and indirect loans</w:t>
            </w:r>
          </w:p>
        </w:tc>
        <w:tc>
          <w:tcPr>
            <w:tcW w:w="2620" w:type="dxa"/>
            <w:vAlign w:val="bottom"/>
            <w:gridSpan w:val="4"/>
          </w:tcPr>
          <w:p>
            <w:pPr>
              <w:jc w:val="right"/>
              <w:ind w:right="500"/>
              <w:spacing w:after="0"/>
              <w:rPr>
                <w:sz w:val="20"/>
                <w:szCs w:val="20"/>
                <w:color w:val="auto"/>
              </w:rPr>
            </w:pPr>
            <w:r>
              <w:rPr>
                <w:rFonts w:ascii="Arial" w:cs="Arial" w:eastAsia="Arial" w:hAnsi="Arial"/>
                <w:sz w:val="16"/>
                <w:szCs w:val="16"/>
                <w:b w:val="1"/>
                <w:bCs w:val="1"/>
                <w:color w:val="auto"/>
              </w:rPr>
              <w:t>direct and indirect loans</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318"/>
              <w:spacing w:after="0" w:line="174" w:lineRule="exact"/>
              <w:rPr>
                <w:sz w:val="20"/>
                <w:szCs w:val="20"/>
                <w:color w:val="auto"/>
              </w:rPr>
            </w:pPr>
            <w:r>
              <w:rPr>
                <w:rFonts w:ascii="Arial" w:cs="Arial" w:eastAsia="Arial" w:hAnsi="Arial"/>
                <w:sz w:val="16"/>
                <w:szCs w:val="16"/>
                <w:b w:val="1"/>
                <w:bCs w:val="1"/>
                <w:color w:val="auto"/>
              </w:rPr>
              <w:t>As of</w:t>
            </w:r>
          </w:p>
        </w:tc>
        <w:tc>
          <w:tcPr>
            <w:tcW w:w="2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318"/>
              <w:spacing w:after="0" w:line="174" w:lineRule="exact"/>
              <w:rPr>
                <w:sz w:val="20"/>
                <w:szCs w:val="20"/>
                <w:color w:val="auto"/>
              </w:rPr>
            </w:pPr>
            <w:r>
              <w:rPr>
                <w:rFonts w:ascii="Arial" w:cs="Arial" w:eastAsia="Arial" w:hAnsi="Arial"/>
                <w:sz w:val="16"/>
                <w:szCs w:val="16"/>
                <w:b w:val="1"/>
                <w:bCs w:val="1"/>
                <w:color w:val="auto"/>
              </w:rPr>
              <w:t>As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As of March</w:t>
            </w:r>
          </w:p>
        </w:tc>
        <w:tc>
          <w:tcPr>
            <w:tcW w:w="14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December</w:t>
            </w:r>
          </w:p>
        </w:tc>
        <w:tc>
          <w:tcPr>
            <w:tcW w:w="13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As of March</w:t>
            </w: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December</w:t>
            </w:r>
          </w:p>
        </w:tc>
        <w:tc>
          <w:tcPr>
            <w:tcW w:w="0" w:type="dxa"/>
            <w:vAlign w:val="bottom"/>
          </w:tcPr>
          <w:p>
            <w:pPr>
              <w:spacing w:after="0"/>
              <w:rPr>
                <w:sz w:val="1"/>
                <w:szCs w:val="1"/>
                <w:color w:val="auto"/>
              </w:rPr>
            </w:pPr>
          </w:p>
        </w:tc>
      </w:tr>
      <w:tr>
        <w:trPr>
          <w:trHeight w:val="212"/>
        </w:trPr>
        <w:tc>
          <w:tcPr>
            <w:tcW w:w="5240" w:type="dxa"/>
            <w:vAlign w:val="bottom"/>
            <w:gridSpan w:val="2"/>
          </w:tcPr>
          <w:p>
            <w:pPr>
              <w:spacing w:after="0"/>
              <w:rPr>
                <w:sz w:val="20"/>
                <w:szCs w:val="20"/>
                <w:color w:val="auto"/>
              </w:rPr>
            </w:pPr>
            <w:r>
              <w:rPr>
                <w:rFonts w:ascii="Arial" w:cs="Arial" w:eastAsia="Arial" w:hAnsi="Arial"/>
                <w:sz w:val="16"/>
                <w:szCs w:val="16"/>
                <w:b w:val="1"/>
                <w:bCs w:val="1"/>
                <w:color w:val="auto"/>
              </w:rPr>
              <w:t>Loans by class</w:t>
            </w:r>
          </w:p>
        </w:tc>
        <w:tc>
          <w:tcPr>
            <w:tcW w:w="1200" w:type="dxa"/>
            <w:vAlign w:val="bottom"/>
          </w:tcPr>
          <w:p>
            <w:pPr>
              <w:jc w:val="right"/>
              <w:ind w:right="238"/>
              <w:spacing w:after="0"/>
              <w:rPr>
                <w:sz w:val="20"/>
                <w:szCs w:val="20"/>
                <w:color w:val="auto"/>
              </w:rPr>
            </w:pPr>
            <w:r>
              <w:rPr>
                <w:rFonts w:ascii="Arial" w:cs="Arial" w:eastAsia="Arial" w:hAnsi="Arial"/>
                <w:sz w:val="16"/>
                <w:szCs w:val="16"/>
                <w:b w:val="1"/>
                <w:bCs w:val="1"/>
                <w:color w:val="auto"/>
              </w:rPr>
              <w:t>31, 2020</w:t>
            </w:r>
          </w:p>
        </w:tc>
        <w:tc>
          <w:tcPr>
            <w:tcW w:w="220" w:type="dxa"/>
            <w:vAlign w:val="bottom"/>
          </w:tcPr>
          <w:p>
            <w:pPr>
              <w:spacing w:after="0"/>
              <w:rPr>
                <w:sz w:val="18"/>
                <w:szCs w:val="18"/>
                <w:color w:val="auto"/>
              </w:rPr>
            </w:pPr>
          </w:p>
        </w:tc>
        <w:tc>
          <w:tcPr>
            <w:tcW w:w="1180" w:type="dxa"/>
            <w:vAlign w:val="bottom"/>
          </w:tcPr>
          <w:p>
            <w:pPr>
              <w:jc w:val="right"/>
              <w:ind w:right="218"/>
              <w:spacing w:after="0"/>
              <w:rPr>
                <w:sz w:val="20"/>
                <w:szCs w:val="20"/>
                <w:color w:val="auto"/>
              </w:rPr>
            </w:pPr>
            <w:r>
              <w:rPr>
                <w:rFonts w:ascii="Arial" w:cs="Arial" w:eastAsia="Arial" w:hAnsi="Arial"/>
                <w:sz w:val="16"/>
                <w:szCs w:val="16"/>
                <w:b w:val="1"/>
                <w:bCs w:val="1"/>
                <w:color w:val="auto"/>
              </w:rPr>
              <w:t>31, 2019</w:t>
            </w:r>
          </w:p>
        </w:tc>
        <w:tc>
          <w:tcPr>
            <w:tcW w:w="220" w:type="dxa"/>
            <w:vAlign w:val="bottom"/>
          </w:tcPr>
          <w:p>
            <w:pPr>
              <w:spacing w:after="0"/>
              <w:rPr>
                <w:sz w:val="18"/>
                <w:szCs w:val="18"/>
                <w:color w:val="auto"/>
              </w:rPr>
            </w:pPr>
          </w:p>
        </w:tc>
        <w:tc>
          <w:tcPr>
            <w:tcW w:w="1160" w:type="dxa"/>
            <w:vAlign w:val="bottom"/>
          </w:tcPr>
          <w:p>
            <w:pPr>
              <w:jc w:val="right"/>
              <w:ind w:right="218"/>
              <w:spacing w:after="0"/>
              <w:rPr>
                <w:sz w:val="20"/>
                <w:szCs w:val="20"/>
                <w:color w:val="auto"/>
              </w:rPr>
            </w:pPr>
            <w:r>
              <w:rPr>
                <w:rFonts w:ascii="Arial" w:cs="Arial" w:eastAsia="Arial" w:hAnsi="Arial"/>
                <w:sz w:val="16"/>
                <w:szCs w:val="16"/>
                <w:b w:val="1"/>
                <w:bCs w:val="1"/>
                <w:color w:val="auto"/>
              </w:rPr>
              <w:t>31, 2020</w:t>
            </w:r>
          </w:p>
        </w:tc>
        <w:tc>
          <w:tcPr>
            <w:tcW w:w="200" w:type="dxa"/>
            <w:vAlign w:val="bottom"/>
          </w:tcPr>
          <w:p>
            <w:pPr>
              <w:spacing w:after="0"/>
              <w:rPr>
                <w:sz w:val="18"/>
                <w:szCs w:val="18"/>
                <w:color w:val="auto"/>
              </w:rPr>
            </w:pPr>
          </w:p>
        </w:tc>
        <w:tc>
          <w:tcPr>
            <w:tcW w:w="1160" w:type="dxa"/>
            <w:vAlign w:val="bottom"/>
          </w:tcPr>
          <w:p>
            <w:pPr>
              <w:jc w:val="right"/>
              <w:ind w:right="198"/>
              <w:spacing w:after="0"/>
              <w:rPr>
                <w:sz w:val="20"/>
                <w:szCs w:val="20"/>
                <w:color w:val="auto"/>
              </w:rPr>
            </w:pPr>
            <w:r>
              <w:rPr>
                <w:rFonts w:ascii="Arial" w:cs="Arial" w:eastAsia="Arial" w:hAnsi="Arial"/>
                <w:sz w:val="16"/>
                <w:szCs w:val="16"/>
                <w:b w:val="1"/>
                <w:bCs w:val="1"/>
                <w:color w:val="auto"/>
              </w:rPr>
              <w:t>31, 2019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S/000</w:t>
            </w:r>
          </w:p>
        </w:tc>
        <w:tc>
          <w:tcPr>
            <w:tcW w:w="220" w:type="dxa"/>
            <w:vAlign w:val="bottom"/>
          </w:tcPr>
          <w:p>
            <w:pPr>
              <w:spacing w:after="0"/>
              <w:rPr>
                <w:sz w:val="16"/>
                <w:szCs w:val="16"/>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S/000</w:t>
            </w:r>
          </w:p>
        </w:tc>
        <w:tc>
          <w:tcPr>
            <w:tcW w:w="220" w:type="dxa"/>
            <w:vAlign w:val="bottom"/>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S/000</w:t>
            </w:r>
          </w:p>
        </w:tc>
        <w:tc>
          <w:tcPr>
            <w:tcW w:w="200" w:type="dxa"/>
            <w:vAlign w:val="bottom"/>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Stage 1</w:t>
            </w: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240" w:type="dxa"/>
            <w:vAlign w:val="bottom"/>
            <w:gridSpan w:val="2"/>
          </w:tcPr>
          <w:p>
            <w:pPr>
              <w:spacing w:after="0"/>
              <w:rPr>
                <w:sz w:val="20"/>
                <w:szCs w:val="20"/>
                <w:color w:val="auto"/>
              </w:rPr>
            </w:pPr>
            <w:r>
              <w:rPr>
                <w:rFonts w:ascii="Arial" w:cs="Arial" w:eastAsia="Arial" w:hAnsi="Arial"/>
                <w:sz w:val="16"/>
                <w:szCs w:val="16"/>
                <w:color w:val="auto"/>
              </w:rPr>
              <w:t>Commercial loans</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80,554,815</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75,838,248</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481,034</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388,685</w:t>
            </w:r>
          </w:p>
        </w:tc>
        <w:tc>
          <w:tcPr>
            <w:tcW w:w="0" w:type="dxa"/>
            <w:vAlign w:val="bottom"/>
          </w:tcPr>
          <w:p>
            <w:pPr>
              <w:spacing w:after="0"/>
              <w:rPr>
                <w:sz w:val="1"/>
                <w:szCs w:val="1"/>
                <w:color w:val="auto"/>
              </w:rPr>
            </w:pPr>
          </w:p>
        </w:tc>
      </w:tr>
      <w:tr>
        <w:trPr>
          <w:trHeight w:val="197"/>
        </w:trPr>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Residential mortgage loans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18,198,762</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17,903,028</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53,844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38,085</w:t>
            </w:r>
          </w:p>
        </w:tc>
        <w:tc>
          <w:tcPr>
            <w:tcW w:w="0" w:type="dxa"/>
            <w:vAlign w:val="bottom"/>
          </w:tcPr>
          <w:p>
            <w:pPr>
              <w:spacing w:after="0"/>
              <w:rPr>
                <w:sz w:val="1"/>
                <w:szCs w:val="1"/>
                <w:color w:val="auto"/>
              </w:rPr>
            </w:pPr>
          </w:p>
        </w:tc>
      </w:tr>
      <w:tr>
        <w:trPr>
          <w:trHeight w:val="197"/>
        </w:trPr>
        <w:tc>
          <w:tcPr>
            <w:tcW w:w="5240" w:type="dxa"/>
            <w:vAlign w:val="bottom"/>
            <w:gridSpan w:val="2"/>
          </w:tcPr>
          <w:p>
            <w:pPr>
              <w:spacing w:after="0"/>
              <w:rPr>
                <w:sz w:val="20"/>
                <w:szCs w:val="20"/>
                <w:color w:val="auto"/>
              </w:rPr>
            </w:pPr>
            <w:r>
              <w:rPr>
                <w:rFonts w:ascii="Arial" w:cs="Arial" w:eastAsia="Arial" w:hAnsi="Arial"/>
                <w:sz w:val="16"/>
                <w:szCs w:val="16"/>
                <w:color w:val="auto"/>
              </w:rPr>
              <w:t>Micro-business loans</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13,636,094</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13,782,323</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572,593</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425,642</w:t>
            </w:r>
          </w:p>
        </w:tc>
        <w:tc>
          <w:tcPr>
            <w:tcW w:w="0" w:type="dxa"/>
            <w:vAlign w:val="bottom"/>
          </w:tcPr>
          <w:p>
            <w:pPr>
              <w:spacing w:after="0"/>
              <w:rPr>
                <w:sz w:val="1"/>
                <w:szCs w:val="1"/>
                <w:color w:val="auto"/>
              </w:rPr>
            </w:pPr>
          </w:p>
        </w:tc>
      </w:tr>
      <w:tr>
        <w:trPr>
          <w:trHeight w:val="209"/>
        </w:trPr>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Consumer loans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12,120,435</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12,222,858</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548,288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248,355</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Total</w:t>
            </w: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240" w:type="dxa"/>
            <w:vAlign w:val="bottom"/>
            <w:gridSpan w:val="2"/>
            <w:vMerge w:val="continue"/>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124,510,106</w:t>
            </w:r>
          </w:p>
        </w:tc>
        <w:tc>
          <w:tcPr>
            <w:tcW w:w="22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119,746,457</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1,655,759</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1,100,767</w:t>
            </w:r>
          </w:p>
        </w:tc>
        <w:tc>
          <w:tcPr>
            <w:tcW w:w="0" w:type="dxa"/>
            <w:vAlign w:val="bottom"/>
          </w:tcPr>
          <w:p>
            <w:pPr>
              <w:spacing w:after="0"/>
              <w:rPr>
                <w:sz w:val="1"/>
                <w:szCs w:val="1"/>
                <w:color w:val="auto"/>
              </w:rPr>
            </w:pPr>
          </w:p>
        </w:tc>
      </w:tr>
      <w:tr>
        <w:trPr>
          <w:trHeight w:val="174"/>
        </w:trPr>
        <w:tc>
          <w:tcPr>
            <w:tcW w:w="5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240" w:type="dxa"/>
            <w:vAlign w:val="bottom"/>
            <w:gridSpan w:val="2"/>
          </w:tcPr>
          <w:p>
            <w:pPr>
              <w:spacing w:after="0"/>
              <w:rPr>
                <w:sz w:val="20"/>
                <w:szCs w:val="20"/>
                <w:color w:val="auto"/>
              </w:rPr>
            </w:pPr>
            <w:r>
              <w:rPr>
                <w:rFonts w:ascii="Arial" w:cs="Arial" w:eastAsia="Arial" w:hAnsi="Arial"/>
                <w:sz w:val="16"/>
                <w:szCs w:val="16"/>
                <w:b w:val="1"/>
                <w:bCs w:val="1"/>
                <w:color w:val="auto"/>
              </w:rPr>
              <w:t>Stage 2</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Commercial loans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4,662,246</w:t>
            </w: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4,883,039</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215,280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166,135</w:t>
            </w:r>
          </w:p>
        </w:tc>
        <w:tc>
          <w:tcPr>
            <w:tcW w:w="0" w:type="dxa"/>
            <w:vAlign w:val="bottom"/>
          </w:tcPr>
          <w:p>
            <w:pPr>
              <w:spacing w:after="0"/>
              <w:rPr>
                <w:sz w:val="1"/>
                <w:szCs w:val="1"/>
                <w:color w:val="auto"/>
              </w:rPr>
            </w:pPr>
          </w:p>
        </w:tc>
      </w:tr>
      <w:tr>
        <w:trPr>
          <w:trHeight w:val="197"/>
        </w:trPr>
        <w:tc>
          <w:tcPr>
            <w:tcW w:w="5240" w:type="dxa"/>
            <w:vAlign w:val="bottom"/>
            <w:gridSpan w:val="2"/>
          </w:tcPr>
          <w:p>
            <w:pPr>
              <w:spacing w:after="0"/>
              <w:rPr>
                <w:sz w:val="20"/>
                <w:szCs w:val="20"/>
                <w:color w:val="auto"/>
              </w:rPr>
            </w:pPr>
            <w:r>
              <w:rPr>
                <w:rFonts w:ascii="Arial" w:cs="Arial" w:eastAsia="Arial" w:hAnsi="Arial"/>
                <w:sz w:val="16"/>
                <w:szCs w:val="16"/>
                <w:color w:val="auto"/>
              </w:rPr>
              <w:t>Residential mortgage loans</w:t>
            </w:r>
          </w:p>
        </w:tc>
        <w:tc>
          <w:tcPr>
            <w:tcW w:w="1200" w:type="dxa"/>
            <w:vAlign w:val="bottom"/>
          </w:tcPr>
          <w:p>
            <w:pPr>
              <w:jc w:val="right"/>
              <w:spacing w:after="0"/>
              <w:rPr>
                <w:sz w:val="20"/>
                <w:szCs w:val="20"/>
                <w:color w:val="auto"/>
              </w:rPr>
            </w:pPr>
            <w:r>
              <w:rPr>
                <w:rFonts w:ascii="Arial" w:cs="Arial" w:eastAsia="Arial" w:hAnsi="Arial"/>
                <w:sz w:val="16"/>
                <w:szCs w:val="16"/>
                <w:color w:val="auto"/>
              </w:rPr>
              <w:t>847,285</w:t>
            </w:r>
          </w:p>
        </w:tc>
        <w:tc>
          <w:tcPr>
            <w:tcW w:w="22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778,702</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33,381</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25,684</w:t>
            </w:r>
          </w:p>
        </w:tc>
        <w:tc>
          <w:tcPr>
            <w:tcW w:w="0" w:type="dxa"/>
            <w:vAlign w:val="bottom"/>
          </w:tcPr>
          <w:p>
            <w:pPr>
              <w:spacing w:after="0"/>
              <w:rPr>
                <w:sz w:val="1"/>
                <w:szCs w:val="1"/>
                <w:color w:val="auto"/>
              </w:rPr>
            </w:pPr>
          </w:p>
        </w:tc>
      </w:tr>
      <w:tr>
        <w:trPr>
          <w:trHeight w:val="197"/>
        </w:trPr>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Micro-business loans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1,644,333</w:t>
            </w: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1,839,597</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305,838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249,960</w:t>
            </w:r>
          </w:p>
        </w:tc>
        <w:tc>
          <w:tcPr>
            <w:tcW w:w="0" w:type="dxa"/>
            <w:vAlign w:val="bottom"/>
          </w:tcPr>
          <w:p>
            <w:pPr>
              <w:spacing w:after="0"/>
              <w:rPr>
                <w:sz w:val="1"/>
                <w:szCs w:val="1"/>
                <w:color w:val="auto"/>
              </w:rPr>
            </w:pPr>
          </w:p>
        </w:tc>
      </w:tr>
      <w:tr>
        <w:trPr>
          <w:trHeight w:val="208"/>
        </w:trPr>
        <w:tc>
          <w:tcPr>
            <w:tcW w:w="5240" w:type="dxa"/>
            <w:vAlign w:val="bottom"/>
            <w:gridSpan w:val="2"/>
          </w:tcPr>
          <w:p>
            <w:pPr>
              <w:spacing w:after="0"/>
              <w:rPr>
                <w:sz w:val="20"/>
                <w:szCs w:val="20"/>
                <w:color w:val="auto"/>
              </w:rPr>
            </w:pPr>
            <w:r>
              <w:rPr>
                <w:rFonts w:ascii="Arial" w:cs="Arial" w:eastAsia="Arial" w:hAnsi="Arial"/>
                <w:sz w:val="16"/>
                <w:szCs w:val="16"/>
                <w:color w:val="auto"/>
              </w:rPr>
              <w:t>Consumer loans</w:t>
            </w:r>
          </w:p>
        </w:tc>
        <w:tc>
          <w:tcPr>
            <w:tcW w:w="1200" w:type="dxa"/>
            <w:vAlign w:val="bottom"/>
          </w:tcPr>
          <w:p>
            <w:pPr>
              <w:jc w:val="right"/>
              <w:spacing w:after="0"/>
              <w:rPr>
                <w:sz w:val="20"/>
                <w:szCs w:val="20"/>
                <w:color w:val="auto"/>
              </w:rPr>
            </w:pPr>
            <w:r>
              <w:rPr>
                <w:rFonts w:ascii="Arial" w:cs="Arial" w:eastAsia="Arial" w:hAnsi="Arial"/>
                <w:sz w:val="16"/>
                <w:szCs w:val="16"/>
                <w:color w:val="auto"/>
              </w:rPr>
              <w:t>2,366,810</w:t>
            </w: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2,210,504</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625,724</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513,431</w:t>
            </w:r>
          </w:p>
        </w:tc>
        <w:tc>
          <w:tcPr>
            <w:tcW w:w="0" w:type="dxa"/>
            <w:vAlign w:val="bottom"/>
          </w:tcPr>
          <w:p>
            <w:pPr>
              <w:spacing w:after="0"/>
              <w:rPr>
                <w:sz w:val="1"/>
                <w:szCs w:val="1"/>
                <w:color w:val="auto"/>
              </w:rPr>
            </w:pPr>
          </w:p>
        </w:tc>
      </w:tr>
      <w:tr>
        <w:trPr>
          <w:trHeight w:val="20"/>
        </w:trPr>
        <w:tc>
          <w:tcPr>
            <w:tcW w:w="5240" w:type="dxa"/>
            <w:vAlign w:val="bottom"/>
            <w:gridSpan w:val="2"/>
            <w:vMerge w:val="restart"/>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40" w:type="dxa"/>
            <w:vAlign w:val="bottom"/>
            <w:gridSpan w:val="2"/>
            <w:vMerge w:val="continue"/>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9,520,674</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9,711,842</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1,180,223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955,210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Stage 3</w:t>
            </w: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240" w:type="dxa"/>
            <w:vAlign w:val="bottom"/>
            <w:gridSpan w:val="2"/>
          </w:tcPr>
          <w:p>
            <w:pPr>
              <w:spacing w:after="0"/>
              <w:rPr>
                <w:sz w:val="20"/>
                <w:szCs w:val="20"/>
                <w:color w:val="auto"/>
              </w:rPr>
            </w:pPr>
            <w:r>
              <w:rPr>
                <w:rFonts w:ascii="Arial" w:cs="Arial" w:eastAsia="Arial" w:hAnsi="Arial"/>
                <w:sz w:val="16"/>
                <w:szCs w:val="16"/>
                <w:color w:val="auto"/>
              </w:rPr>
              <w:t>Commercial loans</w:t>
            </w:r>
          </w:p>
        </w:tc>
        <w:tc>
          <w:tcPr>
            <w:tcW w:w="1200" w:type="dxa"/>
            <w:vAlign w:val="bottom"/>
          </w:tcPr>
          <w:p>
            <w:pPr>
              <w:jc w:val="right"/>
              <w:spacing w:after="0"/>
              <w:rPr>
                <w:sz w:val="20"/>
                <w:szCs w:val="20"/>
                <w:color w:val="auto"/>
              </w:rPr>
            </w:pPr>
            <w:r>
              <w:rPr>
                <w:rFonts w:ascii="Arial" w:cs="Arial" w:eastAsia="Arial" w:hAnsi="Arial"/>
                <w:sz w:val="16"/>
                <w:szCs w:val="16"/>
                <w:color w:val="auto"/>
              </w:rPr>
              <w:t>3,800,246</w:t>
            </w:r>
          </w:p>
        </w:tc>
        <w:tc>
          <w:tcPr>
            <w:tcW w:w="22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3,771,417</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1,396,146</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1,315,227</w:t>
            </w:r>
          </w:p>
        </w:tc>
        <w:tc>
          <w:tcPr>
            <w:tcW w:w="0" w:type="dxa"/>
            <w:vAlign w:val="bottom"/>
          </w:tcPr>
          <w:p>
            <w:pPr>
              <w:spacing w:after="0"/>
              <w:rPr>
                <w:sz w:val="1"/>
                <w:szCs w:val="1"/>
                <w:color w:val="auto"/>
              </w:rPr>
            </w:pPr>
          </w:p>
        </w:tc>
      </w:tr>
      <w:tr>
        <w:trPr>
          <w:trHeight w:val="197"/>
        </w:trPr>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Residential mortgage loans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1,032,404</w:t>
            </w: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994,991</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500,544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472,711</w:t>
            </w:r>
          </w:p>
        </w:tc>
        <w:tc>
          <w:tcPr>
            <w:tcW w:w="0" w:type="dxa"/>
            <w:vAlign w:val="bottom"/>
          </w:tcPr>
          <w:p>
            <w:pPr>
              <w:spacing w:after="0"/>
              <w:rPr>
                <w:sz w:val="1"/>
                <w:szCs w:val="1"/>
                <w:color w:val="auto"/>
              </w:rPr>
            </w:pPr>
          </w:p>
        </w:tc>
      </w:tr>
      <w:tr>
        <w:trPr>
          <w:trHeight w:val="197"/>
        </w:trPr>
        <w:tc>
          <w:tcPr>
            <w:tcW w:w="5240" w:type="dxa"/>
            <w:vAlign w:val="bottom"/>
            <w:gridSpan w:val="2"/>
          </w:tcPr>
          <w:p>
            <w:pPr>
              <w:spacing w:after="0"/>
              <w:rPr>
                <w:sz w:val="20"/>
                <w:szCs w:val="20"/>
                <w:color w:val="auto"/>
              </w:rPr>
            </w:pPr>
            <w:r>
              <w:rPr>
                <w:rFonts w:ascii="Arial" w:cs="Arial" w:eastAsia="Arial" w:hAnsi="Arial"/>
                <w:sz w:val="16"/>
                <w:szCs w:val="16"/>
                <w:color w:val="auto"/>
              </w:rPr>
              <w:t>Micro-business loans</w:t>
            </w:r>
          </w:p>
        </w:tc>
        <w:tc>
          <w:tcPr>
            <w:tcW w:w="1200" w:type="dxa"/>
            <w:vAlign w:val="bottom"/>
          </w:tcPr>
          <w:p>
            <w:pPr>
              <w:jc w:val="right"/>
              <w:spacing w:after="0"/>
              <w:rPr>
                <w:sz w:val="20"/>
                <w:szCs w:val="20"/>
                <w:color w:val="auto"/>
              </w:rPr>
            </w:pPr>
            <w:r>
              <w:rPr>
                <w:rFonts w:ascii="Arial" w:cs="Arial" w:eastAsia="Arial" w:hAnsi="Arial"/>
                <w:sz w:val="16"/>
                <w:szCs w:val="16"/>
                <w:color w:val="auto"/>
              </w:rPr>
              <w:t>1,221,634</w:t>
            </w:r>
          </w:p>
        </w:tc>
        <w:tc>
          <w:tcPr>
            <w:tcW w:w="22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1,350,858</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924,955</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960,885</w:t>
            </w:r>
          </w:p>
        </w:tc>
        <w:tc>
          <w:tcPr>
            <w:tcW w:w="0" w:type="dxa"/>
            <w:vAlign w:val="bottom"/>
          </w:tcPr>
          <w:p>
            <w:pPr>
              <w:spacing w:after="0"/>
              <w:rPr>
                <w:sz w:val="1"/>
                <w:szCs w:val="1"/>
                <w:color w:val="auto"/>
              </w:rPr>
            </w:pPr>
          </w:p>
        </w:tc>
      </w:tr>
      <w:tr>
        <w:trPr>
          <w:trHeight w:val="209"/>
        </w:trPr>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Consumer loans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769,525</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848,650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674,194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702,959</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Total</w:t>
            </w: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240" w:type="dxa"/>
            <w:vAlign w:val="bottom"/>
            <w:gridSpan w:val="2"/>
            <w:vMerge w:val="continue"/>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6,823,809</w:t>
            </w:r>
          </w:p>
        </w:tc>
        <w:tc>
          <w:tcPr>
            <w:tcW w:w="22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6,965,916</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3,495,839</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3,451,782</w:t>
            </w:r>
          </w:p>
        </w:tc>
        <w:tc>
          <w:tcPr>
            <w:tcW w:w="0" w:type="dxa"/>
            <w:vAlign w:val="bottom"/>
          </w:tcPr>
          <w:p>
            <w:pPr>
              <w:spacing w:after="0"/>
              <w:rPr>
                <w:sz w:val="1"/>
                <w:szCs w:val="1"/>
                <w:color w:val="auto"/>
              </w:rPr>
            </w:pPr>
          </w:p>
        </w:tc>
      </w:tr>
      <w:tr>
        <w:trPr>
          <w:trHeight w:val="174"/>
        </w:trPr>
        <w:tc>
          <w:tcPr>
            <w:tcW w:w="5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240" w:type="dxa"/>
            <w:vAlign w:val="bottom"/>
            <w:gridSpan w:val="2"/>
          </w:tcPr>
          <w:p>
            <w:pPr>
              <w:spacing w:after="0"/>
              <w:rPr>
                <w:sz w:val="20"/>
                <w:szCs w:val="20"/>
                <w:color w:val="auto"/>
              </w:rPr>
            </w:pPr>
            <w:r>
              <w:rPr>
                <w:rFonts w:ascii="Arial" w:cs="Arial" w:eastAsia="Arial" w:hAnsi="Arial"/>
                <w:sz w:val="16"/>
                <w:szCs w:val="16"/>
                <w:b w:val="1"/>
                <w:bCs w:val="1"/>
                <w:color w:val="auto"/>
              </w:rPr>
              <w:t>Consolidated 3 Stages</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Commercial loans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89,017,307</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84,492,704</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2,092,460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1,870,047</w:t>
            </w:r>
          </w:p>
        </w:tc>
        <w:tc>
          <w:tcPr>
            <w:tcW w:w="0" w:type="dxa"/>
            <w:vAlign w:val="bottom"/>
          </w:tcPr>
          <w:p>
            <w:pPr>
              <w:spacing w:after="0"/>
              <w:rPr>
                <w:sz w:val="1"/>
                <w:szCs w:val="1"/>
                <w:color w:val="auto"/>
              </w:rPr>
            </w:pPr>
          </w:p>
        </w:tc>
      </w:tr>
      <w:tr>
        <w:trPr>
          <w:trHeight w:val="197"/>
        </w:trPr>
        <w:tc>
          <w:tcPr>
            <w:tcW w:w="5240" w:type="dxa"/>
            <w:vAlign w:val="bottom"/>
            <w:gridSpan w:val="2"/>
          </w:tcPr>
          <w:p>
            <w:pPr>
              <w:spacing w:after="0"/>
              <w:rPr>
                <w:sz w:val="20"/>
                <w:szCs w:val="20"/>
                <w:color w:val="auto"/>
              </w:rPr>
            </w:pPr>
            <w:r>
              <w:rPr>
                <w:rFonts w:ascii="Arial" w:cs="Arial" w:eastAsia="Arial" w:hAnsi="Arial"/>
                <w:sz w:val="16"/>
                <w:szCs w:val="16"/>
                <w:color w:val="auto"/>
              </w:rPr>
              <w:t>Residential mortgage loans</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20,078,451</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19,676,721</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587,769</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536,480</w:t>
            </w:r>
          </w:p>
        </w:tc>
        <w:tc>
          <w:tcPr>
            <w:tcW w:w="0" w:type="dxa"/>
            <w:vAlign w:val="bottom"/>
          </w:tcPr>
          <w:p>
            <w:pPr>
              <w:spacing w:after="0"/>
              <w:rPr>
                <w:sz w:val="1"/>
                <w:szCs w:val="1"/>
                <w:color w:val="auto"/>
              </w:rPr>
            </w:pPr>
          </w:p>
        </w:tc>
      </w:tr>
      <w:tr>
        <w:trPr>
          <w:trHeight w:val="197"/>
        </w:trPr>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Micro-business loans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16,502,061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16,972,778</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1,803,386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1,636,487</w:t>
            </w:r>
          </w:p>
        </w:tc>
        <w:tc>
          <w:tcPr>
            <w:tcW w:w="0" w:type="dxa"/>
            <w:vAlign w:val="bottom"/>
          </w:tcPr>
          <w:p>
            <w:pPr>
              <w:spacing w:after="0"/>
              <w:rPr>
                <w:sz w:val="1"/>
                <w:szCs w:val="1"/>
                <w:color w:val="auto"/>
              </w:rPr>
            </w:pPr>
          </w:p>
        </w:tc>
      </w:tr>
      <w:tr>
        <w:trPr>
          <w:trHeight w:val="208"/>
        </w:trPr>
        <w:tc>
          <w:tcPr>
            <w:tcW w:w="5240" w:type="dxa"/>
            <w:vAlign w:val="bottom"/>
            <w:gridSpan w:val="2"/>
          </w:tcPr>
          <w:p>
            <w:pPr>
              <w:spacing w:after="0"/>
              <w:rPr>
                <w:sz w:val="20"/>
                <w:szCs w:val="20"/>
                <w:color w:val="auto"/>
              </w:rPr>
            </w:pPr>
            <w:r>
              <w:rPr>
                <w:rFonts w:ascii="Arial" w:cs="Arial" w:eastAsia="Arial" w:hAnsi="Arial"/>
                <w:sz w:val="16"/>
                <w:szCs w:val="16"/>
                <w:color w:val="auto"/>
              </w:rPr>
              <w:t>Consumer loans</w:t>
            </w:r>
          </w:p>
        </w:tc>
        <w:tc>
          <w:tcPr>
            <w:tcW w:w="1200" w:type="dxa"/>
            <w:vAlign w:val="bottom"/>
          </w:tcPr>
          <w:p>
            <w:pPr>
              <w:jc w:val="right"/>
              <w:spacing w:after="0"/>
              <w:rPr>
                <w:sz w:val="20"/>
                <w:szCs w:val="20"/>
                <w:color w:val="auto"/>
              </w:rPr>
            </w:pPr>
            <w:r>
              <w:rPr>
                <w:rFonts w:ascii="Arial" w:cs="Arial" w:eastAsia="Arial" w:hAnsi="Arial"/>
                <w:sz w:val="16"/>
                <w:szCs w:val="16"/>
                <w:color w:val="auto"/>
              </w:rPr>
              <w:t>15,256,770</w:t>
            </w: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15,282,012</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1,848,206</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1,464,745</w:t>
            </w:r>
          </w:p>
        </w:tc>
        <w:tc>
          <w:tcPr>
            <w:tcW w:w="0" w:type="dxa"/>
            <w:vAlign w:val="bottom"/>
          </w:tcPr>
          <w:p>
            <w:pPr>
              <w:spacing w:after="0"/>
              <w:rPr>
                <w:sz w:val="1"/>
                <w:szCs w:val="1"/>
                <w:color w:val="auto"/>
              </w:rPr>
            </w:pPr>
          </w:p>
        </w:tc>
      </w:tr>
      <w:tr>
        <w:trPr>
          <w:trHeight w:val="20"/>
        </w:trPr>
        <w:tc>
          <w:tcPr>
            <w:tcW w:w="5240" w:type="dxa"/>
            <w:vAlign w:val="bottom"/>
            <w:gridSpan w:val="2"/>
            <w:vMerge w:val="restart"/>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40" w:type="dxa"/>
            <w:vAlign w:val="bottom"/>
            <w:gridSpan w:val="2"/>
            <w:vMerge w:val="continue"/>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140,854,589</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136,424,215</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6,331,821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5,507,759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 w:right="180"/>
        <w:spacing w:after="0" w:line="287" w:lineRule="auto"/>
        <w:rPr>
          <w:sz w:val="20"/>
          <w:szCs w:val="20"/>
          <w:color w:val="auto"/>
        </w:rPr>
      </w:pPr>
      <w:r>
        <w:rPr>
          <w:rFonts w:ascii="Arial" w:cs="Arial" w:eastAsia="Arial" w:hAnsi="Arial"/>
          <w:sz w:val="16"/>
          <w:szCs w:val="16"/>
          <w:color w:val="auto"/>
        </w:rPr>
        <w:t>The growth in the stock of the allowance for loan losses of Credicorp is mainly due to the impact of COVID-19, which explains the variation of 83% in stock of the allowance for loan losses compared to the period 2019.</w:t>
      </w:r>
    </w:p>
    <w:p>
      <w:pPr>
        <w:spacing w:after="0" w:line="150" w:lineRule="exact"/>
        <w:rPr>
          <w:sz w:val="20"/>
          <w:szCs w:val="20"/>
          <w:color w:val="auto"/>
        </w:rPr>
      </w:pPr>
    </w:p>
    <w:p>
      <w:pPr>
        <w:ind w:left="20"/>
        <w:spacing w:after="0" w:line="287" w:lineRule="auto"/>
        <w:rPr>
          <w:sz w:val="20"/>
          <w:szCs w:val="20"/>
          <w:color w:val="auto"/>
        </w:rPr>
      </w:pPr>
      <w:r>
        <w:rPr>
          <w:rFonts w:ascii="Arial" w:cs="Arial" w:eastAsia="Arial" w:hAnsi="Arial"/>
          <w:sz w:val="16"/>
          <w:szCs w:val="16"/>
          <w:color w:val="auto"/>
        </w:rPr>
        <w:t>The impact of COVID-19 mainly due to the updates of the projections of the macroeconomic scenarios to more severe conditions, which has had a different impact on each loan portfolio, mainly affecting the credits of the Stage 1 and Stage 2.</w:t>
      </w:r>
    </w:p>
    <w:p>
      <w:pPr>
        <w:spacing w:after="0" w:line="150" w:lineRule="exact"/>
        <w:rPr>
          <w:sz w:val="20"/>
          <w:szCs w:val="20"/>
          <w:color w:val="auto"/>
        </w:rPr>
      </w:pPr>
    </w:p>
    <w:p>
      <w:pPr>
        <w:ind w:left="20" w:right="60"/>
        <w:spacing w:after="0" w:line="271" w:lineRule="auto"/>
        <w:rPr>
          <w:sz w:val="20"/>
          <w:szCs w:val="20"/>
          <w:color w:val="auto"/>
        </w:rPr>
      </w:pPr>
      <w:r>
        <w:rPr>
          <w:rFonts w:ascii="Arial" w:cs="Arial" w:eastAsia="Arial" w:hAnsi="Arial"/>
          <w:sz w:val="16"/>
          <w:szCs w:val="16"/>
          <w:color w:val="auto"/>
        </w:rPr>
        <w:t>Additionally, considering the extent of the quarantine and its impact on the country's economic activity, we expect that the recovery level of our loan portfolio will be affected, especially in the retail portfolio of consumer and Small and medium businesses (PYME, from Spanish acronym) and, in a minor degree, in the wholesale portfolio.</w:t>
      </w:r>
    </w:p>
    <w:p>
      <w:pPr>
        <w:spacing w:after="0" w:line="359"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15875</wp:posOffset>
            </wp:positionV>
            <wp:extent cx="714438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920"/>
          </w:cols>
          <w:pgMar w:left="600" w:top="839" w:right="379" w:bottom="1440" w:gutter="0" w:footer="0" w:header="0"/>
        </w:sectPr>
      </w:pPr>
    </w:p>
    <w:bookmarkStart w:id="39" w:name="page40"/>
    <w:bookmarkEnd w:id="39"/>
    <w:p>
      <w:pPr>
        <w:ind w:left="302" w:right="660" w:hanging="302"/>
        <w:spacing w:after="0" w:line="287" w:lineRule="auto"/>
        <w:tabs>
          <w:tab w:leader="none" w:pos="30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allowance for loan loss for direct and indirect loans was determined under the expected credit loss model as established in IFRS 9. The movement of the allowance for loan loss for direct and indirect loans is shown below:</w:t>
      </w:r>
    </w:p>
    <w:p>
      <w:pPr>
        <w:sectPr>
          <w:pgSz w:w="11900" w:h="16838" w:orient="portrait"/>
          <w:cols w:equalWidth="0" w:num="1">
            <w:col w:w="11242"/>
          </w:cols>
          <w:pgMar w:left="318" w:top="8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
        <w:spacing w:after="0"/>
        <w:rPr>
          <w:sz w:val="20"/>
          <w:szCs w:val="20"/>
          <w:color w:val="auto"/>
        </w:rPr>
      </w:pPr>
      <w:r>
        <w:rPr>
          <w:rFonts w:ascii="Arial" w:cs="Arial" w:eastAsia="Arial" w:hAnsi="Arial"/>
          <w:sz w:val="15"/>
          <w:szCs w:val="15"/>
          <w:b w:val="1"/>
          <w:bCs w:val="1"/>
          <w:color w:val="auto"/>
        </w:rPr>
        <w:t>Balance at beginning of period</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4"/>
          <w:szCs w:val="14"/>
          <w:color w:val="auto"/>
        </w:rPr>
        <w:t>Provision for credit losses on loan</w:t>
      </w:r>
    </w:p>
    <w:p>
      <w:pPr>
        <w:spacing w:after="0" w:line="36" w:lineRule="exact"/>
        <w:rPr>
          <w:sz w:val="20"/>
          <w:szCs w:val="20"/>
          <w:color w:val="auto"/>
        </w:rPr>
      </w:pPr>
    </w:p>
    <w:p>
      <w:pPr>
        <w:ind w:left="2"/>
        <w:spacing w:after="0"/>
        <w:rPr>
          <w:sz w:val="20"/>
          <w:szCs w:val="20"/>
          <w:color w:val="auto"/>
        </w:rPr>
      </w:pPr>
      <w:r>
        <w:rPr>
          <w:rFonts w:ascii="Arial" w:cs="Arial" w:eastAsia="Arial" w:hAnsi="Arial"/>
          <w:sz w:val="16"/>
          <w:szCs w:val="16"/>
          <w:color w:val="auto"/>
        </w:rPr>
        <w:t>Written-offs loans</w:t>
      </w:r>
    </w:p>
    <w:p>
      <w:pPr>
        <w:spacing w:after="0" w:line="13" w:lineRule="exact"/>
        <w:rPr>
          <w:sz w:val="20"/>
          <w:szCs w:val="20"/>
          <w:color w:val="auto"/>
        </w:rPr>
      </w:pPr>
    </w:p>
    <w:p>
      <w:pPr>
        <w:ind w:left="2"/>
        <w:spacing w:after="0"/>
        <w:rPr>
          <w:sz w:val="20"/>
          <w:szCs w:val="20"/>
          <w:color w:val="auto"/>
        </w:rPr>
      </w:pPr>
      <w:r>
        <w:rPr>
          <w:rFonts w:ascii="Arial" w:cs="Arial" w:eastAsia="Arial" w:hAnsi="Arial"/>
          <w:sz w:val="15"/>
          <w:szCs w:val="15"/>
          <w:color w:val="auto"/>
        </w:rPr>
        <w:t>Exchange differences and others</w:t>
      </w:r>
    </w:p>
    <w:p>
      <w:pPr>
        <w:spacing w:after="0" w:line="4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Balance ended of period (*)</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For the three-month periods</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ended March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4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124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5"/>
              </w:rPr>
              <w:t>S/(000)</w:t>
            </w:r>
          </w:p>
        </w:tc>
        <w:tc>
          <w:tcPr>
            <w:tcW w:w="240" w:type="dxa"/>
            <w:vAlign w:val="bottom"/>
          </w:tcPr>
          <w:p>
            <w:pPr>
              <w:spacing w:after="0"/>
              <w:rPr>
                <w:sz w:val="15"/>
                <w:szCs w:val="15"/>
                <w:color w:val="auto"/>
              </w:rPr>
            </w:pPr>
          </w:p>
        </w:tc>
        <w:tc>
          <w:tcPr>
            <w:tcW w:w="122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w w:val="95"/>
              </w:rPr>
              <w:t>S/(000)</w:t>
            </w:r>
          </w:p>
        </w:tc>
        <w:tc>
          <w:tcPr>
            <w:tcW w:w="60" w:type="dxa"/>
            <w:vAlign w:val="bottom"/>
            <w:gridSpan w:val="2"/>
          </w:tcPr>
          <w:p>
            <w:pPr>
              <w:spacing w:after="0"/>
              <w:rPr>
                <w:sz w:val="15"/>
                <w:szCs w:val="15"/>
                <w:color w:val="auto"/>
              </w:rPr>
            </w:pPr>
          </w:p>
        </w:tc>
      </w:tr>
      <w:tr>
        <w:trPr>
          <w:trHeight w:val="197"/>
        </w:trPr>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5,507,759</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5,314,531</w:t>
            </w:r>
          </w:p>
        </w:tc>
        <w:tc>
          <w:tcPr>
            <w:tcW w:w="40" w:type="dxa"/>
            <w:vAlign w:val="bottom"/>
          </w:tcPr>
          <w:p>
            <w:pPr>
              <w:spacing w:after="0"/>
              <w:rPr>
                <w:sz w:val="17"/>
                <w:szCs w:val="17"/>
                <w:color w:val="auto"/>
              </w:rPr>
            </w:pPr>
          </w:p>
        </w:tc>
      </w:tr>
      <w:tr>
        <w:trPr>
          <w:trHeight w:val="197"/>
        </w:trPr>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1,388,711</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453,285</w:t>
            </w:r>
          </w:p>
        </w:tc>
        <w:tc>
          <w:tcPr>
            <w:tcW w:w="40" w:type="dxa"/>
            <w:vAlign w:val="bottom"/>
          </w:tcPr>
          <w:p>
            <w:pPr>
              <w:spacing w:after="0"/>
              <w:rPr>
                <w:sz w:val="17"/>
                <w:szCs w:val="17"/>
                <w:color w:val="auto"/>
              </w:rPr>
            </w:pPr>
          </w:p>
        </w:tc>
      </w:tr>
      <w:tr>
        <w:trPr>
          <w:trHeight w:val="197"/>
        </w:trPr>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(519,532)</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(434,759)</w:t>
            </w:r>
          </w:p>
        </w:tc>
      </w:tr>
      <w:tr>
        <w:trPr>
          <w:trHeight w:val="221"/>
        </w:trPr>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(45,117)</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(120,772)</w:t>
            </w:r>
          </w:p>
        </w:tc>
      </w:tr>
      <w:tr>
        <w:trPr>
          <w:trHeight w:val="20"/>
        </w:trPr>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6"/>
        </w:trPr>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6,331,821</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5,212,285</w:t>
            </w:r>
          </w:p>
        </w:tc>
        <w:tc>
          <w:tcPr>
            <w:tcW w:w="40" w:type="dxa"/>
            <w:vAlign w:val="bottom"/>
          </w:tcPr>
          <w:p>
            <w:pPr>
              <w:spacing w:after="0"/>
              <w:rPr>
                <w:sz w:val="19"/>
                <w:szCs w:val="19"/>
                <w:color w:val="auto"/>
              </w:rPr>
            </w:pP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-5360035</wp:posOffset>
            </wp:positionH>
            <wp:positionV relativeFrom="paragraph">
              <wp:posOffset>-685800</wp:posOffset>
            </wp:positionV>
            <wp:extent cx="7144385" cy="1250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-5360035</wp:posOffset>
            </wp:positionH>
            <wp:positionV relativeFrom="paragraph">
              <wp:posOffset>-436245</wp:posOffset>
            </wp:positionV>
            <wp:extent cx="7144385" cy="1250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-5360035</wp:posOffset>
            </wp:positionH>
            <wp:positionV relativeFrom="paragraph">
              <wp:posOffset>-179070</wp:posOffset>
            </wp:positionV>
            <wp:extent cx="7144385" cy="163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4385" cy="16383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7722" w:space="720"/>
            <w:col w:w="2800"/>
          </w:cols>
          <w:pgMar w:left="318" w:top="839" w:right="339" w:bottom="1440" w:gutter="0" w:footer="0" w:header="0"/>
          <w:type w:val="continuous"/>
        </w:sectPr>
      </w:pPr>
    </w:p>
    <w:p>
      <w:pPr>
        <w:ind w:left="682" w:right="200" w:hanging="338"/>
        <w:spacing w:after="0" w:line="264" w:lineRule="auto"/>
        <w:tabs>
          <w:tab w:leader="none" w:pos="682"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movement in the allowance for loan losses for the three-month period ended March 31, 2020 includes the allowance for direct and indirect loans for approximately S/5,931.8 million and S/400.0 million, respectively (approximately S/5,124.0 million and S/383.8 million, respectively, as of December 31, 2019). The expected loan loss for indirect loan is included in “Other liabilities” of the interim condensed consolidated statement of financial position, Note 13(a). In Management’s opinion, the allowance for loan losses recorded as of March 31,2020 and December 31, 2019 has been established in accordance with IFRS 9 and is sufficient to cover incurred losses on the loan portfolio.</w:t>
      </w:r>
    </w:p>
    <w:p>
      <w:pPr>
        <w:spacing w:after="0" w:line="167" w:lineRule="exact"/>
        <w:rPr>
          <w:rFonts w:ascii="Arial" w:cs="Arial" w:eastAsia="Arial" w:hAnsi="Arial"/>
          <w:sz w:val="16"/>
          <w:szCs w:val="16"/>
          <w:color w:val="auto"/>
        </w:rPr>
      </w:pPr>
    </w:p>
    <w:p>
      <w:pPr>
        <w:ind w:left="302" w:hanging="302"/>
        <w:spacing w:after="0"/>
        <w:tabs>
          <w:tab w:leader="none" w:pos="302"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Interest rates on loans are set considering the rates prevailing in the markets where the Group’s subsidiaries operate.</w:t>
      </w:r>
    </w:p>
    <w:p>
      <w:pPr>
        <w:spacing w:after="0" w:line="209" w:lineRule="exact"/>
        <w:rPr>
          <w:rFonts w:ascii="Arial" w:cs="Arial" w:eastAsia="Arial" w:hAnsi="Arial"/>
          <w:sz w:val="16"/>
          <w:szCs w:val="16"/>
          <w:color w:val="auto"/>
        </w:rPr>
      </w:pPr>
    </w:p>
    <w:p>
      <w:pPr>
        <w:ind w:left="342" w:right="560" w:hanging="342"/>
        <w:spacing w:after="0" w:line="287" w:lineRule="auto"/>
        <w:tabs>
          <w:tab w:leader="none" w:pos="325"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portion of the loan portfolio is collateralized with guarantees received from customers, which mainly consist of mortgages, trust assignments, securities and industrial and mercantile pledges.</w:t>
      </w:r>
    </w:p>
    <w:p>
      <w:pPr>
        <w:spacing w:after="0" w:line="149" w:lineRule="exact"/>
        <w:rPr>
          <w:rFonts w:ascii="Arial" w:cs="Arial" w:eastAsia="Arial" w:hAnsi="Arial"/>
          <w:sz w:val="16"/>
          <w:szCs w:val="16"/>
          <w:color w:val="auto"/>
        </w:rPr>
      </w:pPr>
    </w:p>
    <w:p>
      <w:pPr>
        <w:ind w:left="302" w:right="220" w:hanging="302"/>
        <w:spacing w:after="0" w:line="287" w:lineRule="auto"/>
        <w:tabs>
          <w:tab w:leader="none" w:pos="30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following table presents the gross direct loan portfolio as of March 31, 2020 and December 31, 2019 by maturity based on the remaining period to the payment due date:</w:t>
      </w:r>
    </w:p>
    <w:p>
      <w:pPr>
        <w:spacing w:after="0" w:line="146"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40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197"/>
        </w:trPr>
        <w:tc>
          <w:tcPr>
            <w:tcW w:w="40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As of March</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2"/>
        </w:trPr>
        <w:tc>
          <w:tcPr>
            <w:tcW w:w="4080" w:type="dxa"/>
            <w:vAlign w:val="bottom"/>
          </w:tcPr>
          <w:p>
            <w:pPr>
              <w:spacing w:after="0"/>
              <w:rPr>
                <w:sz w:val="18"/>
                <w:szCs w:val="18"/>
                <w:color w:val="auto"/>
              </w:rPr>
            </w:pPr>
          </w:p>
        </w:tc>
        <w:tc>
          <w:tcPr>
            <w:tcW w:w="5600" w:type="dxa"/>
            <w:vAlign w:val="bottom"/>
            <w:gridSpan w:val="2"/>
          </w:tcPr>
          <w:p>
            <w:pPr>
              <w:jc w:val="right"/>
              <w:ind w:right="238"/>
              <w:spacing w:after="0"/>
              <w:rPr>
                <w:sz w:val="20"/>
                <w:szCs w:val="20"/>
                <w:color w:val="auto"/>
              </w:rPr>
            </w:pPr>
            <w:r>
              <w:rPr>
                <w:rFonts w:ascii="Arial" w:cs="Arial" w:eastAsia="Arial" w:hAnsi="Arial"/>
                <w:sz w:val="16"/>
                <w:szCs w:val="16"/>
                <w:b w:val="1"/>
                <w:bCs w:val="1"/>
                <w:color w:val="auto"/>
              </w:rPr>
              <w:t>31, 2020</w:t>
            </w:r>
          </w:p>
        </w:tc>
        <w:tc>
          <w:tcPr>
            <w:tcW w:w="240" w:type="dxa"/>
            <w:vAlign w:val="bottom"/>
          </w:tcPr>
          <w:p>
            <w:pPr>
              <w:spacing w:after="0"/>
              <w:rPr>
                <w:sz w:val="18"/>
                <w:szCs w:val="18"/>
                <w:color w:val="auto"/>
              </w:rPr>
            </w:pPr>
          </w:p>
        </w:tc>
        <w:tc>
          <w:tcPr>
            <w:tcW w:w="1220" w:type="dxa"/>
            <w:vAlign w:val="bottom"/>
          </w:tcPr>
          <w:p>
            <w:pPr>
              <w:jc w:val="right"/>
              <w:ind w:right="37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240" w:type="dxa"/>
            <w:vAlign w:val="bottom"/>
          </w:tcPr>
          <w:p>
            <w:pPr>
              <w:spacing w:after="0"/>
              <w:rPr>
                <w:sz w:val="16"/>
                <w:szCs w:val="16"/>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Outstanding loans -</w:t>
            </w:r>
          </w:p>
        </w:tc>
        <w:tc>
          <w:tcPr>
            <w:tcW w:w="4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80" w:type="dxa"/>
            <w:vAlign w:val="bottom"/>
          </w:tcPr>
          <w:p>
            <w:pPr>
              <w:spacing w:after="0"/>
              <w:rPr>
                <w:sz w:val="20"/>
                <w:szCs w:val="20"/>
                <w:color w:val="auto"/>
              </w:rPr>
            </w:pPr>
            <w:r>
              <w:rPr>
                <w:rFonts w:ascii="Arial" w:cs="Arial" w:eastAsia="Arial" w:hAnsi="Arial"/>
                <w:sz w:val="16"/>
                <w:szCs w:val="16"/>
                <w:color w:val="auto"/>
              </w:rPr>
              <w:t>Up to 1 year</w:t>
            </w:r>
          </w:p>
        </w:tc>
        <w:tc>
          <w:tcPr>
            <w:tcW w:w="5840" w:type="dxa"/>
            <w:vAlign w:val="bottom"/>
            <w:gridSpan w:val="3"/>
          </w:tcPr>
          <w:p>
            <w:pPr>
              <w:jc w:val="right"/>
              <w:ind w:right="240"/>
              <w:spacing w:after="0"/>
              <w:rPr>
                <w:sz w:val="20"/>
                <w:szCs w:val="20"/>
                <w:color w:val="auto"/>
              </w:rPr>
            </w:pPr>
            <w:r>
              <w:rPr>
                <w:rFonts w:ascii="Arial" w:cs="Arial" w:eastAsia="Arial" w:hAnsi="Arial"/>
                <w:sz w:val="16"/>
                <w:szCs w:val="16"/>
                <w:color w:val="auto"/>
              </w:rPr>
              <w:t>55,562,538</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53,306,936</w:t>
            </w:r>
          </w:p>
        </w:tc>
        <w:tc>
          <w:tcPr>
            <w:tcW w:w="0" w:type="dxa"/>
            <w:vAlign w:val="bottom"/>
          </w:tcPr>
          <w:p>
            <w:pPr>
              <w:spacing w:after="0"/>
              <w:rPr>
                <w:sz w:val="1"/>
                <w:szCs w:val="1"/>
                <w:color w:val="auto"/>
              </w:rPr>
            </w:pPr>
          </w:p>
        </w:tc>
      </w:tr>
      <w:tr>
        <w:trPr>
          <w:trHeight w:val="197"/>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From 1 to 3 years</w:t>
            </w:r>
          </w:p>
        </w:tc>
        <w:tc>
          <w:tcPr>
            <w:tcW w:w="58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25,639,567</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24,586,441</w:t>
            </w:r>
          </w:p>
        </w:tc>
        <w:tc>
          <w:tcPr>
            <w:tcW w:w="0" w:type="dxa"/>
            <w:vAlign w:val="bottom"/>
          </w:tcPr>
          <w:p>
            <w:pPr>
              <w:spacing w:after="0"/>
              <w:rPr>
                <w:sz w:val="1"/>
                <w:szCs w:val="1"/>
                <w:color w:val="auto"/>
              </w:rPr>
            </w:pPr>
          </w:p>
        </w:tc>
      </w:tr>
      <w:tr>
        <w:trPr>
          <w:trHeight w:val="197"/>
        </w:trPr>
        <w:tc>
          <w:tcPr>
            <w:tcW w:w="4080" w:type="dxa"/>
            <w:vAlign w:val="bottom"/>
          </w:tcPr>
          <w:p>
            <w:pPr>
              <w:spacing w:after="0"/>
              <w:rPr>
                <w:sz w:val="20"/>
                <w:szCs w:val="20"/>
                <w:color w:val="auto"/>
              </w:rPr>
            </w:pPr>
            <w:r>
              <w:rPr>
                <w:rFonts w:ascii="Arial" w:cs="Arial" w:eastAsia="Arial" w:hAnsi="Arial"/>
                <w:sz w:val="16"/>
                <w:szCs w:val="16"/>
                <w:color w:val="auto"/>
              </w:rPr>
              <w:t>From 3 to 5 years</w:t>
            </w:r>
          </w:p>
        </w:tc>
        <w:tc>
          <w:tcPr>
            <w:tcW w:w="5840" w:type="dxa"/>
            <w:vAlign w:val="bottom"/>
            <w:gridSpan w:val="3"/>
          </w:tcPr>
          <w:p>
            <w:pPr>
              <w:jc w:val="right"/>
              <w:ind w:right="240"/>
              <w:spacing w:after="0"/>
              <w:rPr>
                <w:sz w:val="20"/>
                <w:szCs w:val="20"/>
                <w:color w:val="auto"/>
              </w:rPr>
            </w:pPr>
            <w:r>
              <w:rPr>
                <w:rFonts w:ascii="Arial" w:cs="Arial" w:eastAsia="Arial" w:hAnsi="Arial"/>
                <w:sz w:val="16"/>
                <w:szCs w:val="16"/>
                <w:color w:val="auto"/>
              </w:rPr>
              <w:t>10,194,090</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9,615,514</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More than 5 years</w:t>
            </w:r>
          </w:p>
        </w:tc>
        <w:tc>
          <w:tcPr>
            <w:tcW w:w="58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24,889,600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23,994,181</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116,285,795</w:t>
            </w:r>
          </w:p>
        </w:tc>
        <w:tc>
          <w:tcPr>
            <w:tcW w:w="24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111,503,072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Internal overdue loans -</w:t>
            </w:r>
          </w:p>
        </w:tc>
        <w:tc>
          <w:tcPr>
            <w:tcW w:w="4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80" w:type="dxa"/>
            <w:vAlign w:val="bottom"/>
          </w:tcPr>
          <w:p>
            <w:pPr>
              <w:spacing w:after="0"/>
              <w:rPr>
                <w:sz w:val="20"/>
                <w:szCs w:val="20"/>
                <w:color w:val="auto"/>
              </w:rPr>
            </w:pPr>
            <w:r>
              <w:rPr>
                <w:rFonts w:ascii="Arial" w:cs="Arial" w:eastAsia="Arial" w:hAnsi="Arial"/>
                <w:sz w:val="16"/>
                <w:szCs w:val="16"/>
                <w:color w:val="auto"/>
              </w:rPr>
              <w:t>Overdue 90 days</w:t>
            </w:r>
          </w:p>
        </w:tc>
        <w:tc>
          <w:tcPr>
            <w:tcW w:w="5840" w:type="dxa"/>
            <w:vAlign w:val="bottom"/>
            <w:gridSpan w:val="3"/>
          </w:tcPr>
          <w:p>
            <w:pPr>
              <w:jc w:val="right"/>
              <w:ind w:right="240"/>
              <w:spacing w:after="0"/>
              <w:rPr>
                <w:sz w:val="20"/>
                <w:szCs w:val="20"/>
                <w:color w:val="auto"/>
              </w:rPr>
            </w:pPr>
            <w:r>
              <w:rPr>
                <w:rFonts w:ascii="Arial" w:cs="Arial" w:eastAsia="Arial" w:hAnsi="Arial"/>
                <w:sz w:val="16"/>
                <w:szCs w:val="16"/>
                <w:color w:val="auto"/>
              </w:rPr>
              <w:t>861,596</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692,161</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Over 90 days</w:t>
            </w:r>
          </w:p>
        </w:tc>
        <w:tc>
          <w:tcPr>
            <w:tcW w:w="58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2,725,198</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2,612,725</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3,586,794</w:t>
            </w:r>
          </w:p>
        </w:tc>
        <w:tc>
          <w:tcPr>
            <w:tcW w:w="24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3,304,886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5840" w:type="dxa"/>
            <w:vAlign w:val="bottom"/>
            <w:gridSpan w:val="3"/>
          </w:tcPr>
          <w:p>
            <w:pPr>
              <w:jc w:val="right"/>
              <w:ind w:right="240"/>
              <w:spacing w:after="0"/>
              <w:rPr>
                <w:sz w:val="20"/>
                <w:szCs w:val="20"/>
                <w:color w:val="auto"/>
              </w:rPr>
            </w:pPr>
            <w:r>
              <w:rPr>
                <w:rFonts w:ascii="Arial" w:cs="Arial" w:eastAsia="Arial" w:hAnsi="Arial"/>
                <w:sz w:val="16"/>
                <w:szCs w:val="16"/>
                <w:color w:val="auto"/>
              </w:rPr>
              <w:t>119,872,589</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114,807,958</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300"/>
              <w:spacing w:after="0"/>
              <w:rPr>
                <w:sz w:val="20"/>
                <w:szCs w:val="20"/>
                <w:color w:val="auto"/>
              </w:rPr>
            </w:pPr>
            <w:r>
              <w:rPr>
                <w:rFonts w:ascii="Arial" w:cs="Arial" w:eastAsia="Arial" w:hAnsi="Arial"/>
                <w:sz w:val="16"/>
                <w:szCs w:val="16"/>
                <w:color w:val="auto"/>
              </w:rPr>
              <w:t>See credit risk analysis in Note 34.1.</w:t>
            </w:r>
          </w:p>
        </w:tc>
        <w:tc>
          <w:tcPr>
            <w:tcW w:w="43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080" w:type="dxa"/>
            <w:vAlign w:val="bottom"/>
            <w:vMerge w:val="continue"/>
          </w:tcPr>
          <w:p>
            <w:pPr>
              <w:spacing w:after="0"/>
              <w:rPr>
                <w:sz w:val="24"/>
                <w:szCs w:val="24"/>
                <w:color w:val="auto"/>
              </w:rPr>
            </w:pPr>
          </w:p>
        </w:tc>
        <w:tc>
          <w:tcPr>
            <w:tcW w:w="4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0"/>
        </w:trPr>
        <w:tc>
          <w:tcPr>
            <w:tcW w:w="40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right"/>
              <w:ind w:right="2558"/>
              <w:spacing w:after="0"/>
              <w:rPr>
                <w:sz w:val="20"/>
                <w:szCs w:val="20"/>
                <w:color w:val="auto"/>
              </w:rPr>
            </w:pPr>
            <w:r>
              <w:rPr>
                <w:rFonts w:ascii="Arial" w:cs="Arial" w:eastAsia="Arial" w:hAnsi="Arial"/>
                <w:sz w:val="16"/>
                <w:szCs w:val="16"/>
                <w:color w:val="auto"/>
              </w:rPr>
              <w:t>-34-</w:t>
            </w: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2"/>
          </w:cols>
          <w:pgMar w:left="318" w:top="839" w:right="339" w:bottom="1440" w:gutter="0" w:footer="0" w:header="0"/>
          <w:type w:val="continuous"/>
        </w:sectPr>
      </w:pPr>
    </w:p>
    <w:bookmarkStart w:id="40" w:name="page41"/>
    <w:bookmarkEnd w:id="40"/>
    <w:p>
      <w:pPr>
        <w:ind w:left="582" w:hanging="582"/>
        <w:spacing w:after="0"/>
        <w:tabs>
          <w:tab w:leader="none" w:pos="582"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ASSETS DESIGNATED AT FAIR VALUE THROUGH PROFIT OR LOSS</w:t>
      </w:r>
    </w:p>
    <w:p>
      <w:pPr>
        <w:spacing w:after="0" w:line="213" w:lineRule="exact"/>
        <w:rPr>
          <w:sz w:val="20"/>
          <w:szCs w:val="20"/>
          <w:color w:val="auto"/>
        </w:rPr>
      </w:pPr>
    </w:p>
    <w:p>
      <w:pPr>
        <w:ind w:left="1182" w:right="140"/>
        <w:spacing w:after="0" w:line="271" w:lineRule="auto"/>
        <w:rPr>
          <w:sz w:val="20"/>
          <w:szCs w:val="20"/>
          <w:color w:val="auto"/>
        </w:rPr>
      </w:pPr>
      <w:r>
        <w:rPr>
          <w:rFonts w:ascii="Arial" w:cs="Arial" w:eastAsia="Arial" w:hAnsi="Arial"/>
          <w:sz w:val="16"/>
          <w:szCs w:val="16"/>
          <w:color w:val="auto"/>
        </w:rPr>
        <w:t>The Group issues Investment Link life insurance contracts whereby the policyholder takes the investment risk on the assets held in the Investment Link funds as the policy benefits are directly linked to the value of the assets in the fund. The Group’s exposure to market risk is limited to the extent that income arising from asset management charges is based on the value of assets in the fund.</w:t>
      </w:r>
    </w:p>
    <w:p>
      <w:pPr>
        <w:spacing w:after="0" w:line="163" w:lineRule="exact"/>
        <w:rPr>
          <w:sz w:val="20"/>
          <w:szCs w:val="20"/>
          <w:color w:val="auto"/>
        </w:rPr>
      </w:pPr>
    </w:p>
    <w:p>
      <w:pPr>
        <w:ind w:left="1182"/>
        <w:spacing w:after="0" w:line="287" w:lineRule="auto"/>
        <w:rPr>
          <w:sz w:val="20"/>
          <w:szCs w:val="20"/>
          <w:color w:val="auto"/>
        </w:rPr>
      </w:pPr>
      <w:r>
        <w:rPr>
          <w:rFonts w:ascii="Arial" w:cs="Arial" w:eastAsia="Arial" w:hAnsi="Arial"/>
          <w:sz w:val="16"/>
          <w:szCs w:val="16"/>
          <w:color w:val="auto"/>
        </w:rPr>
        <w:t>The profit resulting from these assets is shown in “Net premiums earned” in the interim condensed consolidated statement of income. The composition of the generated returns is presented below:</w:t>
      </w:r>
    </w:p>
    <w:p>
      <w:pPr>
        <w:spacing w:after="0" w:line="146" w:lineRule="exact"/>
        <w:rPr>
          <w:sz w:val="20"/>
          <w:szCs w:val="20"/>
          <w:color w:val="auto"/>
        </w:rPr>
      </w:pPr>
    </w:p>
    <w:tbl>
      <w:tblPr>
        <w:tblLayout w:type="fixed"/>
        <w:tblInd w:w="1182" w:type="dxa"/>
        <w:tblCellMar>
          <w:top w:w="0" w:type="dxa"/>
          <w:left w:w="0" w:type="dxa"/>
          <w:bottom w:w="0" w:type="dxa"/>
          <w:right w:w="0" w:type="dxa"/>
        </w:tblCellMar>
      </w:tblPr>
      <w:tr>
        <w:trPr>
          <w:trHeight w:val="197"/>
        </w:trPr>
        <w:tc>
          <w:tcPr>
            <w:tcW w:w="5040" w:type="dxa"/>
            <w:vAlign w:val="bottom"/>
          </w:tcPr>
          <w:p>
            <w:pPr>
              <w:spacing w:after="0"/>
              <w:rPr>
                <w:sz w:val="17"/>
                <w:szCs w:val="17"/>
                <w:color w:val="auto"/>
              </w:rPr>
            </w:pPr>
          </w:p>
        </w:tc>
        <w:tc>
          <w:tcPr>
            <w:tcW w:w="4960" w:type="dxa"/>
            <w:vAlign w:val="bottom"/>
            <w:gridSpan w:val="6"/>
          </w:tcPr>
          <w:p>
            <w:pPr>
              <w:ind w:left="2180"/>
              <w:spacing w:after="0"/>
              <w:rPr>
                <w:sz w:val="20"/>
                <w:szCs w:val="20"/>
                <w:color w:val="auto"/>
              </w:rPr>
            </w:pPr>
            <w:r>
              <w:rPr>
                <w:rFonts w:ascii="Arial" w:cs="Arial" w:eastAsia="Arial" w:hAnsi="Arial"/>
                <w:sz w:val="16"/>
                <w:szCs w:val="16"/>
                <w:b w:val="1"/>
                <w:bCs w:val="1"/>
                <w:color w:val="auto"/>
                <w:w w:val="98"/>
              </w:rPr>
              <w:t>As of March 31,   As of December 31,</w:t>
            </w:r>
          </w:p>
        </w:tc>
      </w:tr>
      <w:tr>
        <w:trPr>
          <w:trHeight w:val="212"/>
        </w:trPr>
        <w:tc>
          <w:tcPr>
            <w:tcW w:w="5040" w:type="dxa"/>
            <w:vAlign w:val="bottom"/>
          </w:tcPr>
          <w:p>
            <w:pPr>
              <w:spacing w:after="0"/>
              <w:rPr>
                <w:sz w:val="18"/>
                <w:szCs w:val="18"/>
                <w:color w:val="auto"/>
              </w:rPr>
            </w:pPr>
          </w:p>
        </w:tc>
        <w:tc>
          <w:tcPr>
            <w:tcW w:w="3280" w:type="dxa"/>
            <w:vAlign w:val="bottom"/>
            <w:gridSpan w:val="2"/>
          </w:tcPr>
          <w:p>
            <w:pPr>
              <w:jc w:val="right"/>
              <w:ind w:right="298"/>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400" w:type="dxa"/>
            <w:vAlign w:val="bottom"/>
          </w:tcPr>
          <w:p>
            <w:pPr>
              <w:jc w:val="right"/>
              <w:ind w:right="458"/>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0"/>
        </w:trPr>
        <w:tc>
          <w:tcPr>
            <w:tcW w:w="50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6"/>
                <w:szCs w:val="16"/>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80" w:type="dxa"/>
            <w:vAlign w:val="bottom"/>
            <w:gridSpan w:val="2"/>
          </w:tcPr>
          <w:p>
            <w:pPr>
              <w:spacing w:after="0"/>
              <w:rPr>
                <w:sz w:val="16"/>
                <w:szCs w:val="16"/>
                <w:color w:val="auto"/>
              </w:rPr>
            </w:pPr>
          </w:p>
        </w:tc>
      </w:tr>
      <w:tr>
        <w:trPr>
          <w:trHeight w:val="197"/>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Net profit on sale of financial investments</w:t>
            </w:r>
          </w:p>
        </w:tc>
        <w:tc>
          <w:tcPr>
            <w:tcW w:w="3480" w:type="dxa"/>
            <w:vAlign w:val="bottom"/>
            <w:gridSpan w:val="3"/>
            <w:shd w:val="clear" w:color="auto" w:fill="CCEEFF"/>
          </w:tcPr>
          <w:p>
            <w:pPr>
              <w:jc w:val="right"/>
              <w:ind w:right="118"/>
              <w:spacing w:after="0"/>
              <w:rPr>
                <w:sz w:val="20"/>
                <w:szCs w:val="20"/>
                <w:color w:val="auto"/>
              </w:rPr>
            </w:pPr>
            <w:r>
              <w:rPr>
                <w:rFonts w:ascii="Arial" w:cs="Arial" w:eastAsia="Arial" w:hAnsi="Arial"/>
                <w:sz w:val="16"/>
                <w:szCs w:val="16"/>
                <w:color w:val="auto"/>
              </w:rPr>
              <w:t>10,560</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21,879</w:t>
            </w:r>
          </w:p>
        </w:tc>
        <w:tc>
          <w:tcPr>
            <w:tcW w:w="60" w:type="dxa"/>
            <w:vAlign w:val="bottom"/>
            <w:shd w:val="clear" w:color="auto" w:fill="CCEEFF"/>
          </w:tcPr>
          <w:p>
            <w:pPr>
              <w:spacing w:after="0"/>
              <w:rPr>
                <w:sz w:val="17"/>
                <w:szCs w:val="17"/>
                <w:color w:val="auto"/>
              </w:rPr>
            </w:pPr>
          </w:p>
        </w:tc>
      </w:tr>
      <w:tr>
        <w:trPr>
          <w:trHeight w:val="197"/>
        </w:trPr>
        <w:tc>
          <w:tcPr>
            <w:tcW w:w="5040" w:type="dxa"/>
            <w:vAlign w:val="bottom"/>
          </w:tcPr>
          <w:p>
            <w:pPr>
              <w:spacing w:after="0"/>
              <w:rPr>
                <w:sz w:val="20"/>
                <w:szCs w:val="20"/>
                <w:color w:val="auto"/>
              </w:rPr>
            </w:pPr>
            <w:r>
              <w:rPr>
                <w:rFonts w:ascii="Arial" w:cs="Arial" w:eastAsia="Arial" w:hAnsi="Arial"/>
                <w:sz w:val="16"/>
                <w:szCs w:val="16"/>
                <w:color w:val="auto"/>
              </w:rPr>
              <w:t>Changes in the fair value of financial assets</w:t>
            </w:r>
          </w:p>
        </w:tc>
        <w:tc>
          <w:tcPr>
            <w:tcW w:w="3480" w:type="dxa"/>
            <w:vAlign w:val="bottom"/>
            <w:gridSpan w:val="3"/>
          </w:tcPr>
          <w:p>
            <w:pPr>
              <w:jc w:val="right"/>
              <w:ind w:right="58"/>
              <w:spacing w:after="0"/>
              <w:rPr>
                <w:sz w:val="20"/>
                <w:szCs w:val="20"/>
                <w:color w:val="auto"/>
              </w:rPr>
            </w:pPr>
            <w:r>
              <w:rPr>
                <w:rFonts w:ascii="Arial" w:cs="Arial" w:eastAsia="Arial" w:hAnsi="Arial"/>
                <w:sz w:val="16"/>
                <w:szCs w:val="16"/>
                <w:color w:val="auto"/>
              </w:rPr>
              <w:t>(110,691)</w:t>
            </w: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58,351</w:t>
            </w:r>
          </w:p>
        </w:tc>
        <w:tc>
          <w:tcPr>
            <w:tcW w:w="60" w:type="dxa"/>
            <w:vAlign w:val="bottom"/>
          </w:tcPr>
          <w:p>
            <w:pPr>
              <w:spacing w:after="0"/>
              <w:rPr>
                <w:sz w:val="17"/>
                <w:szCs w:val="17"/>
                <w:color w:val="auto"/>
              </w:rPr>
            </w:pPr>
          </w:p>
        </w:tc>
      </w:tr>
      <w:tr>
        <w:trPr>
          <w:trHeight w:val="20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Dividends, interests and others</w:t>
            </w:r>
          </w:p>
        </w:tc>
        <w:tc>
          <w:tcPr>
            <w:tcW w:w="3480" w:type="dxa"/>
            <w:vAlign w:val="bottom"/>
            <w:gridSpan w:val="3"/>
            <w:shd w:val="clear" w:color="auto" w:fill="CCEEFF"/>
          </w:tcPr>
          <w:p>
            <w:pPr>
              <w:jc w:val="right"/>
              <w:ind w:right="118"/>
              <w:spacing w:after="0"/>
              <w:rPr>
                <w:sz w:val="20"/>
                <w:szCs w:val="20"/>
                <w:color w:val="auto"/>
              </w:rPr>
            </w:pPr>
            <w:r>
              <w:rPr>
                <w:rFonts w:ascii="Arial" w:cs="Arial" w:eastAsia="Arial" w:hAnsi="Arial"/>
                <w:sz w:val="16"/>
                <w:szCs w:val="16"/>
                <w:color w:val="auto"/>
              </w:rPr>
              <w:t>1,888</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13,434</w:t>
            </w:r>
          </w:p>
        </w:tc>
        <w:tc>
          <w:tcPr>
            <w:tcW w:w="60" w:type="dxa"/>
            <w:vAlign w:val="bottom"/>
            <w:shd w:val="clear" w:color="auto" w:fill="CCEEFF"/>
          </w:tcPr>
          <w:p>
            <w:pPr>
              <w:spacing w:after="0"/>
              <w:rPr>
                <w:sz w:val="18"/>
                <w:szCs w:val="18"/>
                <w:color w:val="auto"/>
              </w:rPr>
            </w:pPr>
          </w:p>
        </w:tc>
      </w:tr>
      <w:tr>
        <w:trPr>
          <w:trHeight w:val="201"/>
        </w:trPr>
        <w:tc>
          <w:tcPr>
            <w:tcW w:w="50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18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(98,243</w:t>
            </w:r>
          </w:p>
        </w:tc>
        <w:tc>
          <w:tcPr>
            <w:tcW w:w="200" w:type="dxa"/>
            <w:vAlign w:val="bottom"/>
          </w:tcPr>
          <w:p>
            <w:pPr>
              <w:jc w:val="right"/>
              <w:ind w:right="58"/>
              <w:spacing w:after="0"/>
              <w:rPr>
                <w:sz w:val="20"/>
                <w:szCs w:val="20"/>
                <w:color w:val="auto"/>
              </w:rPr>
            </w:pPr>
            <w:r>
              <w:rPr>
                <w:rFonts w:ascii="Arial" w:cs="Arial" w:eastAsia="Arial" w:hAnsi="Arial"/>
                <w:sz w:val="16"/>
                <w:szCs w:val="16"/>
                <w:color w:val="auto"/>
                <w:w w:val="7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93,664</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184" w:lineRule="exact"/>
        <w:rPr>
          <w:sz w:val="20"/>
          <w:szCs w:val="20"/>
          <w:color w:val="auto"/>
        </w:rPr>
      </w:pPr>
    </w:p>
    <w:p>
      <w:pPr>
        <w:jc w:val="both"/>
        <w:ind w:left="1182" w:right="60"/>
        <w:spacing w:after="0" w:line="287" w:lineRule="auto"/>
        <w:rPr>
          <w:sz w:val="20"/>
          <w:szCs w:val="20"/>
          <w:color w:val="auto"/>
        </w:rPr>
      </w:pPr>
      <w:r>
        <w:rPr>
          <w:rFonts w:ascii="Arial" w:cs="Arial" w:eastAsia="Arial" w:hAnsi="Arial"/>
          <w:sz w:val="16"/>
          <w:szCs w:val="16"/>
          <w:color w:val="auto"/>
        </w:rPr>
        <w:t>The variation in the result of these assets is a consequence of COVID-19, which generated that the financial markets as of March 31, 2020 experienced a drop of close to 20 percent compared to the period 2019.</w:t>
      </w:r>
    </w:p>
    <w:p>
      <w:pPr>
        <w:spacing w:after="0" w:line="150" w:lineRule="exact"/>
        <w:rPr>
          <w:sz w:val="20"/>
          <w:szCs w:val="20"/>
          <w:color w:val="auto"/>
        </w:rPr>
      </w:pPr>
    </w:p>
    <w:p>
      <w:pPr>
        <w:ind w:left="1182" w:right="120"/>
        <w:spacing w:after="0" w:line="287" w:lineRule="auto"/>
        <w:rPr>
          <w:sz w:val="20"/>
          <w:szCs w:val="20"/>
          <w:color w:val="auto"/>
        </w:rPr>
      </w:pPr>
      <w:r>
        <w:rPr>
          <w:rFonts w:ascii="Arial" w:cs="Arial" w:eastAsia="Arial" w:hAnsi="Arial"/>
          <w:sz w:val="16"/>
          <w:szCs w:val="16"/>
          <w:color w:val="auto"/>
        </w:rPr>
        <w:t>At the date of this report, there has been a recovery of the global indices, and what Credicorp seeks is to control the volatility of the portfolio in order to minimize the losses of our clients in these difficult times.</w:t>
      </w:r>
    </w:p>
    <w:p>
      <w:pPr>
        <w:spacing w:after="0" w:line="150" w:lineRule="exact"/>
        <w:rPr>
          <w:sz w:val="20"/>
          <w:szCs w:val="20"/>
          <w:color w:val="auto"/>
        </w:rPr>
      </w:pPr>
    </w:p>
    <w:p>
      <w:pPr>
        <w:ind w:left="1182" w:right="280"/>
        <w:spacing w:after="0" w:line="287" w:lineRule="auto"/>
        <w:rPr>
          <w:sz w:val="20"/>
          <w:szCs w:val="20"/>
          <w:color w:val="auto"/>
        </w:rPr>
      </w:pPr>
      <w:r>
        <w:rPr>
          <w:rFonts w:ascii="Arial" w:cs="Arial" w:eastAsia="Arial" w:hAnsi="Arial"/>
          <w:sz w:val="16"/>
          <w:szCs w:val="16"/>
          <w:color w:val="auto"/>
        </w:rPr>
        <w:t>The offsetting of this effect is included in the technical reserve adjustment, which is part of the item “Net premiums earned” of the interim condensed consolidated statement of income, see Note 25.</w:t>
      </w:r>
    </w:p>
    <w:p>
      <w:pPr>
        <w:spacing w:after="0" w:line="34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1057" w:right="339" w:bottom="1440" w:gutter="0" w:footer="0" w:header="0"/>
        </w:sectPr>
      </w:pPr>
    </w:p>
    <w:bookmarkStart w:id="41" w:name="page42"/>
    <w:bookmarkEnd w:id="41"/>
    <w:p>
      <w:pPr>
        <w:ind w:left="582" w:hanging="582"/>
        <w:spacing w:after="0"/>
        <w:tabs>
          <w:tab w:leader="none" w:pos="582"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ACCOUNTS RECEIVABLE AND PAYABLE FROM INSURANCE CONTRACTS</w:t>
      </w:r>
    </w:p>
    <w:p>
      <w:pPr>
        <w:spacing w:after="0" w:line="213" w:lineRule="exact"/>
        <w:rPr>
          <w:rFonts w:ascii="Arial" w:cs="Arial" w:eastAsia="Arial" w:hAnsi="Arial"/>
          <w:sz w:val="16"/>
          <w:szCs w:val="16"/>
          <w:b w:val="1"/>
          <w:bCs w:val="1"/>
          <w:color w:val="auto"/>
        </w:rPr>
      </w:pPr>
    </w:p>
    <w:p>
      <w:pPr>
        <w:ind w:left="1182" w:right="40" w:hanging="297"/>
        <w:spacing w:after="0" w:line="271" w:lineRule="auto"/>
        <w:tabs>
          <w:tab w:leader="none" w:pos="1182" w:val="left"/>
        </w:tabs>
        <w:numPr>
          <w:ilvl w:val="1"/>
          <w:numId w:val="38"/>
        </w:numPr>
        <w:rPr>
          <w:rFonts w:ascii="Arial" w:cs="Arial" w:eastAsia="Arial" w:hAnsi="Arial"/>
          <w:sz w:val="16"/>
          <w:szCs w:val="16"/>
          <w:color w:val="auto"/>
        </w:rPr>
      </w:pPr>
      <w:r>
        <w:rPr>
          <w:rFonts w:ascii="Arial" w:cs="Arial" w:eastAsia="Arial" w:hAnsi="Arial"/>
          <w:sz w:val="16"/>
          <w:szCs w:val="16"/>
          <w:color w:val="auto"/>
        </w:rPr>
        <w:t>As of March 31, 2020 and December 31, 2019, “Premiums and other policies receivable” in the interim condensed consolidated statement of financial position includes balances for approximately S/822.7 million and S/838.7 million, respectively, which are primarily of current maturity, have no specific collateral and present no material past due balances.</w:t>
      </w:r>
    </w:p>
    <w:p>
      <w:pPr>
        <w:spacing w:after="0" w:line="162" w:lineRule="exact"/>
        <w:rPr>
          <w:rFonts w:ascii="Arial" w:cs="Arial" w:eastAsia="Arial" w:hAnsi="Arial"/>
          <w:sz w:val="16"/>
          <w:szCs w:val="16"/>
          <w:color w:val="auto"/>
        </w:rPr>
      </w:pPr>
    </w:p>
    <w:p>
      <w:pPr>
        <w:ind w:left="1182" w:hanging="297"/>
        <w:spacing w:after="0"/>
        <w:tabs>
          <w:tab w:leader="none" w:pos="1182"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movements of the captions “Accounts receivable and payable to reinsurers and coinsurers” are as follows:</w:t>
      </w:r>
    </w:p>
    <w:p>
      <w:pPr>
        <w:spacing w:after="0" w:line="205" w:lineRule="exact"/>
        <w:rPr>
          <w:rFonts w:ascii="Arial" w:cs="Arial" w:eastAsia="Arial" w:hAnsi="Arial"/>
          <w:sz w:val="16"/>
          <w:szCs w:val="16"/>
          <w:color w:val="auto"/>
        </w:rPr>
      </w:pPr>
    </w:p>
    <w:p>
      <w:pPr>
        <w:ind w:left="1182"/>
        <w:spacing w:after="0"/>
        <w:rPr>
          <w:rFonts w:ascii="Arial" w:cs="Arial" w:eastAsia="Arial" w:hAnsi="Arial"/>
          <w:sz w:val="16"/>
          <w:szCs w:val="16"/>
          <w:color w:val="auto"/>
        </w:rPr>
      </w:pPr>
      <w:r>
        <w:rPr>
          <w:rFonts w:ascii="Arial" w:cs="Arial" w:eastAsia="Arial" w:hAnsi="Arial"/>
          <w:sz w:val="16"/>
          <w:szCs w:val="16"/>
          <w:b w:val="1"/>
          <w:bCs w:val="1"/>
          <w:color w:val="auto"/>
        </w:rPr>
        <w:t>Accounts receivable:</w:t>
      </w:r>
    </w:p>
    <w:p>
      <w:pPr>
        <w:spacing w:after="0" w:line="209" w:lineRule="exact"/>
        <w:rPr>
          <w:sz w:val="20"/>
          <w:szCs w:val="20"/>
          <w:color w:val="auto"/>
        </w:rPr>
      </w:pPr>
    </w:p>
    <w:tbl>
      <w:tblPr>
        <w:tblLayout w:type="fixed"/>
        <w:tblInd w:w="1182" w:type="dxa"/>
        <w:tblCellMar>
          <w:top w:w="0" w:type="dxa"/>
          <w:left w:w="0" w:type="dxa"/>
          <w:bottom w:w="0" w:type="dxa"/>
          <w:right w:w="0" w:type="dxa"/>
        </w:tblCellMar>
      </w:tblPr>
      <w:tr>
        <w:trPr>
          <w:trHeight w:val="197"/>
        </w:trPr>
        <w:tc>
          <w:tcPr>
            <w:tcW w:w="5600" w:type="dxa"/>
            <w:vAlign w:val="bottom"/>
          </w:tcPr>
          <w:p>
            <w:pPr>
              <w:spacing w:after="0"/>
              <w:rPr>
                <w:sz w:val="17"/>
                <w:szCs w:val="17"/>
                <w:color w:val="auto"/>
              </w:rPr>
            </w:pPr>
          </w:p>
        </w:tc>
        <w:tc>
          <w:tcPr>
            <w:tcW w:w="4400" w:type="dxa"/>
            <w:vAlign w:val="bottom"/>
            <w:gridSpan w:val="7"/>
          </w:tcPr>
          <w:p>
            <w:pPr>
              <w:jc w:val="right"/>
              <w:ind w:right="80"/>
              <w:spacing w:after="0"/>
              <w:rPr>
                <w:sz w:val="20"/>
                <w:szCs w:val="20"/>
                <w:color w:val="auto"/>
              </w:rPr>
            </w:pPr>
            <w:r>
              <w:rPr>
                <w:rFonts w:ascii="Arial" w:cs="Arial" w:eastAsia="Arial" w:hAnsi="Arial"/>
                <w:sz w:val="16"/>
                <w:szCs w:val="16"/>
                <w:b w:val="1"/>
                <w:bCs w:val="1"/>
                <w:color w:val="auto"/>
              </w:rPr>
              <w:t>As of March 31,  As of December 31,</w:t>
            </w:r>
          </w:p>
        </w:tc>
      </w:tr>
      <w:tr>
        <w:trPr>
          <w:trHeight w:val="212"/>
        </w:trPr>
        <w:tc>
          <w:tcPr>
            <w:tcW w:w="5600" w:type="dxa"/>
            <w:vAlign w:val="bottom"/>
          </w:tcPr>
          <w:p>
            <w:pPr>
              <w:spacing w:after="0"/>
              <w:rPr>
                <w:sz w:val="18"/>
                <w:szCs w:val="18"/>
                <w:color w:val="auto"/>
              </w:rPr>
            </w:pPr>
          </w:p>
        </w:tc>
        <w:tc>
          <w:tcPr>
            <w:tcW w:w="2760" w:type="dxa"/>
            <w:vAlign w:val="bottom"/>
            <w:gridSpan w:val="3"/>
          </w:tcPr>
          <w:p>
            <w:pPr>
              <w:jc w:val="right"/>
              <w:ind w:right="298"/>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438"/>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r>
      <w:tr>
        <w:trPr>
          <w:trHeight w:val="190"/>
        </w:trPr>
        <w:tc>
          <w:tcPr>
            <w:tcW w:w="56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6"/>
                <w:szCs w:val="16"/>
                <w:color w:val="auto"/>
              </w:rPr>
            </w:pPr>
          </w:p>
        </w:tc>
      </w:tr>
      <w:tr>
        <w:trPr>
          <w:trHeight w:val="197"/>
        </w:trPr>
        <w:tc>
          <w:tcPr>
            <w:tcW w:w="5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as of January 1</w:t>
            </w:r>
          </w:p>
        </w:tc>
        <w:tc>
          <w:tcPr>
            <w:tcW w:w="296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791,704</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842,043</w:t>
            </w:r>
          </w:p>
        </w:tc>
      </w:tr>
      <w:tr>
        <w:trPr>
          <w:trHeight w:val="197"/>
        </w:trPr>
        <w:tc>
          <w:tcPr>
            <w:tcW w:w="5600" w:type="dxa"/>
            <w:vAlign w:val="bottom"/>
          </w:tcPr>
          <w:p>
            <w:pPr>
              <w:spacing w:after="0"/>
              <w:rPr>
                <w:sz w:val="20"/>
                <w:szCs w:val="20"/>
                <w:color w:val="auto"/>
              </w:rPr>
            </w:pPr>
            <w:r>
              <w:rPr>
                <w:rFonts w:ascii="Arial" w:cs="Arial" w:eastAsia="Arial" w:hAnsi="Arial"/>
                <w:sz w:val="16"/>
                <w:szCs w:val="16"/>
                <w:color w:val="auto"/>
              </w:rPr>
              <w:t>Reported claims of premiums ceded, Note 26</w:t>
            </w:r>
          </w:p>
        </w:tc>
        <w:tc>
          <w:tcPr>
            <w:tcW w:w="2960" w:type="dxa"/>
            <w:vAlign w:val="bottom"/>
            <w:gridSpan w:val="4"/>
          </w:tcPr>
          <w:p>
            <w:pPr>
              <w:jc w:val="right"/>
              <w:ind w:right="200"/>
              <w:spacing w:after="0"/>
              <w:rPr>
                <w:sz w:val="20"/>
                <w:szCs w:val="20"/>
                <w:color w:val="auto"/>
              </w:rPr>
            </w:pPr>
            <w:r>
              <w:rPr>
                <w:rFonts w:ascii="Arial" w:cs="Arial" w:eastAsia="Arial" w:hAnsi="Arial"/>
                <w:sz w:val="16"/>
                <w:szCs w:val="16"/>
                <w:color w:val="auto"/>
              </w:rPr>
              <w:t>42,407</w:t>
            </w:r>
          </w:p>
        </w:tc>
        <w:tc>
          <w:tcPr>
            <w:tcW w:w="12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321,375</w:t>
            </w:r>
          </w:p>
        </w:tc>
      </w:tr>
      <w:tr>
        <w:trPr>
          <w:trHeight w:val="197"/>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Reserve risk in progress of premiums ceded, Note 25(a)(**)</w:t>
            </w:r>
          </w:p>
        </w:tc>
        <w:tc>
          <w:tcPr>
            <w:tcW w:w="296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(35,618)</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(14,935)</w:t>
            </w:r>
          </w:p>
        </w:tc>
      </w:tr>
      <w:tr>
        <w:trPr>
          <w:trHeight w:val="197"/>
        </w:trPr>
        <w:tc>
          <w:tcPr>
            <w:tcW w:w="5600" w:type="dxa"/>
            <w:vAlign w:val="bottom"/>
          </w:tcPr>
          <w:p>
            <w:pPr>
              <w:spacing w:after="0"/>
              <w:rPr>
                <w:sz w:val="20"/>
                <w:szCs w:val="20"/>
                <w:color w:val="auto"/>
              </w:rPr>
            </w:pPr>
            <w:r>
              <w:rPr>
                <w:rFonts w:ascii="Arial" w:cs="Arial" w:eastAsia="Arial" w:hAnsi="Arial"/>
                <w:sz w:val="16"/>
                <w:szCs w:val="16"/>
                <w:color w:val="auto"/>
              </w:rPr>
              <w:t>Premiums assumed</w:t>
            </w:r>
          </w:p>
        </w:tc>
        <w:tc>
          <w:tcPr>
            <w:tcW w:w="296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668</w:t>
            </w:r>
          </w:p>
        </w:tc>
      </w:tr>
      <w:tr>
        <w:trPr>
          <w:trHeight w:val="197"/>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Settled claims of premiums ceded by reinsurance contracts</w:t>
            </w:r>
          </w:p>
        </w:tc>
        <w:tc>
          <w:tcPr>
            <w:tcW w:w="296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(18,918)</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(226,769)</w:t>
            </w:r>
          </w:p>
        </w:tc>
      </w:tr>
      <w:tr>
        <w:trPr>
          <w:trHeight w:val="208"/>
        </w:trPr>
        <w:tc>
          <w:tcPr>
            <w:tcW w:w="5600" w:type="dxa"/>
            <w:vAlign w:val="bottom"/>
          </w:tcPr>
          <w:p>
            <w:pPr>
              <w:spacing w:after="0"/>
              <w:rPr>
                <w:sz w:val="20"/>
                <w:szCs w:val="20"/>
                <w:color w:val="auto"/>
              </w:rPr>
            </w:pPr>
            <w:r>
              <w:rPr>
                <w:rFonts w:ascii="Arial" w:cs="Arial" w:eastAsia="Arial" w:hAnsi="Arial"/>
                <w:sz w:val="16"/>
                <w:szCs w:val="16"/>
                <w:color w:val="auto"/>
              </w:rPr>
              <w:t>Collections and others, net</w:t>
            </w:r>
          </w:p>
        </w:tc>
        <w:tc>
          <w:tcPr>
            <w:tcW w:w="2960" w:type="dxa"/>
            <w:vAlign w:val="bottom"/>
            <w:gridSpan w:val="4"/>
          </w:tcPr>
          <w:p>
            <w:pPr>
              <w:jc w:val="right"/>
              <w:ind w:right="200"/>
              <w:spacing w:after="0"/>
              <w:rPr>
                <w:sz w:val="20"/>
                <w:szCs w:val="20"/>
                <w:color w:val="auto"/>
              </w:rPr>
            </w:pPr>
            <w:r>
              <w:rPr>
                <w:rFonts w:ascii="Arial" w:cs="Arial" w:eastAsia="Arial" w:hAnsi="Arial"/>
                <w:sz w:val="16"/>
                <w:szCs w:val="16"/>
                <w:color w:val="auto"/>
              </w:rPr>
              <w:t>8,097</w:t>
            </w: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(130,678)</w:t>
            </w:r>
          </w:p>
        </w:tc>
      </w:tr>
      <w:tr>
        <w:trPr>
          <w:trHeight w:val="202"/>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Balances at the end of the period</w:t>
            </w:r>
          </w:p>
        </w:tc>
        <w:tc>
          <w:tcPr>
            <w:tcW w:w="16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787,672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791,704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1182" w:right="160"/>
        <w:spacing w:after="0" w:line="287" w:lineRule="auto"/>
        <w:rPr>
          <w:sz w:val="20"/>
          <w:szCs w:val="20"/>
          <w:color w:val="auto"/>
        </w:rPr>
      </w:pPr>
      <w:r>
        <w:rPr>
          <w:rFonts w:ascii="Arial" w:cs="Arial" w:eastAsia="Arial" w:hAnsi="Arial"/>
          <w:sz w:val="16"/>
          <w:szCs w:val="16"/>
          <w:color w:val="auto"/>
        </w:rPr>
        <w:t>Accounts receivable as of March 31, 2020 and December 31, 2019, include S/162.0 million and S/201.0 million, respectively, which correspond to the assigned portion of technical reserves for premiums ceded to the reinsurers.</w:t>
      </w:r>
    </w:p>
    <w:p>
      <w:pPr>
        <w:spacing w:after="0" w:line="146" w:lineRule="exact"/>
        <w:rPr>
          <w:sz w:val="20"/>
          <w:szCs w:val="20"/>
          <w:color w:val="auto"/>
        </w:rPr>
      </w:pPr>
    </w:p>
    <w:tbl>
      <w:tblPr>
        <w:tblLayout w:type="fixed"/>
        <w:tblInd w:w="1182" w:type="dxa"/>
        <w:tblCellMar>
          <w:top w:w="0" w:type="dxa"/>
          <w:left w:w="0" w:type="dxa"/>
          <w:bottom w:w="0" w:type="dxa"/>
          <w:right w:w="0" w:type="dxa"/>
        </w:tblCellMar>
      </w:tblPr>
      <w:tr>
        <w:trPr>
          <w:trHeight w:val="212"/>
        </w:trPr>
        <w:tc>
          <w:tcPr>
            <w:tcW w:w="7200" w:type="dxa"/>
            <w:vAlign w:val="bottom"/>
          </w:tcPr>
          <w:p>
            <w:pPr>
              <w:spacing w:after="0"/>
              <w:rPr>
                <w:sz w:val="20"/>
                <w:szCs w:val="20"/>
                <w:color w:val="auto"/>
              </w:rPr>
            </w:pPr>
            <w:r>
              <w:rPr>
                <w:rFonts w:ascii="Arial" w:cs="Arial" w:eastAsia="Arial" w:hAnsi="Arial"/>
                <w:sz w:val="16"/>
                <w:szCs w:val="16"/>
                <w:b w:val="1"/>
                <w:bCs w:val="1"/>
                <w:color w:val="auto"/>
              </w:rPr>
              <w:t>Accounts Payable:</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78"/>
        </w:trPr>
        <w:tc>
          <w:tcPr>
            <w:tcW w:w="7200" w:type="dxa"/>
            <w:vAlign w:val="bottom"/>
          </w:tcPr>
          <w:p>
            <w:pPr>
              <w:spacing w:after="0"/>
              <w:rPr>
                <w:sz w:val="24"/>
                <w:szCs w:val="24"/>
                <w:color w:val="auto"/>
              </w:rPr>
            </w:pPr>
          </w:p>
        </w:tc>
        <w:tc>
          <w:tcPr>
            <w:tcW w:w="2800" w:type="dxa"/>
            <w:vAlign w:val="bottom"/>
            <w:gridSpan w:val="5"/>
          </w:tcPr>
          <w:p>
            <w:pPr>
              <w:jc w:val="right"/>
              <w:ind w:right="80"/>
              <w:spacing w:after="0"/>
              <w:rPr>
                <w:sz w:val="20"/>
                <w:szCs w:val="20"/>
                <w:color w:val="auto"/>
              </w:rPr>
            </w:pPr>
            <w:r>
              <w:rPr>
                <w:rFonts w:ascii="Arial" w:cs="Arial" w:eastAsia="Arial" w:hAnsi="Arial"/>
                <w:sz w:val="16"/>
                <w:szCs w:val="16"/>
                <w:b w:val="1"/>
                <w:bCs w:val="1"/>
                <w:color w:val="auto"/>
                <w:w w:val="96"/>
              </w:rPr>
              <w:t>As of March 31,   As of December 31,</w:t>
            </w:r>
          </w:p>
        </w:tc>
      </w:tr>
      <w:tr>
        <w:trPr>
          <w:trHeight w:val="212"/>
        </w:trPr>
        <w:tc>
          <w:tcPr>
            <w:tcW w:w="7200" w:type="dxa"/>
            <w:vAlign w:val="bottom"/>
          </w:tcPr>
          <w:p>
            <w:pPr>
              <w:spacing w:after="0"/>
              <w:rPr>
                <w:sz w:val="18"/>
                <w:szCs w:val="18"/>
                <w:color w:val="auto"/>
              </w:rPr>
            </w:pPr>
          </w:p>
        </w:tc>
        <w:tc>
          <w:tcPr>
            <w:tcW w:w="116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3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0"/>
        </w:trPr>
        <w:tc>
          <w:tcPr>
            <w:tcW w:w="72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80" w:type="dxa"/>
            <w:vAlign w:val="bottom"/>
            <w:gridSpan w:val="2"/>
          </w:tcPr>
          <w:p>
            <w:pPr>
              <w:spacing w:after="0"/>
              <w:rPr>
                <w:sz w:val="16"/>
                <w:szCs w:val="16"/>
                <w:color w:val="auto"/>
              </w:rPr>
            </w:pPr>
          </w:p>
        </w:tc>
      </w:tr>
      <w:tr>
        <w:trPr>
          <w:trHeight w:val="197"/>
        </w:trPr>
        <w:tc>
          <w:tcPr>
            <w:tcW w:w="7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as of January 1</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216,734</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291,693</w:t>
            </w:r>
          </w:p>
        </w:tc>
        <w:tc>
          <w:tcPr>
            <w:tcW w:w="60" w:type="dxa"/>
            <w:vAlign w:val="bottom"/>
            <w:shd w:val="clear" w:color="auto" w:fill="CCEEFF"/>
          </w:tcPr>
          <w:p>
            <w:pPr>
              <w:spacing w:after="0"/>
              <w:rPr>
                <w:sz w:val="17"/>
                <w:szCs w:val="17"/>
                <w:color w:val="auto"/>
              </w:rPr>
            </w:pPr>
          </w:p>
        </w:tc>
      </w:tr>
      <w:tr>
        <w:trPr>
          <w:trHeight w:val="197"/>
        </w:trPr>
        <w:tc>
          <w:tcPr>
            <w:tcW w:w="7200" w:type="dxa"/>
            <w:vAlign w:val="bottom"/>
          </w:tcPr>
          <w:p>
            <w:pPr>
              <w:spacing w:after="0"/>
              <w:rPr>
                <w:sz w:val="20"/>
                <w:szCs w:val="20"/>
                <w:color w:val="auto"/>
              </w:rPr>
            </w:pPr>
            <w:r>
              <w:rPr>
                <w:rFonts w:ascii="Arial" w:cs="Arial" w:eastAsia="Arial" w:hAnsi="Arial"/>
                <w:sz w:val="16"/>
                <w:szCs w:val="16"/>
                <w:color w:val="auto"/>
              </w:rPr>
              <w:t>Premiums ceded for automatic contracts (mainly excess of loss), Note 25(a)(**)</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78,084</w:t>
            </w: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254,839</w:t>
            </w:r>
          </w:p>
        </w:tc>
        <w:tc>
          <w:tcPr>
            <w:tcW w:w="60" w:type="dxa"/>
            <w:vAlign w:val="bottom"/>
          </w:tcPr>
          <w:p>
            <w:pPr>
              <w:spacing w:after="0"/>
              <w:rPr>
                <w:sz w:val="17"/>
                <w:szCs w:val="17"/>
                <w:color w:val="auto"/>
              </w:rPr>
            </w:pPr>
          </w:p>
        </w:tc>
      </w:tr>
      <w:tr>
        <w:trPr>
          <w:trHeight w:val="197"/>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Premiums ceded to reinsurers in facultative contracts, Note 25(a)(**)</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39,752</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289,386</w:t>
            </w:r>
          </w:p>
        </w:tc>
        <w:tc>
          <w:tcPr>
            <w:tcW w:w="60" w:type="dxa"/>
            <w:vAlign w:val="bottom"/>
            <w:shd w:val="clear" w:color="auto" w:fill="CCEEFF"/>
          </w:tcPr>
          <w:p>
            <w:pPr>
              <w:spacing w:after="0"/>
              <w:rPr>
                <w:sz w:val="17"/>
                <w:szCs w:val="17"/>
                <w:color w:val="auto"/>
              </w:rPr>
            </w:pPr>
          </w:p>
        </w:tc>
      </w:tr>
      <w:tr>
        <w:trPr>
          <w:trHeight w:val="197"/>
        </w:trPr>
        <w:tc>
          <w:tcPr>
            <w:tcW w:w="7200" w:type="dxa"/>
            <w:vAlign w:val="bottom"/>
          </w:tcPr>
          <w:p>
            <w:pPr>
              <w:spacing w:after="0"/>
              <w:rPr>
                <w:sz w:val="20"/>
                <w:szCs w:val="20"/>
                <w:color w:val="auto"/>
              </w:rPr>
            </w:pPr>
            <w:r>
              <w:rPr>
                <w:rFonts w:ascii="Arial" w:cs="Arial" w:eastAsia="Arial" w:hAnsi="Arial"/>
                <w:sz w:val="16"/>
                <w:szCs w:val="16"/>
                <w:color w:val="auto"/>
              </w:rPr>
              <w:t>Coinsurance granted</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2,745</w:t>
            </w: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4,332</w:t>
            </w:r>
          </w:p>
        </w:tc>
        <w:tc>
          <w:tcPr>
            <w:tcW w:w="60" w:type="dxa"/>
            <w:vAlign w:val="bottom"/>
          </w:tcPr>
          <w:p>
            <w:pPr>
              <w:spacing w:after="0"/>
              <w:rPr>
                <w:sz w:val="17"/>
                <w:szCs w:val="17"/>
                <w:color w:val="auto"/>
              </w:rPr>
            </w:pPr>
          </w:p>
        </w:tc>
      </w:tr>
      <w:tr>
        <w:trPr>
          <w:trHeight w:val="209"/>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Payments and other, net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(138,842)</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(623,516)</w:t>
            </w:r>
          </w:p>
        </w:tc>
      </w:tr>
      <w:tr>
        <w:trPr>
          <w:trHeight w:val="201"/>
        </w:trPr>
        <w:tc>
          <w:tcPr>
            <w:tcW w:w="7200" w:type="dxa"/>
            <w:vAlign w:val="bottom"/>
          </w:tcPr>
          <w:p>
            <w:pPr>
              <w:spacing w:after="0"/>
              <w:rPr>
                <w:sz w:val="20"/>
                <w:szCs w:val="20"/>
                <w:color w:val="auto"/>
              </w:rPr>
            </w:pPr>
            <w:r>
              <w:rPr>
                <w:rFonts w:ascii="Arial" w:cs="Arial" w:eastAsia="Arial" w:hAnsi="Arial"/>
                <w:sz w:val="16"/>
                <w:szCs w:val="16"/>
                <w:b w:val="1"/>
                <w:bCs w:val="1"/>
                <w:color w:val="auto"/>
              </w:rPr>
              <w:t>Balances at the end of the period</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198,473</w:t>
            </w:r>
          </w:p>
        </w:tc>
        <w:tc>
          <w:tcPr>
            <w:tcW w:w="20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216,734</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7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1182"/>
        <w:spacing w:after="0" w:line="271" w:lineRule="auto"/>
        <w:rPr>
          <w:sz w:val="20"/>
          <w:szCs w:val="20"/>
          <w:color w:val="auto"/>
        </w:rPr>
      </w:pPr>
      <w:r>
        <w:rPr>
          <w:rFonts w:ascii="Arial" w:cs="Arial" w:eastAsia="Arial" w:hAnsi="Arial"/>
          <w:sz w:val="16"/>
          <w:szCs w:val="16"/>
          <w:color w:val="auto"/>
        </w:rPr>
        <w:t>Accounts payable to reinsurers are primarily related to proportional facultative contracts (on an individual basis) for ceded premiums, automatic non-proportional contracts (excess loss) and reinstallation premiums. For facultative contracts the Group transfers to the reinsurers a percentage or an amount of an insurance contract or individual risk, based on the premium and the coverage period.</w:t>
      </w:r>
    </w:p>
    <w:p>
      <w:pPr>
        <w:spacing w:after="0" w:line="359"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02"/>
          </w:cols>
          <w:pgMar w:left="318" w:top="835" w:right="379" w:bottom="1440" w:gutter="0" w:footer="0" w:header="0"/>
        </w:sectPr>
      </w:pPr>
    </w:p>
    <w:bookmarkStart w:id="42" w:name="page43"/>
    <w:bookmarkEnd w:id="42"/>
    <w:p>
      <w:pPr>
        <w:ind w:left="582" w:hanging="582"/>
        <w:spacing w:after="0"/>
        <w:tabs>
          <w:tab w:leader="none" w:pos="582"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PROPERTY, FURNITURE AND EQUIPMENT, NET</w:t>
      </w:r>
    </w:p>
    <w:p>
      <w:pPr>
        <w:spacing w:after="0" w:line="213" w:lineRule="exact"/>
        <w:rPr>
          <w:rFonts w:ascii="Arial" w:cs="Arial" w:eastAsia="Arial" w:hAnsi="Arial"/>
          <w:sz w:val="16"/>
          <w:szCs w:val="16"/>
          <w:b w:val="1"/>
          <w:bCs w:val="1"/>
          <w:color w:val="auto"/>
        </w:rPr>
      </w:pPr>
    </w:p>
    <w:p>
      <w:pPr>
        <w:ind w:left="1182" w:hanging="297"/>
        <w:spacing w:after="0"/>
        <w:tabs>
          <w:tab w:leader="none" w:pos="1182" w:val="left"/>
        </w:tabs>
        <w:numPr>
          <w:ilvl w:val="1"/>
          <w:numId w:val="39"/>
        </w:numPr>
        <w:rPr>
          <w:rFonts w:ascii="Arial" w:cs="Arial" w:eastAsia="Arial" w:hAnsi="Arial"/>
          <w:sz w:val="15"/>
          <w:szCs w:val="15"/>
          <w:color w:val="auto"/>
        </w:rPr>
      </w:pPr>
      <w:r>
        <w:rPr>
          <w:rFonts w:ascii="Arial" w:cs="Arial" w:eastAsia="Arial" w:hAnsi="Arial"/>
          <w:sz w:val="15"/>
          <w:szCs w:val="15"/>
          <w:color w:val="auto"/>
        </w:rPr>
        <w:t>The composition of property, furniture and equipment and accumulated depreciation as of March 31, 2020 and December 31, 2019 was as follows:</w:t>
      </w:r>
    </w:p>
    <w:p>
      <w:pPr>
        <w:spacing w:after="0" w:line="233" w:lineRule="exact"/>
        <w:rPr>
          <w:sz w:val="20"/>
          <w:szCs w:val="20"/>
          <w:color w:val="auto"/>
        </w:rPr>
      </w:pPr>
    </w:p>
    <w:tbl>
      <w:tblPr>
        <w:tblLayout w:type="fixed"/>
        <w:tblInd w:w="1182" w:type="dxa"/>
        <w:tblCellMar>
          <w:top w:w="0" w:type="dxa"/>
          <w:left w:w="0" w:type="dxa"/>
          <w:bottom w:w="0" w:type="dxa"/>
          <w:right w:w="0" w:type="dxa"/>
        </w:tblCellMar>
      </w:tblPr>
      <w:tr>
        <w:trPr>
          <w:trHeight w:val="194"/>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6"/>
          </w:tcPr>
          <w:p>
            <w:pPr>
              <w:jc w:val="center"/>
              <w:ind w:left="666"/>
              <w:spacing w:after="0"/>
              <w:rPr>
                <w:sz w:val="20"/>
                <w:szCs w:val="20"/>
                <w:color w:val="auto"/>
              </w:rPr>
            </w:pPr>
            <w:r>
              <w:rPr>
                <w:rFonts w:ascii="Arial" w:cs="Arial" w:eastAsia="Arial" w:hAnsi="Arial"/>
                <w:sz w:val="15"/>
                <w:szCs w:val="15"/>
                <w:b w:val="1"/>
                <w:bCs w:val="1"/>
                <w:color w:val="auto"/>
                <w:w w:val="90"/>
              </w:rPr>
              <w:t>As of March 31, 2020</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8"/>
          </w:tcPr>
          <w:p>
            <w:pPr>
              <w:jc w:val="center"/>
              <w:ind w:right="180"/>
              <w:spacing w:after="0"/>
              <w:rPr>
                <w:sz w:val="20"/>
                <w:szCs w:val="20"/>
                <w:color w:val="auto"/>
              </w:rPr>
            </w:pPr>
            <w:r>
              <w:rPr>
                <w:rFonts w:ascii="Arial" w:cs="Arial" w:eastAsia="Arial" w:hAnsi="Arial"/>
                <w:sz w:val="15"/>
                <w:szCs w:val="15"/>
                <w:b w:val="1"/>
                <w:bCs w:val="1"/>
                <w:color w:val="auto"/>
                <w:w w:val="87"/>
              </w:rPr>
              <w:t>As of December 31, 2019</w:t>
            </w:r>
          </w:p>
        </w:tc>
      </w:tr>
      <w:tr>
        <w:trPr>
          <w:trHeight w:val="167"/>
        </w:trPr>
        <w:tc>
          <w:tcPr>
            <w:tcW w:w="35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4"/>
          </w:tcPr>
          <w:p>
            <w:pPr>
              <w:jc w:val="center"/>
              <w:ind w:right="220"/>
              <w:spacing w:after="0" w:line="167" w:lineRule="exact"/>
              <w:rPr>
                <w:sz w:val="20"/>
                <w:szCs w:val="20"/>
                <w:color w:val="auto"/>
              </w:rPr>
            </w:pPr>
            <w:r>
              <w:rPr>
                <w:rFonts w:ascii="Arial" w:cs="Arial" w:eastAsia="Arial" w:hAnsi="Arial"/>
                <w:sz w:val="15"/>
                <w:szCs w:val="15"/>
                <w:b w:val="1"/>
                <w:bCs w:val="1"/>
                <w:color w:val="auto"/>
                <w:w w:val="87"/>
              </w:rPr>
              <w:t>Accumulated</w:t>
            </w:r>
          </w:p>
        </w:tc>
        <w:tc>
          <w:tcPr>
            <w:tcW w:w="880" w:type="dxa"/>
            <w:vAlign w:val="bottom"/>
            <w:tcBorders>
              <w:top w:val="single" w:sz="8" w:color="auto"/>
            </w:tcBorders>
            <w:gridSpan w:val="2"/>
          </w:tcPr>
          <w:p>
            <w:pPr>
              <w:jc w:val="center"/>
              <w:spacing w:after="0" w:line="167" w:lineRule="exact"/>
              <w:rPr>
                <w:sz w:val="20"/>
                <w:szCs w:val="20"/>
                <w:color w:val="auto"/>
              </w:rPr>
            </w:pPr>
            <w:r>
              <w:rPr>
                <w:rFonts w:ascii="Arial" w:cs="Arial" w:eastAsia="Arial" w:hAnsi="Arial"/>
                <w:sz w:val="15"/>
                <w:szCs w:val="15"/>
                <w:b w:val="1"/>
                <w:bCs w:val="1"/>
                <w:color w:val="auto"/>
                <w:w w:val="91"/>
              </w:rPr>
              <w:t>Net carrying</w:t>
            </w: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3"/>
          </w:tcPr>
          <w:p>
            <w:pPr>
              <w:jc w:val="center"/>
              <w:ind w:right="158"/>
              <w:spacing w:after="0" w:line="167" w:lineRule="exact"/>
              <w:rPr>
                <w:sz w:val="20"/>
                <w:szCs w:val="20"/>
                <w:color w:val="auto"/>
              </w:rPr>
            </w:pPr>
            <w:r>
              <w:rPr>
                <w:rFonts w:ascii="Arial" w:cs="Arial" w:eastAsia="Arial" w:hAnsi="Arial"/>
                <w:sz w:val="15"/>
                <w:szCs w:val="15"/>
                <w:b w:val="1"/>
                <w:bCs w:val="1"/>
                <w:color w:val="auto"/>
                <w:w w:val="87"/>
              </w:rPr>
              <w:t>Accumulated</w:t>
            </w:r>
          </w:p>
        </w:tc>
        <w:tc>
          <w:tcPr>
            <w:tcW w:w="900" w:type="dxa"/>
            <w:vAlign w:val="bottom"/>
            <w:tcBorders>
              <w:top w:val="single" w:sz="8" w:color="auto"/>
            </w:tcBorders>
            <w:gridSpan w:val="2"/>
          </w:tcPr>
          <w:p>
            <w:pPr>
              <w:jc w:val="center"/>
              <w:spacing w:after="0" w:line="167" w:lineRule="exact"/>
              <w:rPr>
                <w:sz w:val="20"/>
                <w:szCs w:val="20"/>
                <w:color w:val="auto"/>
              </w:rPr>
            </w:pPr>
            <w:r>
              <w:rPr>
                <w:rFonts w:ascii="Arial" w:cs="Arial" w:eastAsia="Arial" w:hAnsi="Arial"/>
                <w:sz w:val="15"/>
                <w:szCs w:val="15"/>
                <w:b w:val="1"/>
                <w:bCs w:val="1"/>
                <w:color w:val="auto"/>
                <w:w w:val="91"/>
              </w:rPr>
              <w:t>Net carrying</w:t>
            </w:r>
          </w:p>
        </w:tc>
        <w:tc>
          <w:tcPr>
            <w:tcW w:w="80" w:type="dxa"/>
            <w:vAlign w:val="bottom"/>
          </w:tcPr>
          <w:p>
            <w:pPr>
              <w:spacing w:after="0"/>
              <w:rPr>
                <w:sz w:val="14"/>
                <w:szCs w:val="14"/>
                <w:color w:val="auto"/>
              </w:rPr>
            </w:pPr>
          </w:p>
        </w:tc>
      </w:tr>
      <w:tr>
        <w:trPr>
          <w:trHeight w:val="194"/>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Cost</w:t>
            </w:r>
          </w:p>
        </w:tc>
        <w:tc>
          <w:tcPr>
            <w:tcW w:w="1120" w:type="dxa"/>
            <w:vAlign w:val="bottom"/>
            <w:gridSpan w:val="4"/>
          </w:tcPr>
          <w:p>
            <w:pPr>
              <w:jc w:val="center"/>
              <w:ind w:right="220"/>
              <w:spacing w:after="0"/>
              <w:rPr>
                <w:sz w:val="20"/>
                <w:szCs w:val="20"/>
                <w:color w:val="auto"/>
              </w:rPr>
            </w:pPr>
            <w:r>
              <w:rPr>
                <w:rFonts w:ascii="Arial" w:cs="Arial" w:eastAsia="Arial" w:hAnsi="Arial"/>
                <w:sz w:val="15"/>
                <w:szCs w:val="15"/>
                <w:b w:val="1"/>
                <w:bCs w:val="1"/>
                <w:color w:val="auto"/>
                <w:w w:val="87"/>
              </w:rPr>
              <w:t>depreciation</w:t>
            </w:r>
          </w:p>
        </w:tc>
        <w:tc>
          <w:tcPr>
            <w:tcW w:w="80" w:type="dxa"/>
            <w:vAlign w:val="bottom"/>
          </w:tcPr>
          <w:p>
            <w:pPr>
              <w:spacing w:after="0"/>
              <w:rPr>
                <w:sz w:val="16"/>
                <w:szCs w:val="16"/>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5"/>
                <w:szCs w:val="15"/>
                <w:b w:val="1"/>
                <w:bCs w:val="1"/>
                <w:color w:val="auto"/>
                <w:w w:val="88"/>
              </w:rPr>
              <w:t>amount</w:t>
            </w:r>
          </w:p>
        </w:tc>
        <w:tc>
          <w:tcPr>
            <w:tcW w:w="100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Cost</w:t>
            </w:r>
          </w:p>
        </w:tc>
        <w:tc>
          <w:tcPr>
            <w:tcW w:w="1100" w:type="dxa"/>
            <w:vAlign w:val="bottom"/>
            <w:gridSpan w:val="3"/>
          </w:tcPr>
          <w:p>
            <w:pPr>
              <w:jc w:val="center"/>
              <w:ind w:right="158"/>
              <w:spacing w:after="0"/>
              <w:rPr>
                <w:sz w:val="20"/>
                <w:szCs w:val="20"/>
                <w:color w:val="auto"/>
              </w:rPr>
            </w:pPr>
            <w:r>
              <w:rPr>
                <w:rFonts w:ascii="Arial" w:cs="Arial" w:eastAsia="Arial" w:hAnsi="Arial"/>
                <w:sz w:val="15"/>
                <w:szCs w:val="15"/>
                <w:b w:val="1"/>
                <w:bCs w:val="1"/>
                <w:color w:val="auto"/>
                <w:w w:val="87"/>
              </w:rPr>
              <w:t>depreciation</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8"/>
              </w:rPr>
              <w:t>amount</w:t>
            </w:r>
          </w:p>
        </w:tc>
      </w:tr>
      <w:tr>
        <w:trPr>
          <w:trHeight w:val="179"/>
        </w:trPr>
        <w:tc>
          <w:tcPr>
            <w:tcW w:w="35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S/(000)</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center"/>
              <w:ind w:right="26"/>
              <w:spacing w:after="0"/>
              <w:rPr>
                <w:sz w:val="20"/>
                <w:szCs w:val="20"/>
                <w:color w:val="auto"/>
              </w:rPr>
            </w:pPr>
            <w:r>
              <w:rPr>
                <w:rFonts w:ascii="Arial" w:cs="Arial" w:eastAsia="Arial" w:hAnsi="Arial"/>
                <w:sz w:val="15"/>
                <w:szCs w:val="15"/>
                <w:b w:val="1"/>
                <w:bCs w:val="1"/>
                <w:color w:val="auto"/>
                <w:w w:val="93"/>
              </w:rPr>
              <w:t>S/(000)</w:t>
            </w:r>
          </w:p>
        </w:tc>
        <w:tc>
          <w:tcPr>
            <w:tcW w:w="2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center"/>
              <w:ind w:right="46"/>
              <w:spacing w:after="0"/>
              <w:rPr>
                <w:sz w:val="20"/>
                <w:szCs w:val="20"/>
                <w:color w:val="auto"/>
              </w:rPr>
            </w:pPr>
            <w:r>
              <w:rPr>
                <w:rFonts w:ascii="Arial" w:cs="Arial" w:eastAsia="Arial" w:hAnsi="Arial"/>
                <w:sz w:val="15"/>
                <w:szCs w:val="15"/>
                <w:b w:val="1"/>
                <w:bCs w:val="1"/>
                <w:color w:val="auto"/>
                <w:w w:val="89"/>
              </w:rPr>
              <w:t>S/(000)</w:t>
            </w: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S/(000)</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center"/>
              <w:ind w:right="46"/>
              <w:spacing w:after="0"/>
              <w:rPr>
                <w:sz w:val="20"/>
                <w:szCs w:val="20"/>
                <w:color w:val="auto"/>
              </w:rPr>
            </w:pPr>
            <w:r>
              <w:rPr>
                <w:rFonts w:ascii="Arial" w:cs="Arial" w:eastAsia="Arial" w:hAnsi="Arial"/>
                <w:sz w:val="15"/>
                <w:szCs w:val="15"/>
                <w:b w:val="1"/>
                <w:bCs w:val="1"/>
                <w:color w:val="auto"/>
                <w:w w:val="89"/>
              </w:rPr>
              <w:t>S/(000)</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center"/>
              <w:ind w:right="46"/>
              <w:spacing w:after="0"/>
              <w:rPr>
                <w:sz w:val="20"/>
                <w:szCs w:val="20"/>
                <w:color w:val="auto"/>
              </w:rPr>
            </w:pPr>
            <w:r>
              <w:rPr>
                <w:rFonts w:ascii="Arial" w:cs="Arial" w:eastAsia="Arial" w:hAnsi="Arial"/>
                <w:sz w:val="15"/>
                <w:szCs w:val="15"/>
                <w:b w:val="1"/>
                <w:bCs w:val="1"/>
                <w:color w:val="auto"/>
                <w:w w:val="89"/>
              </w:rPr>
              <w:t>S/(000)</w:t>
            </w:r>
          </w:p>
        </w:tc>
        <w:tc>
          <w:tcPr>
            <w:tcW w:w="80" w:type="dxa"/>
            <w:vAlign w:val="bottom"/>
          </w:tcPr>
          <w:p>
            <w:pPr>
              <w:spacing w:after="0"/>
              <w:rPr>
                <w:sz w:val="15"/>
                <w:szCs w:val="15"/>
                <w:color w:val="auto"/>
              </w:rPr>
            </w:pPr>
          </w:p>
        </w:tc>
      </w:tr>
      <w:tr>
        <w:trPr>
          <w:trHeight w:val="184"/>
        </w:trPr>
        <w:tc>
          <w:tcPr>
            <w:tcW w:w="3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Land</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402,089</w:t>
            </w:r>
          </w:p>
        </w:tc>
        <w:tc>
          <w:tcPr>
            <w:tcW w:w="1100" w:type="dxa"/>
            <w:vAlign w:val="bottom"/>
            <w:gridSpan w:val="3"/>
            <w:shd w:val="clear" w:color="auto" w:fill="CCEEFF"/>
          </w:tcPr>
          <w:p>
            <w:pPr>
              <w:jc w:val="right"/>
              <w:ind w:right="158"/>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402,089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401,553</w:t>
            </w:r>
          </w:p>
        </w:tc>
        <w:tc>
          <w:tcPr>
            <w:tcW w:w="20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58"/>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401,553</w:t>
            </w:r>
          </w:p>
        </w:tc>
        <w:tc>
          <w:tcPr>
            <w:tcW w:w="80" w:type="dxa"/>
            <w:vAlign w:val="bottom"/>
            <w:shd w:val="clear" w:color="auto" w:fill="CCEEFF"/>
          </w:tcPr>
          <w:p>
            <w:pPr>
              <w:spacing w:after="0"/>
              <w:rPr>
                <w:sz w:val="16"/>
                <w:szCs w:val="16"/>
                <w:color w:val="auto"/>
              </w:rPr>
            </w:pPr>
          </w:p>
        </w:tc>
      </w:tr>
      <w:tr>
        <w:trPr>
          <w:trHeight w:val="184"/>
        </w:trPr>
        <w:tc>
          <w:tcPr>
            <w:tcW w:w="3640" w:type="dxa"/>
            <w:vAlign w:val="bottom"/>
            <w:gridSpan w:val="2"/>
          </w:tcPr>
          <w:p>
            <w:pPr>
              <w:spacing w:after="0"/>
              <w:rPr>
                <w:sz w:val="20"/>
                <w:szCs w:val="20"/>
                <w:color w:val="auto"/>
              </w:rPr>
            </w:pPr>
            <w:r>
              <w:rPr>
                <w:rFonts w:ascii="Arial" w:cs="Arial" w:eastAsia="Arial" w:hAnsi="Arial"/>
                <w:sz w:val="15"/>
                <w:szCs w:val="15"/>
                <w:color w:val="auto"/>
              </w:rPr>
              <w:t>Buildings and other constructions</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1,157,318</w:t>
            </w:r>
          </w:p>
        </w:tc>
        <w:tc>
          <w:tcPr>
            <w:tcW w:w="1100" w:type="dxa"/>
            <w:vAlign w:val="bottom"/>
            <w:gridSpan w:val="3"/>
          </w:tcPr>
          <w:p>
            <w:pPr>
              <w:jc w:val="right"/>
              <w:ind w:right="118"/>
              <w:spacing w:after="0"/>
              <w:rPr>
                <w:sz w:val="20"/>
                <w:szCs w:val="20"/>
                <w:color w:val="auto"/>
              </w:rPr>
            </w:pPr>
            <w:r>
              <w:rPr>
                <w:rFonts w:ascii="Arial" w:cs="Arial" w:eastAsia="Arial" w:hAnsi="Arial"/>
                <w:sz w:val="15"/>
                <w:szCs w:val="15"/>
                <w:color w:val="auto"/>
              </w:rPr>
              <w:t>(665,274)</w:t>
            </w:r>
          </w:p>
        </w:tc>
        <w:tc>
          <w:tcPr>
            <w:tcW w:w="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492,044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1,156,252</w:t>
            </w:r>
          </w:p>
        </w:tc>
        <w:tc>
          <w:tcPr>
            <w:tcW w:w="200" w:type="dxa"/>
            <w:vAlign w:val="bottom"/>
          </w:tcPr>
          <w:p>
            <w:pPr>
              <w:spacing w:after="0"/>
              <w:rPr>
                <w:sz w:val="16"/>
                <w:szCs w:val="16"/>
                <w:color w:val="auto"/>
              </w:rPr>
            </w:pPr>
          </w:p>
        </w:tc>
        <w:tc>
          <w:tcPr>
            <w:tcW w:w="1100" w:type="dxa"/>
            <w:vAlign w:val="bottom"/>
            <w:gridSpan w:val="3"/>
          </w:tcPr>
          <w:p>
            <w:pPr>
              <w:jc w:val="right"/>
              <w:ind w:right="118"/>
              <w:spacing w:after="0"/>
              <w:rPr>
                <w:sz w:val="20"/>
                <w:szCs w:val="20"/>
                <w:color w:val="auto"/>
              </w:rPr>
            </w:pPr>
            <w:r>
              <w:rPr>
                <w:rFonts w:ascii="Arial" w:cs="Arial" w:eastAsia="Arial" w:hAnsi="Arial"/>
                <w:sz w:val="15"/>
                <w:szCs w:val="15"/>
                <w:color w:val="auto"/>
              </w:rPr>
              <w:t>(657,690)</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498,562</w:t>
            </w:r>
          </w:p>
        </w:tc>
        <w:tc>
          <w:tcPr>
            <w:tcW w:w="80" w:type="dxa"/>
            <w:vAlign w:val="bottom"/>
          </w:tcPr>
          <w:p>
            <w:pPr>
              <w:spacing w:after="0"/>
              <w:rPr>
                <w:sz w:val="16"/>
                <w:szCs w:val="16"/>
                <w:color w:val="auto"/>
              </w:rPr>
            </w:pPr>
          </w:p>
        </w:tc>
      </w:tr>
      <w:tr>
        <w:trPr>
          <w:trHeight w:val="184"/>
        </w:trPr>
        <w:tc>
          <w:tcPr>
            <w:tcW w:w="3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Installations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660,978</w:t>
            </w:r>
          </w:p>
        </w:tc>
        <w:tc>
          <w:tcPr>
            <w:tcW w:w="1100" w:type="dxa"/>
            <w:vAlign w:val="bottom"/>
            <w:gridSpan w:val="3"/>
            <w:shd w:val="clear" w:color="auto" w:fill="CCEEFF"/>
          </w:tcPr>
          <w:p>
            <w:pPr>
              <w:jc w:val="right"/>
              <w:ind w:right="118"/>
              <w:spacing w:after="0"/>
              <w:rPr>
                <w:sz w:val="20"/>
                <w:szCs w:val="20"/>
                <w:color w:val="auto"/>
              </w:rPr>
            </w:pPr>
            <w:r>
              <w:rPr>
                <w:rFonts w:ascii="Arial" w:cs="Arial" w:eastAsia="Arial" w:hAnsi="Arial"/>
                <w:sz w:val="15"/>
                <w:szCs w:val="15"/>
                <w:color w:val="auto"/>
              </w:rPr>
              <w:t>(486,658)</w:t>
            </w:r>
          </w:p>
        </w:tc>
        <w:tc>
          <w:tcPr>
            <w:tcW w:w="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174,320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653,728</w:t>
            </w:r>
          </w:p>
        </w:tc>
        <w:tc>
          <w:tcPr>
            <w:tcW w:w="20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18"/>
              <w:spacing w:after="0"/>
              <w:rPr>
                <w:sz w:val="20"/>
                <w:szCs w:val="20"/>
                <w:color w:val="auto"/>
              </w:rPr>
            </w:pPr>
            <w:r>
              <w:rPr>
                <w:rFonts w:ascii="Arial" w:cs="Arial" w:eastAsia="Arial" w:hAnsi="Arial"/>
                <w:sz w:val="15"/>
                <w:szCs w:val="15"/>
                <w:color w:val="auto"/>
              </w:rPr>
              <w:t>(478,294)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175,434</w:t>
            </w:r>
          </w:p>
        </w:tc>
        <w:tc>
          <w:tcPr>
            <w:tcW w:w="80" w:type="dxa"/>
            <w:vAlign w:val="bottom"/>
            <w:shd w:val="clear" w:color="auto" w:fill="CCEEFF"/>
          </w:tcPr>
          <w:p>
            <w:pPr>
              <w:spacing w:after="0"/>
              <w:rPr>
                <w:sz w:val="16"/>
                <w:szCs w:val="16"/>
                <w:color w:val="auto"/>
              </w:rPr>
            </w:pPr>
          </w:p>
        </w:tc>
      </w:tr>
      <w:tr>
        <w:trPr>
          <w:trHeight w:val="184"/>
        </w:trPr>
        <w:tc>
          <w:tcPr>
            <w:tcW w:w="3640" w:type="dxa"/>
            <w:vAlign w:val="bottom"/>
            <w:gridSpan w:val="2"/>
          </w:tcPr>
          <w:p>
            <w:pPr>
              <w:spacing w:after="0"/>
              <w:rPr>
                <w:sz w:val="20"/>
                <w:szCs w:val="20"/>
                <w:color w:val="auto"/>
              </w:rPr>
            </w:pPr>
            <w:r>
              <w:rPr>
                <w:rFonts w:ascii="Arial" w:cs="Arial" w:eastAsia="Arial" w:hAnsi="Arial"/>
                <w:sz w:val="15"/>
                <w:szCs w:val="15"/>
                <w:color w:val="auto"/>
              </w:rPr>
              <w:t>Furniture and fixtures</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475,819</w:t>
            </w:r>
          </w:p>
        </w:tc>
        <w:tc>
          <w:tcPr>
            <w:tcW w:w="1100" w:type="dxa"/>
            <w:vAlign w:val="bottom"/>
            <w:gridSpan w:val="3"/>
          </w:tcPr>
          <w:p>
            <w:pPr>
              <w:jc w:val="right"/>
              <w:ind w:right="118"/>
              <w:spacing w:after="0"/>
              <w:rPr>
                <w:sz w:val="20"/>
                <w:szCs w:val="20"/>
                <w:color w:val="auto"/>
              </w:rPr>
            </w:pPr>
            <w:r>
              <w:rPr>
                <w:rFonts w:ascii="Arial" w:cs="Arial" w:eastAsia="Arial" w:hAnsi="Arial"/>
                <w:sz w:val="15"/>
                <w:szCs w:val="15"/>
                <w:color w:val="auto"/>
              </w:rPr>
              <w:t>(312,539)</w:t>
            </w:r>
          </w:p>
        </w:tc>
        <w:tc>
          <w:tcPr>
            <w:tcW w:w="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163,280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479,748</w:t>
            </w:r>
          </w:p>
        </w:tc>
        <w:tc>
          <w:tcPr>
            <w:tcW w:w="200" w:type="dxa"/>
            <w:vAlign w:val="bottom"/>
          </w:tcPr>
          <w:p>
            <w:pPr>
              <w:spacing w:after="0"/>
              <w:rPr>
                <w:sz w:val="16"/>
                <w:szCs w:val="16"/>
                <w:color w:val="auto"/>
              </w:rPr>
            </w:pPr>
          </w:p>
        </w:tc>
        <w:tc>
          <w:tcPr>
            <w:tcW w:w="1100" w:type="dxa"/>
            <w:vAlign w:val="bottom"/>
            <w:gridSpan w:val="3"/>
          </w:tcPr>
          <w:p>
            <w:pPr>
              <w:jc w:val="right"/>
              <w:ind w:right="118"/>
              <w:spacing w:after="0"/>
              <w:rPr>
                <w:sz w:val="20"/>
                <w:szCs w:val="20"/>
                <w:color w:val="auto"/>
              </w:rPr>
            </w:pPr>
            <w:r>
              <w:rPr>
                <w:rFonts w:ascii="Arial" w:cs="Arial" w:eastAsia="Arial" w:hAnsi="Arial"/>
                <w:sz w:val="15"/>
                <w:szCs w:val="15"/>
                <w:color w:val="auto"/>
              </w:rPr>
              <w:t>(308,020)</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171,728</w:t>
            </w:r>
          </w:p>
        </w:tc>
        <w:tc>
          <w:tcPr>
            <w:tcW w:w="80" w:type="dxa"/>
            <w:vAlign w:val="bottom"/>
          </w:tcPr>
          <w:p>
            <w:pPr>
              <w:spacing w:after="0"/>
              <w:rPr>
                <w:sz w:val="16"/>
                <w:szCs w:val="16"/>
                <w:color w:val="auto"/>
              </w:rPr>
            </w:pPr>
          </w:p>
        </w:tc>
      </w:tr>
      <w:tr>
        <w:trPr>
          <w:trHeight w:val="184"/>
        </w:trPr>
        <w:tc>
          <w:tcPr>
            <w:tcW w:w="3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Computer hardware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640,145</w:t>
            </w:r>
          </w:p>
        </w:tc>
        <w:tc>
          <w:tcPr>
            <w:tcW w:w="1100" w:type="dxa"/>
            <w:vAlign w:val="bottom"/>
            <w:gridSpan w:val="3"/>
            <w:shd w:val="clear" w:color="auto" w:fill="CCEEFF"/>
          </w:tcPr>
          <w:p>
            <w:pPr>
              <w:jc w:val="right"/>
              <w:ind w:right="118"/>
              <w:spacing w:after="0"/>
              <w:rPr>
                <w:sz w:val="20"/>
                <w:szCs w:val="20"/>
                <w:color w:val="auto"/>
              </w:rPr>
            </w:pPr>
            <w:r>
              <w:rPr>
                <w:rFonts w:ascii="Arial" w:cs="Arial" w:eastAsia="Arial" w:hAnsi="Arial"/>
                <w:sz w:val="15"/>
                <w:szCs w:val="15"/>
                <w:color w:val="auto"/>
              </w:rPr>
              <w:t>(559,112)</w:t>
            </w:r>
          </w:p>
        </w:tc>
        <w:tc>
          <w:tcPr>
            <w:tcW w:w="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81,033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635,203</w:t>
            </w:r>
          </w:p>
        </w:tc>
        <w:tc>
          <w:tcPr>
            <w:tcW w:w="20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18"/>
              <w:spacing w:after="0"/>
              <w:rPr>
                <w:sz w:val="20"/>
                <w:szCs w:val="20"/>
                <w:color w:val="auto"/>
              </w:rPr>
            </w:pPr>
            <w:r>
              <w:rPr>
                <w:rFonts w:ascii="Arial" w:cs="Arial" w:eastAsia="Arial" w:hAnsi="Arial"/>
                <w:sz w:val="15"/>
                <w:szCs w:val="15"/>
                <w:color w:val="auto"/>
              </w:rPr>
              <w:t>(552,023)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83,180</w:t>
            </w:r>
          </w:p>
        </w:tc>
        <w:tc>
          <w:tcPr>
            <w:tcW w:w="80" w:type="dxa"/>
            <w:vAlign w:val="bottom"/>
            <w:shd w:val="clear" w:color="auto" w:fill="CCEEFF"/>
          </w:tcPr>
          <w:p>
            <w:pPr>
              <w:spacing w:after="0"/>
              <w:rPr>
                <w:sz w:val="16"/>
                <w:szCs w:val="16"/>
                <w:color w:val="auto"/>
              </w:rPr>
            </w:pPr>
          </w:p>
        </w:tc>
      </w:tr>
      <w:tr>
        <w:trPr>
          <w:trHeight w:val="184"/>
        </w:trPr>
        <w:tc>
          <w:tcPr>
            <w:tcW w:w="3640" w:type="dxa"/>
            <w:vAlign w:val="bottom"/>
            <w:gridSpan w:val="2"/>
          </w:tcPr>
          <w:p>
            <w:pPr>
              <w:spacing w:after="0"/>
              <w:rPr>
                <w:sz w:val="20"/>
                <w:szCs w:val="20"/>
                <w:color w:val="auto"/>
              </w:rPr>
            </w:pPr>
            <w:r>
              <w:rPr>
                <w:rFonts w:ascii="Arial" w:cs="Arial" w:eastAsia="Arial" w:hAnsi="Arial"/>
                <w:sz w:val="15"/>
                <w:szCs w:val="15"/>
                <w:color w:val="auto"/>
              </w:rPr>
              <w:t>Vehicles and equipment</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115,708</w:t>
            </w:r>
          </w:p>
        </w:tc>
        <w:tc>
          <w:tcPr>
            <w:tcW w:w="1100" w:type="dxa"/>
            <w:vAlign w:val="bottom"/>
            <w:gridSpan w:val="3"/>
          </w:tcPr>
          <w:p>
            <w:pPr>
              <w:jc w:val="right"/>
              <w:ind w:right="118"/>
              <w:spacing w:after="0"/>
              <w:rPr>
                <w:sz w:val="20"/>
                <w:szCs w:val="20"/>
                <w:color w:val="auto"/>
              </w:rPr>
            </w:pPr>
            <w:r>
              <w:rPr>
                <w:rFonts w:ascii="Arial" w:cs="Arial" w:eastAsia="Arial" w:hAnsi="Arial"/>
                <w:sz w:val="15"/>
                <w:szCs w:val="15"/>
                <w:color w:val="auto"/>
              </w:rPr>
              <w:t>(89,476)</w:t>
            </w:r>
          </w:p>
        </w:tc>
        <w:tc>
          <w:tcPr>
            <w:tcW w:w="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26,232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116,625</w:t>
            </w:r>
          </w:p>
        </w:tc>
        <w:tc>
          <w:tcPr>
            <w:tcW w:w="1100" w:type="dxa"/>
            <w:vAlign w:val="bottom"/>
            <w:gridSpan w:val="3"/>
          </w:tcPr>
          <w:p>
            <w:pPr>
              <w:jc w:val="right"/>
              <w:ind w:right="118"/>
              <w:spacing w:after="0"/>
              <w:rPr>
                <w:sz w:val="20"/>
                <w:szCs w:val="20"/>
                <w:color w:val="auto"/>
              </w:rPr>
            </w:pPr>
            <w:r>
              <w:rPr>
                <w:rFonts w:ascii="Arial" w:cs="Arial" w:eastAsia="Arial" w:hAnsi="Arial"/>
                <w:sz w:val="15"/>
                <w:szCs w:val="15"/>
                <w:color w:val="auto"/>
              </w:rPr>
              <w:t>(88,277)</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28,348</w:t>
            </w:r>
          </w:p>
        </w:tc>
        <w:tc>
          <w:tcPr>
            <w:tcW w:w="80" w:type="dxa"/>
            <w:vAlign w:val="bottom"/>
          </w:tcPr>
          <w:p>
            <w:pPr>
              <w:spacing w:after="0"/>
              <w:rPr>
                <w:sz w:val="16"/>
                <w:szCs w:val="16"/>
                <w:color w:val="auto"/>
              </w:rPr>
            </w:pPr>
          </w:p>
        </w:tc>
      </w:tr>
      <w:tr>
        <w:trPr>
          <w:trHeight w:val="197"/>
        </w:trPr>
        <w:tc>
          <w:tcPr>
            <w:tcW w:w="3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Work in progress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58,091</w:t>
            </w:r>
          </w:p>
        </w:tc>
        <w:tc>
          <w:tcPr>
            <w:tcW w:w="1100" w:type="dxa"/>
            <w:vAlign w:val="bottom"/>
            <w:gridSpan w:val="3"/>
            <w:shd w:val="clear" w:color="auto" w:fill="CCEEFF"/>
          </w:tcPr>
          <w:p>
            <w:pPr>
              <w:jc w:val="right"/>
              <w:ind w:right="158"/>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58,091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69,368</w:t>
            </w:r>
          </w:p>
        </w:tc>
        <w:tc>
          <w:tcPr>
            <w:tcW w:w="2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58"/>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69,368</w:t>
            </w:r>
          </w:p>
        </w:tc>
        <w:tc>
          <w:tcPr>
            <w:tcW w:w="80" w:type="dxa"/>
            <w:vAlign w:val="bottom"/>
            <w:shd w:val="clear" w:color="auto" w:fill="CCEEFF"/>
          </w:tcPr>
          <w:p>
            <w:pPr>
              <w:spacing w:after="0"/>
              <w:rPr>
                <w:sz w:val="17"/>
                <w:szCs w:val="17"/>
                <w:color w:val="auto"/>
              </w:rPr>
            </w:pPr>
          </w:p>
        </w:tc>
      </w:tr>
      <w:tr>
        <w:trPr>
          <w:trHeight w:val="177"/>
        </w:trPr>
        <w:tc>
          <w:tcPr>
            <w:tcW w:w="3640" w:type="dxa"/>
            <w:vAlign w:val="bottom"/>
            <w:gridSpan w:val="2"/>
          </w:tcPr>
          <w:p>
            <w:pPr>
              <w:spacing w:after="0" w:line="172" w:lineRule="exact"/>
              <w:rPr>
                <w:sz w:val="20"/>
                <w:szCs w:val="20"/>
                <w:color w:val="auto"/>
              </w:rPr>
            </w:pPr>
            <w:r>
              <w:rPr>
                <w:rFonts w:ascii="Arial" w:cs="Arial" w:eastAsia="Arial" w:hAnsi="Arial"/>
                <w:sz w:val="15"/>
                <w:szCs w:val="15"/>
                <w:b w:val="1"/>
                <w:bCs w:val="1"/>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3,510,148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(2,113,059</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1,397,089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3,512,477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(2,084,304</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1,428,173</w:t>
            </w:r>
          </w:p>
        </w:tc>
        <w:tc>
          <w:tcPr>
            <w:tcW w:w="80" w:type="dxa"/>
            <w:vAlign w:val="bottom"/>
          </w:tcPr>
          <w:p>
            <w:pPr>
              <w:spacing w:after="0"/>
              <w:rPr>
                <w:sz w:val="15"/>
                <w:szCs w:val="15"/>
                <w:color w:val="auto"/>
              </w:rPr>
            </w:pPr>
          </w:p>
        </w:tc>
      </w:tr>
    </w:tbl>
    <w:p>
      <w:pPr>
        <w:spacing w:after="0" w:line="184"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Banks, financial institutions and insurance entities operating in Peru are not allowed to pledge their fixed assets.</w:t>
      </w:r>
    </w:p>
    <w:p>
      <w:pPr>
        <w:spacing w:after="0" w:line="209" w:lineRule="exact"/>
        <w:rPr>
          <w:sz w:val="20"/>
          <w:szCs w:val="20"/>
          <w:color w:val="auto"/>
        </w:rPr>
      </w:pPr>
    </w:p>
    <w:p>
      <w:pPr>
        <w:jc w:val="both"/>
        <w:ind w:left="1182" w:right="200"/>
        <w:spacing w:after="0" w:line="271" w:lineRule="auto"/>
        <w:rPr>
          <w:sz w:val="20"/>
          <w:szCs w:val="20"/>
          <w:color w:val="auto"/>
        </w:rPr>
      </w:pPr>
      <w:r>
        <w:rPr>
          <w:rFonts w:ascii="Arial" w:cs="Arial" w:eastAsia="Arial" w:hAnsi="Arial"/>
          <w:sz w:val="16"/>
          <w:szCs w:val="16"/>
          <w:color w:val="auto"/>
        </w:rPr>
        <w:t>In the three-month period ended March 31, 2020, the Group did not have any significant commitments to purchase property, furniture and equipment. During the year 2019, the Bank has made disbursements mainly related to the remodeling of its headquarters in La Molina and integral remodeling to the Sucursal Cusco.</w:t>
      </w:r>
    </w:p>
    <w:p>
      <w:pPr>
        <w:spacing w:after="0" w:line="163"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Credicorp’s subsidiaries hold insurance contracts over its main assets in accordance with the policies established by Management.</w:t>
      </w:r>
    </w:p>
    <w:p>
      <w:pPr>
        <w:spacing w:after="0" w:line="209" w:lineRule="exact"/>
        <w:rPr>
          <w:sz w:val="20"/>
          <w:szCs w:val="20"/>
          <w:color w:val="auto"/>
        </w:rPr>
      </w:pPr>
    </w:p>
    <w:p>
      <w:pPr>
        <w:ind w:left="1182" w:right="120"/>
        <w:spacing w:after="0" w:line="271" w:lineRule="auto"/>
        <w:rPr>
          <w:sz w:val="20"/>
          <w:szCs w:val="20"/>
          <w:color w:val="auto"/>
        </w:rPr>
      </w:pPr>
      <w:r>
        <w:rPr>
          <w:rFonts w:ascii="Arial" w:cs="Arial" w:eastAsia="Arial" w:hAnsi="Arial"/>
          <w:sz w:val="16"/>
          <w:szCs w:val="16"/>
          <w:color w:val="auto"/>
        </w:rPr>
        <w:t>Management periodically reviews the residual value, useful life and method of depreciation of the Group’s property, furniture and equipment to ensure that they are consistent with their actual economic benefits and life expectations. In Management’s opinion, as of March 31, 2020 and December 31, 2019, there is no evidence of impairment of the Group’s property, furniture and equipment.</w:t>
      </w:r>
    </w:p>
    <w:p>
      <w:pPr>
        <w:spacing w:after="0" w:line="359"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182"/>
          </w:cols>
          <w:pgMar w:left="318" w:top="835" w:right="399" w:bottom="1440" w:gutter="0" w:footer="0" w:header="0"/>
        </w:sectPr>
      </w:pPr>
    </w:p>
    <w:bookmarkStart w:id="43" w:name="page44"/>
    <w:bookmarkEnd w:id="43"/>
    <w:p>
      <w:pPr>
        <w:ind w:left="582" w:hanging="582"/>
        <w:spacing w:after="0"/>
        <w:tabs>
          <w:tab w:leader="none" w:pos="582"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INTANGIBLE ASSETS AND GOODWILL, NET</w:t>
      </w:r>
    </w:p>
    <w:p>
      <w:pPr>
        <w:spacing w:after="0" w:line="213" w:lineRule="exact"/>
        <w:rPr>
          <w:rFonts w:ascii="Arial" w:cs="Arial" w:eastAsia="Arial" w:hAnsi="Arial"/>
          <w:sz w:val="16"/>
          <w:szCs w:val="16"/>
          <w:b w:val="1"/>
          <w:bCs w:val="1"/>
          <w:color w:val="auto"/>
        </w:rPr>
      </w:pPr>
    </w:p>
    <w:p>
      <w:pPr>
        <w:ind w:left="1182" w:hanging="297"/>
        <w:spacing w:after="0"/>
        <w:tabs>
          <w:tab w:leader="none" w:pos="1182" w:val="left"/>
        </w:tabs>
        <w:numPr>
          <w:ilvl w:val="1"/>
          <w:numId w:val="40"/>
        </w:numPr>
        <w:rPr>
          <w:rFonts w:ascii="Arial" w:cs="Arial" w:eastAsia="Arial" w:hAnsi="Arial"/>
          <w:sz w:val="16"/>
          <w:szCs w:val="16"/>
          <w:color w:val="auto"/>
        </w:rPr>
      </w:pPr>
      <w:r>
        <w:rPr>
          <w:rFonts w:ascii="Arial" w:cs="Arial" w:eastAsia="Arial" w:hAnsi="Arial"/>
          <w:sz w:val="16"/>
          <w:szCs w:val="16"/>
          <w:color w:val="auto"/>
        </w:rPr>
        <w:t>Intangible assets -</w:t>
      </w:r>
    </w:p>
    <w:p>
      <w:pPr>
        <w:spacing w:after="0" w:line="209" w:lineRule="exact"/>
        <w:rPr>
          <w:rFonts w:ascii="Arial" w:cs="Arial" w:eastAsia="Arial" w:hAnsi="Arial"/>
          <w:sz w:val="16"/>
          <w:szCs w:val="16"/>
          <w:color w:val="auto"/>
        </w:rPr>
      </w:pPr>
    </w:p>
    <w:p>
      <w:pPr>
        <w:ind w:left="1182"/>
        <w:spacing w:after="0"/>
        <w:rPr>
          <w:rFonts w:ascii="Arial" w:cs="Arial" w:eastAsia="Arial" w:hAnsi="Arial"/>
          <w:sz w:val="16"/>
          <w:szCs w:val="16"/>
          <w:color w:val="auto"/>
        </w:rPr>
      </w:pPr>
      <w:r>
        <w:rPr>
          <w:rFonts w:ascii="Arial" w:cs="Arial" w:eastAsia="Arial" w:hAnsi="Arial"/>
          <w:sz w:val="14"/>
          <w:szCs w:val="14"/>
          <w:color w:val="auto"/>
        </w:rPr>
        <w:t>The composition of intangible assets with limited useful life and accumulated amortization as of March 31, 2020 and December 31, 2019 was as follows:</w:t>
      </w:r>
    </w:p>
    <w:p>
      <w:pPr>
        <w:spacing w:after="0" w:line="245" w:lineRule="exact"/>
        <w:rPr>
          <w:sz w:val="20"/>
          <w:szCs w:val="20"/>
          <w:color w:val="auto"/>
        </w:rPr>
      </w:pPr>
    </w:p>
    <w:tbl>
      <w:tblPr>
        <w:tblLayout w:type="fixed"/>
        <w:tblInd w:w="1182" w:type="dxa"/>
        <w:tblCellMar>
          <w:top w:w="0" w:type="dxa"/>
          <w:left w:w="0" w:type="dxa"/>
          <w:bottom w:w="0" w:type="dxa"/>
          <w:right w:w="0" w:type="dxa"/>
        </w:tblCellMar>
      </w:tblPr>
      <w:tr>
        <w:trPr>
          <w:trHeight w:val="194"/>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6"/>
          </w:tcPr>
          <w:p>
            <w:pPr>
              <w:jc w:val="center"/>
              <w:ind w:left="666"/>
              <w:spacing w:after="0"/>
              <w:rPr>
                <w:sz w:val="20"/>
                <w:szCs w:val="20"/>
                <w:color w:val="auto"/>
              </w:rPr>
            </w:pPr>
            <w:r>
              <w:rPr>
                <w:rFonts w:ascii="Arial" w:cs="Arial" w:eastAsia="Arial" w:hAnsi="Arial"/>
                <w:sz w:val="15"/>
                <w:szCs w:val="15"/>
                <w:b w:val="1"/>
                <w:bCs w:val="1"/>
                <w:color w:val="auto"/>
                <w:w w:val="90"/>
              </w:rPr>
              <w:t>As of March 31, 2020</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8"/>
          </w:tcPr>
          <w:p>
            <w:pPr>
              <w:jc w:val="center"/>
              <w:ind w:right="180"/>
              <w:spacing w:after="0"/>
              <w:rPr>
                <w:sz w:val="20"/>
                <w:szCs w:val="20"/>
                <w:color w:val="auto"/>
              </w:rPr>
            </w:pPr>
            <w:r>
              <w:rPr>
                <w:rFonts w:ascii="Arial" w:cs="Arial" w:eastAsia="Arial" w:hAnsi="Arial"/>
                <w:sz w:val="15"/>
                <w:szCs w:val="15"/>
                <w:b w:val="1"/>
                <w:bCs w:val="1"/>
                <w:color w:val="auto"/>
                <w:w w:val="87"/>
              </w:rPr>
              <w:t>As of December 31, 2019</w:t>
            </w:r>
          </w:p>
        </w:tc>
      </w:tr>
      <w:tr>
        <w:trPr>
          <w:trHeight w:val="167"/>
        </w:trPr>
        <w:tc>
          <w:tcPr>
            <w:tcW w:w="35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4"/>
          </w:tcPr>
          <w:p>
            <w:pPr>
              <w:jc w:val="center"/>
              <w:ind w:right="220"/>
              <w:spacing w:after="0" w:line="167" w:lineRule="exact"/>
              <w:rPr>
                <w:sz w:val="20"/>
                <w:szCs w:val="20"/>
                <w:color w:val="auto"/>
              </w:rPr>
            </w:pPr>
            <w:r>
              <w:rPr>
                <w:rFonts w:ascii="Arial" w:cs="Arial" w:eastAsia="Arial" w:hAnsi="Arial"/>
                <w:sz w:val="15"/>
                <w:szCs w:val="15"/>
                <w:b w:val="1"/>
                <w:bCs w:val="1"/>
                <w:color w:val="auto"/>
                <w:w w:val="87"/>
              </w:rPr>
              <w:t>Accumulated</w:t>
            </w:r>
          </w:p>
        </w:tc>
        <w:tc>
          <w:tcPr>
            <w:tcW w:w="880" w:type="dxa"/>
            <w:vAlign w:val="bottom"/>
            <w:tcBorders>
              <w:top w:val="single" w:sz="8" w:color="auto"/>
            </w:tcBorders>
            <w:gridSpan w:val="2"/>
          </w:tcPr>
          <w:p>
            <w:pPr>
              <w:jc w:val="center"/>
              <w:spacing w:after="0" w:line="167" w:lineRule="exact"/>
              <w:rPr>
                <w:sz w:val="20"/>
                <w:szCs w:val="20"/>
                <w:color w:val="auto"/>
              </w:rPr>
            </w:pPr>
            <w:r>
              <w:rPr>
                <w:rFonts w:ascii="Arial" w:cs="Arial" w:eastAsia="Arial" w:hAnsi="Arial"/>
                <w:sz w:val="15"/>
                <w:szCs w:val="15"/>
                <w:b w:val="1"/>
                <w:bCs w:val="1"/>
                <w:color w:val="auto"/>
                <w:w w:val="91"/>
              </w:rPr>
              <w:t>Net carrying</w:t>
            </w: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3"/>
          </w:tcPr>
          <w:p>
            <w:pPr>
              <w:jc w:val="center"/>
              <w:ind w:right="158"/>
              <w:spacing w:after="0" w:line="167" w:lineRule="exact"/>
              <w:rPr>
                <w:sz w:val="20"/>
                <w:szCs w:val="20"/>
                <w:color w:val="auto"/>
              </w:rPr>
            </w:pPr>
            <w:r>
              <w:rPr>
                <w:rFonts w:ascii="Arial" w:cs="Arial" w:eastAsia="Arial" w:hAnsi="Arial"/>
                <w:sz w:val="15"/>
                <w:szCs w:val="15"/>
                <w:b w:val="1"/>
                <w:bCs w:val="1"/>
                <w:color w:val="auto"/>
                <w:w w:val="87"/>
              </w:rPr>
              <w:t>Accumulated</w:t>
            </w:r>
          </w:p>
        </w:tc>
        <w:tc>
          <w:tcPr>
            <w:tcW w:w="900" w:type="dxa"/>
            <w:vAlign w:val="bottom"/>
            <w:tcBorders>
              <w:top w:val="single" w:sz="8" w:color="auto"/>
            </w:tcBorders>
            <w:gridSpan w:val="2"/>
          </w:tcPr>
          <w:p>
            <w:pPr>
              <w:jc w:val="center"/>
              <w:spacing w:after="0" w:line="167" w:lineRule="exact"/>
              <w:rPr>
                <w:sz w:val="20"/>
                <w:szCs w:val="20"/>
                <w:color w:val="auto"/>
              </w:rPr>
            </w:pPr>
            <w:r>
              <w:rPr>
                <w:rFonts w:ascii="Arial" w:cs="Arial" w:eastAsia="Arial" w:hAnsi="Arial"/>
                <w:sz w:val="15"/>
                <w:szCs w:val="15"/>
                <w:b w:val="1"/>
                <w:bCs w:val="1"/>
                <w:color w:val="auto"/>
                <w:w w:val="91"/>
              </w:rPr>
              <w:t>Net carrying</w:t>
            </w:r>
          </w:p>
        </w:tc>
        <w:tc>
          <w:tcPr>
            <w:tcW w:w="80" w:type="dxa"/>
            <w:vAlign w:val="bottom"/>
          </w:tcPr>
          <w:p>
            <w:pPr>
              <w:spacing w:after="0"/>
              <w:rPr>
                <w:sz w:val="14"/>
                <w:szCs w:val="14"/>
                <w:color w:val="auto"/>
              </w:rPr>
            </w:pPr>
          </w:p>
        </w:tc>
      </w:tr>
      <w:tr>
        <w:trPr>
          <w:trHeight w:val="194"/>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Cost</w:t>
            </w:r>
          </w:p>
        </w:tc>
        <w:tc>
          <w:tcPr>
            <w:tcW w:w="1120" w:type="dxa"/>
            <w:vAlign w:val="bottom"/>
            <w:gridSpan w:val="4"/>
          </w:tcPr>
          <w:p>
            <w:pPr>
              <w:jc w:val="center"/>
              <w:ind w:right="220"/>
              <w:spacing w:after="0"/>
              <w:rPr>
                <w:sz w:val="20"/>
                <w:szCs w:val="20"/>
                <w:color w:val="auto"/>
              </w:rPr>
            </w:pPr>
            <w:r>
              <w:rPr>
                <w:rFonts w:ascii="Arial" w:cs="Arial" w:eastAsia="Arial" w:hAnsi="Arial"/>
                <w:sz w:val="15"/>
                <w:szCs w:val="15"/>
                <w:b w:val="1"/>
                <w:bCs w:val="1"/>
                <w:color w:val="auto"/>
                <w:w w:val="91"/>
              </w:rPr>
              <w:t>amortization</w:t>
            </w:r>
          </w:p>
        </w:tc>
        <w:tc>
          <w:tcPr>
            <w:tcW w:w="80" w:type="dxa"/>
            <w:vAlign w:val="bottom"/>
          </w:tcPr>
          <w:p>
            <w:pPr>
              <w:spacing w:after="0"/>
              <w:rPr>
                <w:sz w:val="16"/>
                <w:szCs w:val="16"/>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5"/>
                <w:szCs w:val="15"/>
                <w:b w:val="1"/>
                <w:bCs w:val="1"/>
                <w:color w:val="auto"/>
                <w:w w:val="88"/>
              </w:rPr>
              <w:t>amount</w:t>
            </w:r>
          </w:p>
        </w:tc>
        <w:tc>
          <w:tcPr>
            <w:tcW w:w="800" w:type="dxa"/>
            <w:vAlign w:val="bottom"/>
          </w:tcPr>
          <w:p>
            <w:pPr>
              <w:jc w:val="right"/>
              <w:ind w:right="226"/>
              <w:spacing w:after="0"/>
              <w:rPr>
                <w:sz w:val="20"/>
                <w:szCs w:val="20"/>
                <w:color w:val="auto"/>
              </w:rPr>
            </w:pPr>
            <w:r>
              <w:rPr>
                <w:rFonts w:ascii="Arial" w:cs="Arial" w:eastAsia="Arial" w:hAnsi="Arial"/>
                <w:sz w:val="15"/>
                <w:szCs w:val="15"/>
                <w:b w:val="1"/>
                <w:bCs w:val="1"/>
                <w:color w:val="auto"/>
              </w:rPr>
              <w:t>Cost</w:t>
            </w:r>
          </w:p>
        </w:tc>
        <w:tc>
          <w:tcPr>
            <w:tcW w:w="200" w:type="dxa"/>
            <w:vAlign w:val="bottom"/>
          </w:tcPr>
          <w:p>
            <w:pPr>
              <w:spacing w:after="0"/>
              <w:rPr>
                <w:sz w:val="16"/>
                <w:szCs w:val="16"/>
                <w:color w:val="auto"/>
              </w:rPr>
            </w:pPr>
          </w:p>
        </w:tc>
        <w:tc>
          <w:tcPr>
            <w:tcW w:w="1100" w:type="dxa"/>
            <w:vAlign w:val="bottom"/>
            <w:gridSpan w:val="3"/>
          </w:tcPr>
          <w:p>
            <w:pPr>
              <w:jc w:val="center"/>
              <w:ind w:right="158"/>
              <w:spacing w:after="0"/>
              <w:rPr>
                <w:sz w:val="20"/>
                <w:szCs w:val="20"/>
                <w:color w:val="auto"/>
              </w:rPr>
            </w:pPr>
            <w:r>
              <w:rPr>
                <w:rFonts w:ascii="Arial" w:cs="Arial" w:eastAsia="Arial" w:hAnsi="Arial"/>
                <w:sz w:val="15"/>
                <w:szCs w:val="15"/>
                <w:b w:val="1"/>
                <w:bCs w:val="1"/>
                <w:color w:val="auto"/>
                <w:w w:val="91"/>
              </w:rPr>
              <w:t>amortization</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8"/>
              </w:rPr>
              <w:t>amount</w:t>
            </w:r>
          </w:p>
        </w:tc>
      </w:tr>
      <w:tr>
        <w:trPr>
          <w:trHeight w:val="179"/>
        </w:trPr>
        <w:tc>
          <w:tcPr>
            <w:tcW w:w="35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S/(000)</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S/(000)</w:t>
            </w:r>
          </w:p>
        </w:tc>
        <w:tc>
          <w:tcPr>
            <w:tcW w:w="2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S/(000)</w:t>
            </w: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S/(000)</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S/(000)</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S/(000)</w:t>
            </w:r>
          </w:p>
        </w:tc>
        <w:tc>
          <w:tcPr>
            <w:tcW w:w="80" w:type="dxa"/>
            <w:vAlign w:val="bottom"/>
          </w:tcPr>
          <w:p>
            <w:pPr>
              <w:spacing w:after="0"/>
              <w:rPr>
                <w:sz w:val="15"/>
                <w:szCs w:val="15"/>
                <w:color w:val="auto"/>
              </w:rPr>
            </w:pPr>
          </w:p>
        </w:tc>
      </w:tr>
      <w:tr>
        <w:trPr>
          <w:trHeight w:val="184"/>
        </w:trPr>
        <w:tc>
          <w:tcPr>
            <w:tcW w:w="3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Client relationships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362,450</w:t>
            </w:r>
          </w:p>
        </w:tc>
        <w:tc>
          <w:tcPr>
            <w:tcW w:w="1100" w:type="dxa"/>
            <w:vAlign w:val="bottom"/>
            <w:gridSpan w:val="3"/>
            <w:shd w:val="clear" w:color="auto" w:fill="CCEEFF"/>
          </w:tcPr>
          <w:p>
            <w:pPr>
              <w:jc w:val="right"/>
              <w:ind w:right="118"/>
              <w:spacing w:after="0"/>
              <w:rPr>
                <w:sz w:val="20"/>
                <w:szCs w:val="20"/>
                <w:color w:val="auto"/>
              </w:rPr>
            </w:pPr>
            <w:r>
              <w:rPr>
                <w:rFonts w:ascii="Arial" w:cs="Arial" w:eastAsia="Arial" w:hAnsi="Arial"/>
                <w:sz w:val="15"/>
                <w:szCs w:val="15"/>
                <w:color w:val="auto"/>
              </w:rPr>
              <w:t>(238,649)</w:t>
            </w:r>
          </w:p>
        </w:tc>
        <w:tc>
          <w:tcPr>
            <w:tcW w:w="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123,801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378,896</w:t>
            </w:r>
          </w:p>
        </w:tc>
        <w:tc>
          <w:tcPr>
            <w:tcW w:w="1300" w:type="dxa"/>
            <w:vAlign w:val="bottom"/>
            <w:gridSpan w:val="4"/>
            <w:shd w:val="clear" w:color="auto" w:fill="CCEEFF"/>
          </w:tcPr>
          <w:p>
            <w:pPr>
              <w:jc w:val="right"/>
              <w:ind w:right="118"/>
              <w:spacing w:after="0"/>
              <w:rPr>
                <w:sz w:val="20"/>
                <w:szCs w:val="20"/>
                <w:color w:val="auto"/>
              </w:rPr>
            </w:pPr>
            <w:r>
              <w:rPr>
                <w:rFonts w:ascii="Arial" w:cs="Arial" w:eastAsia="Arial" w:hAnsi="Arial"/>
                <w:sz w:val="15"/>
                <w:szCs w:val="15"/>
                <w:color w:val="auto"/>
              </w:rPr>
              <w:t>(243,951)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134,945</w:t>
            </w:r>
          </w:p>
        </w:tc>
        <w:tc>
          <w:tcPr>
            <w:tcW w:w="80" w:type="dxa"/>
            <w:vAlign w:val="bottom"/>
            <w:shd w:val="clear" w:color="auto" w:fill="CCEEFF"/>
          </w:tcPr>
          <w:p>
            <w:pPr>
              <w:spacing w:after="0"/>
              <w:rPr>
                <w:sz w:val="16"/>
                <w:szCs w:val="16"/>
                <w:color w:val="auto"/>
              </w:rPr>
            </w:pPr>
          </w:p>
        </w:tc>
      </w:tr>
      <w:tr>
        <w:trPr>
          <w:trHeight w:val="184"/>
        </w:trPr>
        <w:tc>
          <w:tcPr>
            <w:tcW w:w="3640" w:type="dxa"/>
            <w:vAlign w:val="bottom"/>
            <w:gridSpan w:val="2"/>
          </w:tcPr>
          <w:p>
            <w:pPr>
              <w:spacing w:after="0"/>
              <w:rPr>
                <w:sz w:val="20"/>
                <w:szCs w:val="20"/>
                <w:color w:val="auto"/>
              </w:rPr>
            </w:pPr>
            <w:r>
              <w:rPr>
                <w:rFonts w:ascii="Arial" w:cs="Arial" w:eastAsia="Arial" w:hAnsi="Arial"/>
                <w:sz w:val="15"/>
                <w:szCs w:val="15"/>
                <w:color w:val="auto"/>
              </w:rPr>
              <w:t>Brand name</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191,346</w:t>
            </w:r>
          </w:p>
        </w:tc>
        <w:tc>
          <w:tcPr>
            <w:tcW w:w="1100" w:type="dxa"/>
            <w:vAlign w:val="bottom"/>
            <w:gridSpan w:val="3"/>
          </w:tcPr>
          <w:p>
            <w:pPr>
              <w:jc w:val="right"/>
              <w:ind w:right="118"/>
              <w:spacing w:after="0"/>
              <w:rPr>
                <w:sz w:val="20"/>
                <w:szCs w:val="20"/>
                <w:color w:val="auto"/>
              </w:rPr>
            </w:pPr>
            <w:r>
              <w:rPr>
                <w:rFonts w:ascii="Arial" w:cs="Arial" w:eastAsia="Arial" w:hAnsi="Arial"/>
                <w:sz w:val="15"/>
                <w:szCs w:val="15"/>
                <w:color w:val="auto"/>
              </w:rPr>
              <w:t>(60,745)</w:t>
            </w:r>
          </w:p>
        </w:tc>
        <w:tc>
          <w:tcPr>
            <w:tcW w:w="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130,601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193,247</w:t>
            </w:r>
          </w:p>
        </w:tc>
        <w:tc>
          <w:tcPr>
            <w:tcW w:w="1300" w:type="dxa"/>
            <w:vAlign w:val="bottom"/>
            <w:gridSpan w:val="4"/>
          </w:tcPr>
          <w:p>
            <w:pPr>
              <w:jc w:val="right"/>
              <w:ind w:right="118"/>
              <w:spacing w:after="0"/>
              <w:rPr>
                <w:sz w:val="20"/>
                <w:szCs w:val="20"/>
                <w:color w:val="auto"/>
              </w:rPr>
            </w:pPr>
            <w:r>
              <w:rPr>
                <w:rFonts w:ascii="Arial" w:cs="Arial" w:eastAsia="Arial" w:hAnsi="Arial"/>
                <w:sz w:val="15"/>
                <w:szCs w:val="15"/>
                <w:color w:val="auto"/>
              </w:rPr>
              <w:t>(60,643)</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132,604</w:t>
            </w:r>
          </w:p>
        </w:tc>
        <w:tc>
          <w:tcPr>
            <w:tcW w:w="80" w:type="dxa"/>
            <w:vAlign w:val="bottom"/>
          </w:tcPr>
          <w:p>
            <w:pPr>
              <w:spacing w:after="0"/>
              <w:rPr>
                <w:sz w:val="16"/>
                <w:szCs w:val="16"/>
                <w:color w:val="auto"/>
              </w:rPr>
            </w:pPr>
          </w:p>
        </w:tc>
      </w:tr>
      <w:tr>
        <w:trPr>
          <w:trHeight w:val="184"/>
        </w:trPr>
        <w:tc>
          <w:tcPr>
            <w:tcW w:w="3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Fund manager contract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82,139</w:t>
            </w:r>
          </w:p>
        </w:tc>
        <w:tc>
          <w:tcPr>
            <w:tcW w:w="1100" w:type="dxa"/>
            <w:vAlign w:val="bottom"/>
            <w:gridSpan w:val="3"/>
            <w:shd w:val="clear" w:color="auto" w:fill="CCEEFF"/>
          </w:tcPr>
          <w:p>
            <w:pPr>
              <w:jc w:val="right"/>
              <w:ind w:right="118"/>
              <w:spacing w:after="0"/>
              <w:rPr>
                <w:sz w:val="20"/>
                <w:szCs w:val="20"/>
                <w:color w:val="auto"/>
              </w:rPr>
            </w:pPr>
            <w:r>
              <w:rPr>
                <w:rFonts w:ascii="Arial" w:cs="Arial" w:eastAsia="Arial" w:hAnsi="Arial"/>
                <w:sz w:val="15"/>
                <w:szCs w:val="15"/>
                <w:color w:val="auto"/>
              </w:rPr>
              <w:t>(12,141)</w:t>
            </w:r>
          </w:p>
        </w:tc>
        <w:tc>
          <w:tcPr>
            <w:tcW w:w="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69,998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94,143</w:t>
            </w:r>
          </w:p>
        </w:tc>
        <w:tc>
          <w:tcPr>
            <w:tcW w:w="1300" w:type="dxa"/>
            <w:vAlign w:val="bottom"/>
            <w:gridSpan w:val="4"/>
            <w:shd w:val="clear" w:color="auto" w:fill="CCEEFF"/>
          </w:tcPr>
          <w:p>
            <w:pPr>
              <w:jc w:val="right"/>
              <w:ind w:right="118"/>
              <w:spacing w:after="0"/>
              <w:rPr>
                <w:sz w:val="20"/>
                <w:szCs w:val="20"/>
                <w:color w:val="auto"/>
              </w:rPr>
            </w:pPr>
            <w:r>
              <w:rPr>
                <w:rFonts w:ascii="Arial" w:cs="Arial" w:eastAsia="Arial" w:hAnsi="Arial"/>
                <w:sz w:val="15"/>
                <w:szCs w:val="15"/>
                <w:color w:val="auto"/>
              </w:rPr>
              <w:t>(12,441)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81,702</w:t>
            </w:r>
          </w:p>
        </w:tc>
        <w:tc>
          <w:tcPr>
            <w:tcW w:w="80" w:type="dxa"/>
            <w:vAlign w:val="bottom"/>
            <w:shd w:val="clear" w:color="auto" w:fill="CCEEFF"/>
          </w:tcPr>
          <w:p>
            <w:pPr>
              <w:spacing w:after="0"/>
              <w:rPr>
                <w:sz w:val="16"/>
                <w:szCs w:val="16"/>
                <w:color w:val="auto"/>
              </w:rPr>
            </w:pPr>
          </w:p>
        </w:tc>
      </w:tr>
      <w:tr>
        <w:trPr>
          <w:trHeight w:val="184"/>
        </w:trPr>
        <w:tc>
          <w:tcPr>
            <w:tcW w:w="3640" w:type="dxa"/>
            <w:vAlign w:val="bottom"/>
            <w:gridSpan w:val="2"/>
          </w:tcPr>
          <w:p>
            <w:pPr>
              <w:spacing w:after="0"/>
              <w:rPr>
                <w:sz w:val="20"/>
                <w:szCs w:val="20"/>
                <w:color w:val="auto"/>
              </w:rPr>
            </w:pPr>
            <w:r>
              <w:rPr>
                <w:rFonts w:ascii="Arial" w:cs="Arial" w:eastAsia="Arial" w:hAnsi="Arial"/>
                <w:sz w:val="15"/>
                <w:szCs w:val="15"/>
                <w:color w:val="auto"/>
              </w:rPr>
              <w:t>Relationships with holders</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21,100</w:t>
            </w:r>
          </w:p>
        </w:tc>
        <w:tc>
          <w:tcPr>
            <w:tcW w:w="1100" w:type="dxa"/>
            <w:vAlign w:val="bottom"/>
            <w:gridSpan w:val="3"/>
          </w:tcPr>
          <w:p>
            <w:pPr>
              <w:jc w:val="right"/>
              <w:ind w:right="118"/>
              <w:spacing w:after="0"/>
              <w:rPr>
                <w:sz w:val="20"/>
                <w:szCs w:val="20"/>
                <w:color w:val="auto"/>
              </w:rPr>
            </w:pPr>
            <w:r>
              <w:rPr>
                <w:rFonts w:ascii="Arial" w:cs="Arial" w:eastAsia="Arial" w:hAnsi="Arial"/>
                <w:sz w:val="15"/>
                <w:szCs w:val="15"/>
                <w:color w:val="auto"/>
              </w:rPr>
              <w:t>(21,100)</w:t>
            </w:r>
          </w:p>
        </w:tc>
        <w:tc>
          <w:tcPr>
            <w:tcW w:w="20" w:type="dxa"/>
            <w:vAlign w:val="bottom"/>
          </w:tcPr>
          <w:p>
            <w:pPr>
              <w:spacing w:after="0"/>
              <w:rPr>
                <w:sz w:val="16"/>
                <w:szCs w:val="16"/>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21,100</w:t>
            </w:r>
          </w:p>
        </w:tc>
        <w:tc>
          <w:tcPr>
            <w:tcW w:w="1300" w:type="dxa"/>
            <w:vAlign w:val="bottom"/>
            <w:gridSpan w:val="4"/>
          </w:tcPr>
          <w:p>
            <w:pPr>
              <w:jc w:val="right"/>
              <w:ind w:right="118"/>
              <w:spacing w:after="0"/>
              <w:rPr>
                <w:sz w:val="20"/>
                <w:szCs w:val="20"/>
                <w:color w:val="auto"/>
              </w:rPr>
            </w:pPr>
            <w:r>
              <w:rPr>
                <w:rFonts w:ascii="Arial" w:cs="Arial" w:eastAsia="Arial" w:hAnsi="Arial"/>
                <w:sz w:val="15"/>
                <w:szCs w:val="15"/>
                <w:color w:val="auto"/>
              </w:rPr>
              <w:t>(20,219)</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881</w:t>
            </w:r>
          </w:p>
        </w:tc>
        <w:tc>
          <w:tcPr>
            <w:tcW w:w="80" w:type="dxa"/>
            <w:vAlign w:val="bottom"/>
          </w:tcPr>
          <w:p>
            <w:pPr>
              <w:spacing w:after="0"/>
              <w:rPr>
                <w:sz w:val="16"/>
                <w:szCs w:val="16"/>
                <w:color w:val="auto"/>
              </w:rPr>
            </w:pPr>
          </w:p>
        </w:tc>
      </w:tr>
      <w:tr>
        <w:trPr>
          <w:trHeight w:val="184"/>
        </w:trPr>
        <w:tc>
          <w:tcPr>
            <w:tcW w:w="3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Software and developments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2,725,960</w:t>
            </w:r>
          </w:p>
        </w:tc>
        <w:tc>
          <w:tcPr>
            <w:tcW w:w="1100" w:type="dxa"/>
            <w:vAlign w:val="bottom"/>
            <w:gridSpan w:val="3"/>
            <w:shd w:val="clear" w:color="auto" w:fill="CCEEFF"/>
          </w:tcPr>
          <w:p>
            <w:pPr>
              <w:jc w:val="right"/>
              <w:ind w:right="118"/>
              <w:spacing w:after="0"/>
              <w:rPr>
                <w:sz w:val="20"/>
                <w:szCs w:val="20"/>
                <w:color w:val="auto"/>
              </w:rPr>
            </w:pPr>
            <w:r>
              <w:rPr>
                <w:rFonts w:ascii="Arial" w:cs="Arial" w:eastAsia="Arial" w:hAnsi="Arial"/>
                <w:sz w:val="15"/>
                <w:szCs w:val="15"/>
                <w:color w:val="auto"/>
              </w:rPr>
              <w:t>(1,848,784)</w:t>
            </w:r>
          </w:p>
        </w:tc>
        <w:tc>
          <w:tcPr>
            <w:tcW w:w="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877,176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2,704,561</w:t>
            </w:r>
          </w:p>
        </w:tc>
        <w:tc>
          <w:tcPr>
            <w:tcW w:w="1300" w:type="dxa"/>
            <w:vAlign w:val="bottom"/>
            <w:gridSpan w:val="4"/>
            <w:shd w:val="clear" w:color="auto" w:fill="CCEEFF"/>
          </w:tcPr>
          <w:p>
            <w:pPr>
              <w:jc w:val="right"/>
              <w:ind w:right="118"/>
              <w:spacing w:after="0"/>
              <w:rPr>
                <w:sz w:val="20"/>
                <w:szCs w:val="20"/>
                <w:color w:val="auto"/>
              </w:rPr>
            </w:pPr>
            <w:r>
              <w:rPr>
                <w:rFonts w:ascii="Arial" w:cs="Arial" w:eastAsia="Arial" w:hAnsi="Arial"/>
                <w:sz w:val="15"/>
                <w:szCs w:val="15"/>
                <w:color w:val="auto"/>
              </w:rPr>
              <w:t>(1,774,183)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930,378</w:t>
            </w:r>
          </w:p>
        </w:tc>
        <w:tc>
          <w:tcPr>
            <w:tcW w:w="80" w:type="dxa"/>
            <w:vAlign w:val="bottom"/>
            <w:shd w:val="clear" w:color="auto" w:fill="CCEEFF"/>
          </w:tcPr>
          <w:p>
            <w:pPr>
              <w:spacing w:after="0"/>
              <w:rPr>
                <w:sz w:val="16"/>
                <w:szCs w:val="16"/>
                <w:color w:val="auto"/>
              </w:rPr>
            </w:pPr>
          </w:p>
        </w:tc>
      </w:tr>
      <w:tr>
        <w:trPr>
          <w:trHeight w:val="184"/>
        </w:trPr>
        <w:tc>
          <w:tcPr>
            <w:tcW w:w="3640" w:type="dxa"/>
            <w:vAlign w:val="bottom"/>
            <w:gridSpan w:val="2"/>
          </w:tcPr>
          <w:p>
            <w:pPr>
              <w:spacing w:after="0"/>
              <w:rPr>
                <w:sz w:val="20"/>
                <w:szCs w:val="20"/>
                <w:color w:val="auto"/>
              </w:rPr>
            </w:pPr>
            <w:r>
              <w:rPr>
                <w:rFonts w:ascii="Arial" w:cs="Arial" w:eastAsia="Arial" w:hAnsi="Arial"/>
                <w:sz w:val="15"/>
                <w:szCs w:val="15"/>
                <w:color w:val="auto"/>
              </w:rPr>
              <w:t>Intangible in progress</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376,112</w:t>
            </w:r>
          </w:p>
        </w:tc>
        <w:tc>
          <w:tcPr>
            <w:tcW w:w="1100" w:type="dxa"/>
            <w:vAlign w:val="bottom"/>
            <w:gridSpan w:val="3"/>
          </w:tcPr>
          <w:p>
            <w:pPr>
              <w:jc w:val="right"/>
              <w:ind w:right="158"/>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5"/>
                <w:szCs w:val="15"/>
                <w:color w:val="auto"/>
              </w:rPr>
              <w:t>376,112</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363,347</w:t>
            </w:r>
          </w:p>
        </w:tc>
        <w:tc>
          <w:tcPr>
            <w:tcW w:w="1300" w:type="dxa"/>
            <w:vAlign w:val="bottom"/>
            <w:gridSpan w:val="4"/>
          </w:tcPr>
          <w:p>
            <w:pPr>
              <w:jc w:val="right"/>
              <w:ind w:right="158"/>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363,347</w:t>
            </w:r>
          </w:p>
        </w:tc>
        <w:tc>
          <w:tcPr>
            <w:tcW w:w="80" w:type="dxa"/>
            <w:vAlign w:val="bottom"/>
          </w:tcPr>
          <w:p>
            <w:pPr>
              <w:spacing w:after="0"/>
              <w:rPr>
                <w:sz w:val="16"/>
                <w:szCs w:val="16"/>
                <w:color w:val="auto"/>
              </w:rPr>
            </w:pPr>
          </w:p>
        </w:tc>
      </w:tr>
      <w:tr>
        <w:trPr>
          <w:trHeight w:val="197"/>
        </w:trPr>
        <w:tc>
          <w:tcPr>
            <w:tcW w:w="3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68,592</w:t>
            </w:r>
          </w:p>
        </w:tc>
        <w:tc>
          <w:tcPr>
            <w:tcW w:w="1100" w:type="dxa"/>
            <w:vAlign w:val="bottom"/>
            <w:gridSpan w:val="3"/>
            <w:shd w:val="clear" w:color="auto" w:fill="CCEEFF"/>
          </w:tcPr>
          <w:p>
            <w:pPr>
              <w:jc w:val="right"/>
              <w:ind w:right="118"/>
              <w:spacing w:after="0"/>
              <w:rPr>
                <w:sz w:val="20"/>
                <w:szCs w:val="20"/>
                <w:color w:val="auto"/>
              </w:rPr>
            </w:pPr>
            <w:r>
              <w:rPr>
                <w:rFonts w:ascii="Arial" w:cs="Arial" w:eastAsia="Arial" w:hAnsi="Arial"/>
                <w:sz w:val="15"/>
                <w:szCs w:val="15"/>
                <w:color w:val="auto"/>
              </w:rPr>
              <w:t>(41,214)</w:t>
            </w:r>
          </w:p>
        </w:tc>
        <w:tc>
          <w:tcPr>
            <w:tcW w:w="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27,378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49,695</w:t>
            </w:r>
          </w:p>
        </w:tc>
        <w:tc>
          <w:tcPr>
            <w:tcW w:w="1300" w:type="dxa"/>
            <w:vAlign w:val="bottom"/>
            <w:gridSpan w:val="4"/>
            <w:shd w:val="clear" w:color="auto" w:fill="CCEEFF"/>
          </w:tcPr>
          <w:p>
            <w:pPr>
              <w:jc w:val="right"/>
              <w:ind w:right="118"/>
              <w:spacing w:after="0"/>
              <w:rPr>
                <w:sz w:val="20"/>
                <w:szCs w:val="20"/>
                <w:color w:val="auto"/>
              </w:rPr>
            </w:pPr>
            <w:r>
              <w:rPr>
                <w:rFonts w:ascii="Arial" w:cs="Arial" w:eastAsia="Arial" w:hAnsi="Arial"/>
                <w:sz w:val="15"/>
                <w:szCs w:val="15"/>
                <w:color w:val="auto"/>
              </w:rPr>
              <w:t>(27,287)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22,408</w:t>
            </w:r>
          </w:p>
        </w:tc>
        <w:tc>
          <w:tcPr>
            <w:tcW w:w="80" w:type="dxa"/>
            <w:vAlign w:val="bottom"/>
            <w:shd w:val="clear" w:color="auto" w:fill="CCEEFF"/>
          </w:tcPr>
          <w:p>
            <w:pPr>
              <w:spacing w:after="0"/>
              <w:rPr>
                <w:sz w:val="17"/>
                <w:szCs w:val="17"/>
                <w:color w:val="auto"/>
              </w:rPr>
            </w:pPr>
          </w:p>
        </w:tc>
      </w:tr>
      <w:tr>
        <w:trPr>
          <w:trHeight w:val="177"/>
        </w:trPr>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3,827,699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(2,222,633</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1,605,066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3,804,989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(2,138,724</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1,666,265</w:t>
            </w:r>
          </w:p>
        </w:tc>
        <w:tc>
          <w:tcPr>
            <w:tcW w:w="80" w:type="dxa"/>
            <w:vAlign w:val="bottom"/>
          </w:tcPr>
          <w:p>
            <w:pPr>
              <w:spacing w:after="0"/>
              <w:rPr>
                <w:sz w:val="15"/>
                <w:szCs w:val="15"/>
                <w:color w:val="auto"/>
              </w:rPr>
            </w:pPr>
          </w:p>
        </w:tc>
      </w:tr>
    </w:tbl>
    <w:p>
      <w:pPr>
        <w:spacing w:after="0" w:line="184" w:lineRule="exact"/>
        <w:rPr>
          <w:sz w:val="20"/>
          <w:szCs w:val="20"/>
          <w:color w:val="auto"/>
        </w:rPr>
      </w:pPr>
    </w:p>
    <w:p>
      <w:pPr>
        <w:ind w:left="1182" w:right="80"/>
        <w:spacing w:after="0" w:line="298" w:lineRule="auto"/>
        <w:rPr>
          <w:sz w:val="20"/>
          <w:szCs w:val="20"/>
          <w:color w:val="auto"/>
        </w:rPr>
      </w:pPr>
      <w:r>
        <w:rPr>
          <w:rFonts w:ascii="Arial" w:cs="Arial" w:eastAsia="Arial" w:hAnsi="Arial"/>
          <w:sz w:val="15"/>
          <w:szCs w:val="15"/>
          <w:color w:val="auto"/>
        </w:rPr>
        <w:t>In the three-month period ended March 31, 2020, the Group did not have any significant commitments to purchase or make intangibles. During the year 2019, the Group has made disbursements mainly related with the implementation and development of various IT projects such as DataLake, Holístico, SpotLigth, DWH, Operating Model, Client 360, Connex, Mainframe, Kalignite NDC, Small and medium businesses.</w:t>
      </w:r>
    </w:p>
    <w:p>
      <w:pPr>
        <w:spacing w:after="0" w:line="144" w:lineRule="exact"/>
        <w:rPr>
          <w:sz w:val="20"/>
          <w:szCs w:val="20"/>
          <w:color w:val="auto"/>
        </w:rPr>
      </w:pPr>
    </w:p>
    <w:p>
      <w:pPr>
        <w:ind w:left="1182" w:right="340"/>
        <w:spacing w:after="0" w:line="322" w:lineRule="auto"/>
        <w:rPr>
          <w:sz w:val="20"/>
          <w:szCs w:val="20"/>
          <w:color w:val="auto"/>
        </w:rPr>
      </w:pPr>
      <w:r>
        <w:rPr>
          <w:rFonts w:ascii="Arial" w:cs="Arial" w:eastAsia="Arial" w:hAnsi="Arial"/>
          <w:sz w:val="15"/>
          <w:szCs w:val="15"/>
          <w:color w:val="auto"/>
        </w:rPr>
        <w:t>Also, during the year 2019, the activation of various intangibles in progress was carried out, mainly the DataLake system for a total cost of US$19.7 million, equivalent to S/64.9 million. This system manages the Bank's customer database and provides various financial reports.</w:t>
      </w:r>
    </w:p>
    <w:p>
      <w:pPr>
        <w:spacing w:after="0" w:line="323"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2"/>
          </w:cols>
          <w:pgMar w:left="318" w:top="835" w:right="359" w:bottom="1440" w:gutter="0" w:footer="0" w:header="0"/>
        </w:sectPr>
      </w:pPr>
    </w:p>
    <w:bookmarkStart w:id="44" w:name="page45"/>
    <w:bookmarkEnd w:id="44"/>
    <w:p>
      <w:pPr>
        <w:ind w:left="297" w:hanging="297"/>
        <w:spacing w:after="0"/>
        <w:tabs>
          <w:tab w:leader="none" w:pos="297" w:val="left"/>
        </w:tabs>
        <w:numPr>
          <w:ilvl w:val="0"/>
          <w:numId w:val="41"/>
        </w:numPr>
        <w:rPr>
          <w:rFonts w:ascii="Arial" w:cs="Arial" w:eastAsia="Arial" w:hAnsi="Arial"/>
          <w:sz w:val="16"/>
          <w:szCs w:val="16"/>
          <w:color w:val="auto"/>
        </w:rPr>
      </w:pPr>
      <w:r>
        <w:rPr>
          <w:rFonts w:ascii="Arial" w:cs="Arial" w:eastAsia="Arial" w:hAnsi="Arial"/>
          <w:sz w:val="16"/>
          <w:szCs w:val="16"/>
          <w:color w:val="auto"/>
        </w:rPr>
        <w:t>Goodwill -</w:t>
      </w:r>
    </w:p>
    <w:p>
      <w:pPr>
        <w:spacing w:after="0" w:line="209" w:lineRule="exact"/>
        <w:rPr>
          <w:rFonts w:ascii="Arial" w:cs="Arial" w:eastAsia="Arial" w:hAnsi="Arial"/>
          <w:sz w:val="16"/>
          <w:szCs w:val="16"/>
          <w:color w:val="auto"/>
        </w:rPr>
      </w:pPr>
    </w:p>
    <w:p>
      <w:pPr>
        <w:ind w:left="297" w:right="160"/>
        <w:spacing w:after="0" w:line="287" w:lineRule="auto"/>
        <w:rPr>
          <w:rFonts w:ascii="Arial" w:cs="Arial" w:eastAsia="Arial" w:hAnsi="Arial"/>
          <w:sz w:val="16"/>
          <w:szCs w:val="16"/>
          <w:color w:val="auto"/>
        </w:rPr>
      </w:pPr>
      <w:r>
        <w:rPr>
          <w:rFonts w:ascii="Arial" w:cs="Arial" w:eastAsia="Arial" w:hAnsi="Arial"/>
          <w:sz w:val="16"/>
          <w:szCs w:val="16"/>
          <w:color w:val="auto"/>
        </w:rPr>
        <w:t>Goodwill acquired through business combinations has been allocated to each subsidiary or groups of them, which are also identified as a CGU for the purposes of impairment testing.</w:t>
      </w:r>
    </w:p>
    <w:p>
      <w:pPr>
        <w:spacing w:after="0" w:line="149" w:lineRule="exact"/>
        <w:rPr>
          <w:rFonts w:ascii="Arial" w:cs="Arial" w:eastAsia="Arial" w:hAnsi="Arial"/>
          <w:sz w:val="16"/>
          <w:szCs w:val="16"/>
          <w:color w:val="auto"/>
        </w:rPr>
      </w:pPr>
    </w:p>
    <w:p>
      <w:pPr>
        <w:ind w:left="297" w:right="60"/>
        <w:spacing w:after="0" w:line="322" w:lineRule="auto"/>
        <w:rPr>
          <w:rFonts w:ascii="Arial" w:cs="Arial" w:eastAsia="Arial" w:hAnsi="Arial"/>
          <w:sz w:val="16"/>
          <w:szCs w:val="16"/>
          <w:color w:val="auto"/>
        </w:rPr>
      </w:pPr>
      <w:r>
        <w:rPr>
          <w:rFonts w:ascii="Arial" w:cs="Arial" w:eastAsia="Arial" w:hAnsi="Arial"/>
          <w:sz w:val="15"/>
          <w:szCs w:val="15"/>
          <w:color w:val="auto"/>
        </w:rPr>
        <w:t>The recoverable amount of all of the CGUs has been determined based on the calculations of the fair value less selling costs, which is the present value of the discounted cash flows determined principally with assumptions of revenue and expenses projection (based on efficiency ratios).</w:t>
      </w:r>
    </w:p>
    <w:p>
      <w:pPr>
        <w:spacing w:after="0" w:line="126" w:lineRule="exact"/>
        <w:rPr>
          <w:rFonts w:ascii="Arial" w:cs="Arial" w:eastAsia="Arial" w:hAnsi="Arial"/>
          <w:sz w:val="16"/>
          <w:szCs w:val="16"/>
          <w:color w:val="auto"/>
        </w:rPr>
      </w:pPr>
    </w:p>
    <w:p>
      <w:pPr>
        <w:ind w:left="297"/>
        <w:spacing w:after="0"/>
        <w:rPr>
          <w:rFonts w:ascii="Arial" w:cs="Arial" w:eastAsia="Arial" w:hAnsi="Arial"/>
          <w:sz w:val="16"/>
          <w:szCs w:val="16"/>
          <w:color w:val="auto"/>
        </w:rPr>
      </w:pPr>
      <w:r>
        <w:rPr>
          <w:rFonts w:ascii="Arial" w:cs="Arial" w:eastAsia="Arial" w:hAnsi="Arial"/>
          <w:sz w:val="16"/>
          <w:szCs w:val="16"/>
          <w:color w:val="auto"/>
        </w:rPr>
        <w:t>As of March 31, 2020 and December 31, 2019, the net book balance amounted to S/819.3 million and S/886.0 million, respectively.</w:t>
      </w:r>
    </w:p>
    <w:p>
      <w:pPr>
        <w:spacing w:after="0" w:line="209" w:lineRule="exact"/>
        <w:rPr>
          <w:rFonts w:ascii="Arial" w:cs="Arial" w:eastAsia="Arial" w:hAnsi="Arial"/>
          <w:sz w:val="16"/>
          <w:szCs w:val="16"/>
          <w:color w:val="auto"/>
        </w:rPr>
      </w:pPr>
    </w:p>
    <w:p>
      <w:pPr>
        <w:ind w:left="297"/>
        <w:spacing w:after="0" w:line="271" w:lineRule="auto"/>
        <w:rPr>
          <w:rFonts w:ascii="Arial" w:cs="Arial" w:eastAsia="Arial" w:hAnsi="Arial"/>
          <w:sz w:val="16"/>
          <w:szCs w:val="16"/>
          <w:color w:val="auto"/>
        </w:rPr>
      </w:pPr>
      <w:r>
        <w:rPr>
          <w:rFonts w:ascii="Arial" w:cs="Arial" w:eastAsia="Arial" w:hAnsi="Arial"/>
          <w:sz w:val="16"/>
          <w:szCs w:val="16"/>
          <w:color w:val="auto"/>
        </w:rPr>
        <w:t>As of March 31, 2020, the Group has evaluated the impairment of goodwill by making an interim estimate based on the information available to date about the unusual and uncertain situation generated by COVID-19, concluding that there is no evidence of impairment at said date; therefore, during the three-month period ended March 31, 2020 and during the year 2019, the Group did not recorded any impairment loss.</w:t>
      </w:r>
    </w:p>
    <w:p>
      <w:pPr>
        <w:spacing w:after="0" w:line="359" w:lineRule="exact"/>
        <w:rPr>
          <w:rFonts w:ascii="Arial" w:cs="Arial" w:eastAsia="Arial" w:hAnsi="Arial"/>
          <w:sz w:val="16"/>
          <w:szCs w:val="16"/>
          <w:color w:val="auto"/>
        </w:rPr>
      </w:pPr>
    </w:p>
    <w:p>
      <w:pPr>
        <w:ind w:left="4657" w:hanging="93"/>
        <w:spacing w:after="0"/>
        <w:tabs>
          <w:tab w:leader="none" w:pos="4657" w:val="left"/>
        </w:tabs>
        <w:numPr>
          <w:ilvl w:val="1"/>
          <w:numId w:val="41"/>
        </w:numPr>
        <w:rPr>
          <w:rFonts w:ascii="Arial" w:cs="Arial" w:eastAsia="Arial" w:hAnsi="Arial"/>
          <w:sz w:val="16"/>
          <w:szCs w:val="16"/>
          <w:color w:val="auto"/>
        </w:rPr>
      </w:pPr>
      <w:r>
        <w:rPr>
          <w:rFonts w:ascii="Arial" w:cs="Arial" w:eastAsia="Arial" w:hAnsi="Arial"/>
          <w:sz w:val="16"/>
          <w:szCs w:val="16"/>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15875</wp:posOffset>
            </wp:positionV>
            <wp:extent cx="714438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257"/>
          </w:cols>
          <w:pgMar w:left="1203" w:top="839" w:right="439" w:bottom="1440" w:gutter="0" w:footer="0" w:header="0"/>
        </w:sectPr>
      </w:pPr>
    </w:p>
    <w:bookmarkStart w:id="45" w:name="page46"/>
    <w:bookmarkEnd w:id="45"/>
    <w:p>
      <w:pPr>
        <w:ind w:left="582" w:hanging="582"/>
        <w:spacing w:after="0"/>
        <w:tabs>
          <w:tab w:leader="none" w:pos="582"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RIGHT-OF-USE ASSETS AND LEASE LIABILITIES</w:t>
      </w:r>
    </w:p>
    <w:p>
      <w:pPr>
        <w:spacing w:after="0" w:line="213" w:lineRule="exact"/>
        <w:rPr>
          <w:rFonts w:ascii="Arial" w:cs="Arial" w:eastAsia="Arial" w:hAnsi="Arial"/>
          <w:sz w:val="16"/>
          <w:szCs w:val="16"/>
          <w:b w:val="1"/>
          <w:bCs w:val="1"/>
          <w:color w:val="auto"/>
        </w:rPr>
      </w:pPr>
    </w:p>
    <w:p>
      <w:pPr>
        <w:ind w:left="1182" w:hanging="297"/>
        <w:spacing w:after="0"/>
        <w:tabs>
          <w:tab w:leader="none" w:pos="1182" w:val="left"/>
        </w:tabs>
        <w:numPr>
          <w:ilvl w:val="1"/>
          <w:numId w:val="42"/>
        </w:numPr>
        <w:rPr>
          <w:rFonts w:ascii="Arial" w:cs="Arial" w:eastAsia="Arial" w:hAnsi="Arial"/>
          <w:sz w:val="16"/>
          <w:szCs w:val="16"/>
          <w:color w:val="auto"/>
        </w:rPr>
      </w:pPr>
      <w:r>
        <w:rPr>
          <w:rFonts w:ascii="Arial" w:cs="Arial" w:eastAsia="Arial" w:hAnsi="Arial"/>
          <w:sz w:val="16"/>
          <w:szCs w:val="16"/>
          <w:color w:val="auto"/>
        </w:rPr>
        <w:t>Right-of-use</w:t>
      </w:r>
    </w:p>
    <w:p>
      <w:pPr>
        <w:spacing w:after="0" w:line="209" w:lineRule="exact"/>
        <w:rPr>
          <w:rFonts w:ascii="Arial" w:cs="Arial" w:eastAsia="Arial" w:hAnsi="Arial"/>
          <w:sz w:val="16"/>
          <w:szCs w:val="16"/>
          <w:color w:val="auto"/>
        </w:rPr>
      </w:pPr>
    </w:p>
    <w:p>
      <w:pPr>
        <w:ind w:left="1182"/>
        <w:spacing w:after="0"/>
        <w:rPr>
          <w:rFonts w:ascii="Arial" w:cs="Arial" w:eastAsia="Arial" w:hAnsi="Arial"/>
          <w:sz w:val="16"/>
          <w:szCs w:val="16"/>
          <w:color w:val="auto"/>
        </w:rPr>
      </w:pPr>
      <w:r>
        <w:rPr>
          <w:rFonts w:ascii="Arial" w:cs="Arial" w:eastAsia="Arial" w:hAnsi="Arial"/>
          <w:sz w:val="16"/>
          <w:szCs w:val="16"/>
          <w:color w:val="auto"/>
        </w:rPr>
        <w:t>The Group has leased agreements according to the following composition:</w:t>
      </w:r>
    </w:p>
    <w:p>
      <w:pPr>
        <w:spacing w:after="0" w:line="222" w:lineRule="exact"/>
        <w:rPr>
          <w:sz w:val="20"/>
          <w:szCs w:val="20"/>
          <w:color w:val="auto"/>
        </w:rPr>
      </w:pPr>
    </w:p>
    <w:tbl>
      <w:tblPr>
        <w:tblLayout w:type="fixed"/>
        <w:tblInd w:w="1182" w:type="dxa"/>
        <w:tblCellMar>
          <w:top w:w="0" w:type="dxa"/>
          <w:left w:w="0" w:type="dxa"/>
          <w:bottom w:w="0" w:type="dxa"/>
          <w:right w:w="0" w:type="dxa"/>
        </w:tblCellMar>
      </w:tblPr>
      <w:tr>
        <w:trPr>
          <w:trHeight w:val="194"/>
        </w:trPr>
        <w:tc>
          <w:tcPr>
            <w:tcW w:w="4080" w:type="dxa"/>
            <w:vAlign w:val="bottom"/>
          </w:tcPr>
          <w:p>
            <w:pPr>
              <w:spacing w:after="0"/>
              <w:rPr>
                <w:sz w:val="16"/>
                <w:szCs w:val="16"/>
                <w:color w:val="auto"/>
              </w:rPr>
            </w:pPr>
          </w:p>
        </w:tc>
        <w:tc>
          <w:tcPr>
            <w:tcW w:w="3020" w:type="dxa"/>
            <w:vAlign w:val="bottom"/>
            <w:gridSpan w:val="6"/>
          </w:tcPr>
          <w:p>
            <w:pPr>
              <w:jc w:val="center"/>
              <w:ind w:right="200"/>
              <w:spacing w:after="0"/>
              <w:rPr>
                <w:sz w:val="20"/>
                <w:szCs w:val="20"/>
                <w:color w:val="auto"/>
              </w:rPr>
            </w:pPr>
            <w:r>
              <w:rPr>
                <w:rFonts w:ascii="Arial" w:cs="Arial" w:eastAsia="Arial" w:hAnsi="Arial"/>
                <w:sz w:val="15"/>
                <w:szCs w:val="15"/>
                <w:b w:val="1"/>
                <w:bCs w:val="1"/>
                <w:color w:val="auto"/>
                <w:w w:val="90"/>
              </w:rPr>
              <w:t>As of March 31, 2020</w:t>
            </w:r>
          </w:p>
        </w:tc>
        <w:tc>
          <w:tcPr>
            <w:tcW w:w="2900" w:type="dxa"/>
            <w:vAlign w:val="bottom"/>
            <w:gridSpan w:val="6"/>
          </w:tcPr>
          <w:p>
            <w:pPr>
              <w:jc w:val="center"/>
              <w:ind w:right="100"/>
              <w:spacing w:after="0"/>
              <w:rPr>
                <w:sz w:val="20"/>
                <w:szCs w:val="20"/>
                <w:color w:val="auto"/>
              </w:rPr>
            </w:pPr>
            <w:r>
              <w:rPr>
                <w:rFonts w:ascii="Arial" w:cs="Arial" w:eastAsia="Arial" w:hAnsi="Arial"/>
                <w:sz w:val="15"/>
                <w:szCs w:val="15"/>
                <w:b w:val="1"/>
                <w:bCs w:val="1"/>
                <w:color w:val="auto"/>
                <w:w w:val="88"/>
              </w:rPr>
              <w:t>As of December 31, 2019</w:t>
            </w:r>
          </w:p>
        </w:tc>
        <w:tc>
          <w:tcPr>
            <w:tcW w:w="0" w:type="dxa"/>
            <w:vAlign w:val="bottom"/>
          </w:tcPr>
          <w:p>
            <w:pPr>
              <w:spacing w:after="0"/>
              <w:rPr>
                <w:sz w:val="1"/>
                <w:szCs w:val="1"/>
                <w:color w:val="auto"/>
              </w:rPr>
            </w:pPr>
          </w:p>
        </w:tc>
      </w:tr>
      <w:tr>
        <w:trPr>
          <w:trHeight w:val="167"/>
        </w:trPr>
        <w:tc>
          <w:tcPr>
            <w:tcW w:w="40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center"/>
              <w:ind w:right="106"/>
              <w:spacing w:after="0" w:line="167" w:lineRule="exact"/>
              <w:rPr>
                <w:sz w:val="20"/>
                <w:szCs w:val="20"/>
                <w:color w:val="auto"/>
              </w:rPr>
            </w:pPr>
            <w:r>
              <w:rPr>
                <w:rFonts w:ascii="Arial" w:cs="Arial" w:eastAsia="Arial" w:hAnsi="Arial"/>
                <w:sz w:val="15"/>
                <w:szCs w:val="15"/>
                <w:b w:val="1"/>
                <w:bCs w:val="1"/>
                <w:color w:val="auto"/>
                <w:w w:val="89"/>
              </w:rPr>
              <w:t>Accumulated</w:t>
            </w:r>
          </w:p>
        </w:tc>
        <w:tc>
          <w:tcPr>
            <w:tcW w:w="800" w:type="dxa"/>
            <w:vAlign w:val="bottom"/>
            <w:tcBorders>
              <w:top w:val="single" w:sz="8" w:color="auto"/>
            </w:tcBorders>
          </w:tcPr>
          <w:p>
            <w:pPr>
              <w:jc w:val="center"/>
              <w:spacing w:after="0" w:line="167" w:lineRule="exact"/>
              <w:rPr>
                <w:sz w:val="20"/>
                <w:szCs w:val="20"/>
                <w:color w:val="auto"/>
              </w:rPr>
            </w:pPr>
            <w:r>
              <w:rPr>
                <w:rFonts w:ascii="Arial" w:cs="Arial" w:eastAsia="Arial" w:hAnsi="Arial"/>
                <w:sz w:val="15"/>
                <w:szCs w:val="15"/>
                <w:b w:val="1"/>
                <w:bCs w:val="1"/>
                <w:color w:val="auto"/>
                <w:w w:val="91"/>
              </w:rPr>
              <w:t>Net carrying</w:t>
            </w:r>
          </w:p>
        </w:tc>
        <w:tc>
          <w:tcPr>
            <w:tcW w:w="2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center"/>
              <w:ind w:right="158"/>
              <w:spacing w:after="0" w:line="167" w:lineRule="exact"/>
              <w:rPr>
                <w:sz w:val="20"/>
                <w:szCs w:val="20"/>
                <w:color w:val="auto"/>
              </w:rPr>
            </w:pPr>
            <w:r>
              <w:rPr>
                <w:rFonts w:ascii="Arial" w:cs="Arial" w:eastAsia="Arial" w:hAnsi="Arial"/>
                <w:sz w:val="15"/>
                <w:szCs w:val="15"/>
                <w:b w:val="1"/>
                <w:bCs w:val="1"/>
                <w:color w:val="auto"/>
                <w:w w:val="87"/>
              </w:rPr>
              <w:t>Accumulated</w:t>
            </w:r>
          </w:p>
        </w:tc>
        <w:tc>
          <w:tcPr>
            <w:tcW w:w="800" w:type="dxa"/>
            <w:vAlign w:val="bottom"/>
            <w:tcBorders>
              <w:top w:val="single" w:sz="8" w:color="auto"/>
            </w:tcBorders>
          </w:tcPr>
          <w:p>
            <w:pPr>
              <w:jc w:val="center"/>
              <w:spacing w:after="0" w:line="167" w:lineRule="exact"/>
              <w:rPr>
                <w:sz w:val="20"/>
                <w:szCs w:val="20"/>
                <w:color w:val="auto"/>
              </w:rPr>
            </w:pPr>
            <w:r>
              <w:rPr>
                <w:rFonts w:ascii="Arial" w:cs="Arial" w:eastAsia="Arial" w:hAnsi="Arial"/>
                <w:sz w:val="15"/>
                <w:szCs w:val="15"/>
                <w:b w:val="1"/>
                <w:bCs w:val="1"/>
                <w:color w:val="auto"/>
                <w:w w:val="91"/>
              </w:rPr>
              <w:t>Net carrying</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80" w:type="dxa"/>
            <w:vAlign w:val="bottom"/>
          </w:tcPr>
          <w:p>
            <w:pPr>
              <w:spacing w:after="0"/>
              <w:rPr>
                <w:sz w:val="16"/>
                <w:szCs w:val="16"/>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Cost</w:t>
            </w:r>
          </w:p>
        </w:tc>
        <w:tc>
          <w:tcPr>
            <w:tcW w:w="1020" w:type="dxa"/>
            <w:vAlign w:val="bottom"/>
            <w:gridSpan w:val="2"/>
          </w:tcPr>
          <w:p>
            <w:pPr>
              <w:jc w:val="center"/>
              <w:ind w:right="126"/>
              <w:spacing w:after="0"/>
              <w:rPr>
                <w:sz w:val="20"/>
                <w:szCs w:val="20"/>
                <w:color w:val="auto"/>
              </w:rPr>
            </w:pPr>
            <w:r>
              <w:rPr>
                <w:rFonts w:ascii="Arial" w:cs="Arial" w:eastAsia="Arial" w:hAnsi="Arial"/>
                <w:sz w:val="15"/>
                <w:szCs w:val="15"/>
                <w:b w:val="1"/>
                <w:bCs w:val="1"/>
                <w:color w:val="auto"/>
                <w:w w:val="87"/>
              </w:rPr>
              <w:t>depreciation</w:t>
            </w:r>
          </w:p>
        </w:tc>
        <w:tc>
          <w:tcPr>
            <w:tcW w:w="10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8"/>
              </w:rPr>
              <w:t>amount</w:t>
            </w:r>
          </w:p>
        </w:tc>
        <w:tc>
          <w:tcPr>
            <w:tcW w:w="1000" w:type="dxa"/>
            <w:vAlign w:val="bottom"/>
            <w:gridSpan w:val="2"/>
          </w:tcPr>
          <w:p>
            <w:pPr>
              <w:ind w:left="260"/>
              <w:spacing w:after="0"/>
              <w:rPr>
                <w:sz w:val="20"/>
                <w:szCs w:val="20"/>
                <w:color w:val="auto"/>
              </w:rPr>
            </w:pPr>
            <w:r>
              <w:rPr>
                <w:rFonts w:ascii="Arial" w:cs="Arial" w:eastAsia="Arial" w:hAnsi="Arial"/>
                <w:sz w:val="15"/>
                <w:szCs w:val="15"/>
                <w:b w:val="1"/>
                <w:bCs w:val="1"/>
                <w:color w:val="auto"/>
              </w:rPr>
              <w:t>Cost</w:t>
            </w:r>
          </w:p>
        </w:tc>
        <w:tc>
          <w:tcPr>
            <w:tcW w:w="1020" w:type="dxa"/>
            <w:vAlign w:val="bottom"/>
            <w:gridSpan w:val="2"/>
          </w:tcPr>
          <w:p>
            <w:pPr>
              <w:jc w:val="center"/>
              <w:ind w:right="158"/>
              <w:spacing w:after="0"/>
              <w:rPr>
                <w:sz w:val="20"/>
                <w:szCs w:val="20"/>
                <w:color w:val="auto"/>
              </w:rPr>
            </w:pPr>
            <w:r>
              <w:rPr>
                <w:rFonts w:ascii="Arial" w:cs="Arial" w:eastAsia="Arial" w:hAnsi="Arial"/>
                <w:sz w:val="15"/>
                <w:szCs w:val="15"/>
                <w:b w:val="1"/>
                <w:bCs w:val="1"/>
                <w:color w:val="auto"/>
                <w:w w:val="87"/>
              </w:rPr>
              <w:t>depreciation</w:t>
            </w:r>
          </w:p>
        </w:tc>
        <w:tc>
          <w:tcPr>
            <w:tcW w:w="8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amount</w:t>
            </w:r>
          </w:p>
        </w:tc>
        <w:tc>
          <w:tcPr>
            <w:tcW w:w="0" w:type="dxa"/>
            <w:vAlign w:val="bottom"/>
          </w:tcPr>
          <w:p>
            <w:pPr>
              <w:spacing w:after="0"/>
              <w:rPr>
                <w:sz w:val="1"/>
                <w:szCs w:val="1"/>
                <w:color w:val="auto"/>
              </w:rPr>
            </w:pPr>
          </w:p>
        </w:tc>
      </w:tr>
      <w:tr>
        <w:trPr>
          <w:trHeight w:val="179"/>
        </w:trPr>
        <w:tc>
          <w:tcPr>
            <w:tcW w:w="4080" w:type="dxa"/>
            <w:vAlign w:val="bottom"/>
          </w:tcPr>
          <w:p>
            <w:pPr>
              <w:spacing w:after="0"/>
              <w:rPr>
                <w:sz w:val="15"/>
                <w:szCs w:val="15"/>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S/(000)</w:t>
            </w:r>
          </w:p>
        </w:tc>
        <w:tc>
          <w:tcPr>
            <w:tcW w:w="200" w:type="dxa"/>
            <w:vAlign w:val="bottom"/>
          </w:tcPr>
          <w:p>
            <w:pPr>
              <w:spacing w:after="0"/>
              <w:rPr>
                <w:sz w:val="15"/>
                <w:szCs w:val="15"/>
                <w:color w:val="auto"/>
              </w:rPr>
            </w:pPr>
          </w:p>
        </w:tc>
        <w:tc>
          <w:tcPr>
            <w:tcW w:w="8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S/(000)</w:t>
            </w:r>
          </w:p>
        </w:tc>
        <w:tc>
          <w:tcPr>
            <w:tcW w:w="200" w:type="dxa"/>
            <w:vAlign w:val="bottom"/>
          </w:tcPr>
          <w:p>
            <w:pPr>
              <w:spacing w:after="0"/>
              <w:rPr>
                <w:sz w:val="15"/>
                <w:szCs w:val="15"/>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S/(000)</w:t>
            </w:r>
          </w:p>
        </w:tc>
        <w:tc>
          <w:tcPr>
            <w:tcW w:w="200" w:type="dxa"/>
            <w:vAlign w:val="bottom"/>
          </w:tcPr>
          <w:p>
            <w:pPr>
              <w:spacing w:after="0"/>
              <w:rPr>
                <w:sz w:val="15"/>
                <w:szCs w:val="15"/>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S/(000)</w:t>
            </w:r>
          </w:p>
        </w:tc>
        <w:tc>
          <w:tcPr>
            <w:tcW w:w="200" w:type="dxa"/>
            <w:vAlign w:val="bottom"/>
          </w:tcPr>
          <w:p>
            <w:pPr>
              <w:spacing w:after="0"/>
              <w:rPr>
                <w:sz w:val="15"/>
                <w:szCs w:val="15"/>
                <w:color w:val="auto"/>
              </w:rPr>
            </w:pPr>
          </w:p>
        </w:tc>
        <w:tc>
          <w:tcPr>
            <w:tcW w:w="82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S/(000)</w:t>
            </w:r>
          </w:p>
        </w:tc>
        <w:tc>
          <w:tcPr>
            <w:tcW w:w="200" w:type="dxa"/>
            <w:vAlign w:val="bottom"/>
          </w:tcPr>
          <w:p>
            <w:pPr>
              <w:spacing w:after="0"/>
              <w:rPr>
                <w:sz w:val="15"/>
                <w:szCs w:val="15"/>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S/(000)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Property: Agencies and offices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821,503</w:t>
            </w:r>
          </w:p>
        </w:tc>
        <w:tc>
          <w:tcPr>
            <w:tcW w:w="102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(162,460)</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659,043</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819,046</w:t>
            </w:r>
          </w:p>
        </w:tc>
        <w:tc>
          <w:tcPr>
            <w:tcW w:w="1020" w:type="dxa"/>
            <w:vAlign w:val="bottom"/>
            <w:gridSpan w:val="2"/>
            <w:shd w:val="clear" w:color="auto" w:fill="CCEEFF"/>
          </w:tcPr>
          <w:p>
            <w:pPr>
              <w:jc w:val="right"/>
              <w:ind w:right="118"/>
              <w:spacing w:after="0"/>
              <w:rPr>
                <w:sz w:val="20"/>
                <w:szCs w:val="20"/>
                <w:color w:val="auto"/>
              </w:rPr>
            </w:pPr>
            <w:r>
              <w:rPr>
                <w:rFonts w:ascii="Arial" w:cs="Arial" w:eastAsia="Arial" w:hAnsi="Arial"/>
                <w:sz w:val="15"/>
                <w:szCs w:val="15"/>
                <w:color w:val="auto"/>
              </w:rPr>
              <w:t>(130,761)</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688,285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20"/>
                <w:szCs w:val="20"/>
                <w:color w:val="auto"/>
              </w:rPr>
            </w:pPr>
            <w:r>
              <w:rPr>
                <w:rFonts w:ascii="Arial" w:cs="Arial" w:eastAsia="Arial" w:hAnsi="Arial"/>
                <w:sz w:val="15"/>
                <w:szCs w:val="15"/>
                <w:color w:val="auto"/>
              </w:rPr>
              <w:t>Servers and technology platforms</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171,374</w:t>
            </w:r>
          </w:p>
        </w:tc>
        <w:tc>
          <w:tcPr>
            <w:tcW w:w="1020" w:type="dxa"/>
            <w:vAlign w:val="bottom"/>
            <w:gridSpan w:val="2"/>
          </w:tcPr>
          <w:p>
            <w:pPr>
              <w:jc w:val="right"/>
              <w:ind w:right="66"/>
              <w:spacing w:after="0"/>
              <w:rPr>
                <w:sz w:val="20"/>
                <w:szCs w:val="20"/>
                <w:color w:val="auto"/>
              </w:rPr>
            </w:pPr>
            <w:r>
              <w:rPr>
                <w:rFonts w:ascii="Arial" w:cs="Arial" w:eastAsia="Arial" w:hAnsi="Arial"/>
                <w:sz w:val="15"/>
                <w:szCs w:val="15"/>
                <w:color w:val="auto"/>
              </w:rPr>
              <w:t>(50,488)</w:t>
            </w:r>
          </w:p>
        </w:tc>
        <w:tc>
          <w:tcPr>
            <w:tcW w:w="800" w:type="dxa"/>
            <w:vAlign w:val="bottom"/>
          </w:tcPr>
          <w:p>
            <w:pPr>
              <w:jc w:val="right"/>
              <w:spacing w:after="0"/>
              <w:rPr>
                <w:sz w:val="20"/>
                <w:szCs w:val="20"/>
                <w:color w:val="auto"/>
              </w:rPr>
            </w:pPr>
            <w:r>
              <w:rPr>
                <w:rFonts w:ascii="Arial" w:cs="Arial" w:eastAsia="Arial" w:hAnsi="Arial"/>
                <w:sz w:val="15"/>
                <w:szCs w:val="15"/>
                <w:color w:val="auto"/>
              </w:rPr>
              <w:t>120,886</w:t>
            </w:r>
          </w:p>
        </w:tc>
        <w:tc>
          <w:tcPr>
            <w:tcW w:w="2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168,371</w:t>
            </w:r>
          </w:p>
        </w:tc>
        <w:tc>
          <w:tcPr>
            <w:tcW w:w="1020" w:type="dxa"/>
            <w:vAlign w:val="bottom"/>
            <w:gridSpan w:val="2"/>
          </w:tcPr>
          <w:p>
            <w:pPr>
              <w:jc w:val="right"/>
              <w:ind w:right="118"/>
              <w:spacing w:after="0"/>
              <w:rPr>
                <w:sz w:val="20"/>
                <w:szCs w:val="20"/>
                <w:color w:val="auto"/>
              </w:rPr>
            </w:pPr>
            <w:r>
              <w:rPr>
                <w:rFonts w:ascii="Arial" w:cs="Arial" w:eastAsia="Arial" w:hAnsi="Arial"/>
                <w:sz w:val="15"/>
                <w:szCs w:val="15"/>
                <w:color w:val="auto"/>
              </w:rPr>
              <w:t>(40,591)</w:t>
            </w:r>
          </w:p>
        </w:tc>
        <w:tc>
          <w:tcPr>
            <w:tcW w:w="800" w:type="dxa"/>
            <w:vAlign w:val="bottom"/>
          </w:tcPr>
          <w:p>
            <w:pPr>
              <w:jc w:val="right"/>
              <w:spacing w:after="0"/>
              <w:rPr>
                <w:sz w:val="20"/>
                <w:szCs w:val="20"/>
                <w:color w:val="auto"/>
              </w:rPr>
            </w:pPr>
            <w:r>
              <w:rPr>
                <w:rFonts w:ascii="Arial" w:cs="Arial" w:eastAsia="Arial" w:hAnsi="Arial"/>
                <w:sz w:val="15"/>
                <w:szCs w:val="15"/>
                <w:color w:val="auto"/>
              </w:rPr>
              <w:t>127,780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Spaces for ATM</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29,150</w:t>
            </w:r>
          </w:p>
        </w:tc>
        <w:tc>
          <w:tcPr>
            <w:tcW w:w="102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(9,689)</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19,461</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25,146</w:t>
            </w:r>
          </w:p>
        </w:tc>
        <w:tc>
          <w:tcPr>
            <w:tcW w:w="1020" w:type="dxa"/>
            <w:vAlign w:val="bottom"/>
            <w:gridSpan w:val="2"/>
            <w:shd w:val="clear" w:color="auto" w:fill="CCEEFF"/>
          </w:tcPr>
          <w:p>
            <w:pPr>
              <w:jc w:val="right"/>
              <w:ind w:right="118"/>
              <w:spacing w:after="0"/>
              <w:rPr>
                <w:sz w:val="20"/>
                <w:szCs w:val="20"/>
                <w:color w:val="auto"/>
              </w:rPr>
            </w:pPr>
            <w:r>
              <w:rPr>
                <w:rFonts w:ascii="Arial" w:cs="Arial" w:eastAsia="Arial" w:hAnsi="Arial"/>
                <w:sz w:val="15"/>
                <w:szCs w:val="15"/>
                <w:color w:val="auto"/>
              </w:rPr>
              <w:t>(7,900)</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17,246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20"/>
                <w:szCs w:val="20"/>
                <w:color w:val="auto"/>
              </w:rPr>
            </w:pPr>
            <w:r>
              <w:rPr>
                <w:rFonts w:ascii="Arial" w:cs="Arial" w:eastAsia="Arial" w:hAnsi="Arial"/>
                <w:sz w:val="15"/>
                <w:szCs w:val="15"/>
                <w:color w:val="auto"/>
              </w:rPr>
              <w:t>Transport units</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3,300</w:t>
            </w:r>
          </w:p>
        </w:tc>
        <w:tc>
          <w:tcPr>
            <w:tcW w:w="1020" w:type="dxa"/>
            <w:vAlign w:val="bottom"/>
            <w:gridSpan w:val="2"/>
          </w:tcPr>
          <w:p>
            <w:pPr>
              <w:jc w:val="right"/>
              <w:ind w:right="66"/>
              <w:spacing w:after="0"/>
              <w:rPr>
                <w:sz w:val="20"/>
                <w:szCs w:val="20"/>
                <w:color w:val="auto"/>
              </w:rPr>
            </w:pPr>
            <w:r>
              <w:rPr>
                <w:rFonts w:ascii="Arial" w:cs="Arial" w:eastAsia="Arial" w:hAnsi="Arial"/>
                <w:sz w:val="15"/>
                <w:szCs w:val="15"/>
                <w:color w:val="auto"/>
              </w:rPr>
              <w:t>(1,107)</w:t>
            </w:r>
          </w:p>
        </w:tc>
        <w:tc>
          <w:tcPr>
            <w:tcW w:w="800" w:type="dxa"/>
            <w:vAlign w:val="bottom"/>
          </w:tcPr>
          <w:p>
            <w:pPr>
              <w:jc w:val="right"/>
              <w:spacing w:after="0"/>
              <w:rPr>
                <w:sz w:val="20"/>
                <w:szCs w:val="20"/>
                <w:color w:val="auto"/>
              </w:rPr>
            </w:pPr>
            <w:r>
              <w:rPr>
                <w:rFonts w:ascii="Arial" w:cs="Arial" w:eastAsia="Arial" w:hAnsi="Arial"/>
                <w:sz w:val="15"/>
                <w:szCs w:val="15"/>
                <w:color w:val="auto"/>
              </w:rPr>
              <w:t>2,193</w:t>
            </w:r>
          </w:p>
        </w:tc>
        <w:tc>
          <w:tcPr>
            <w:tcW w:w="2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3,006</w:t>
            </w:r>
          </w:p>
        </w:tc>
        <w:tc>
          <w:tcPr>
            <w:tcW w:w="1020" w:type="dxa"/>
            <w:vAlign w:val="bottom"/>
            <w:gridSpan w:val="2"/>
          </w:tcPr>
          <w:p>
            <w:pPr>
              <w:jc w:val="right"/>
              <w:ind w:right="118"/>
              <w:spacing w:after="0"/>
              <w:rPr>
                <w:sz w:val="20"/>
                <w:szCs w:val="20"/>
                <w:color w:val="auto"/>
              </w:rPr>
            </w:pPr>
            <w:r>
              <w:rPr>
                <w:rFonts w:ascii="Arial" w:cs="Arial" w:eastAsia="Arial" w:hAnsi="Arial"/>
                <w:sz w:val="15"/>
                <w:szCs w:val="15"/>
                <w:color w:val="auto"/>
              </w:rPr>
              <w:t>(971)</w:t>
            </w:r>
          </w:p>
        </w:tc>
        <w:tc>
          <w:tcPr>
            <w:tcW w:w="800" w:type="dxa"/>
            <w:vAlign w:val="bottom"/>
          </w:tcPr>
          <w:p>
            <w:pPr>
              <w:jc w:val="right"/>
              <w:spacing w:after="0"/>
              <w:rPr>
                <w:sz w:val="20"/>
                <w:szCs w:val="20"/>
                <w:color w:val="auto"/>
              </w:rPr>
            </w:pPr>
            <w:r>
              <w:rPr>
                <w:rFonts w:ascii="Arial" w:cs="Arial" w:eastAsia="Arial" w:hAnsi="Arial"/>
                <w:sz w:val="15"/>
                <w:szCs w:val="15"/>
                <w:color w:val="auto"/>
              </w:rPr>
              <w:t>2,035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Other leases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8,724</w:t>
            </w:r>
          </w:p>
        </w:tc>
        <w:tc>
          <w:tcPr>
            <w:tcW w:w="1020" w:type="dxa"/>
            <w:vAlign w:val="bottom"/>
            <w:gridSpan w:val="2"/>
            <w:shd w:val="clear" w:color="auto" w:fill="CCEEFF"/>
          </w:tcPr>
          <w:p>
            <w:pPr>
              <w:jc w:val="right"/>
              <w:ind w:right="66"/>
              <w:spacing w:after="0"/>
              <w:rPr>
                <w:sz w:val="20"/>
                <w:szCs w:val="20"/>
                <w:color w:val="auto"/>
              </w:rPr>
            </w:pPr>
            <w:r>
              <w:rPr>
                <w:rFonts w:ascii="Arial" w:cs="Arial" w:eastAsia="Arial" w:hAnsi="Arial"/>
                <w:sz w:val="15"/>
                <w:szCs w:val="15"/>
                <w:color w:val="auto"/>
              </w:rPr>
              <w:t>(4,310)</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4,414</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7,394</w:t>
            </w:r>
          </w:p>
        </w:tc>
        <w:tc>
          <w:tcPr>
            <w:tcW w:w="1020" w:type="dxa"/>
            <w:vAlign w:val="bottom"/>
            <w:gridSpan w:val="2"/>
            <w:shd w:val="clear" w:color="auto" w:fill="CCEEFF"/>
          </w:tcPr>
          <w:p>
            <w:pPr>
              <w:jc w:val="right"/>
              <w:ind w:right="118"/>
              <w:spacing w:after="0"/>
              <w:rPr>
                <w:sz w:val="20"/>
                <w:szCs w:val="20"/>
                <w:color w:val="auto"/>
              </w:rPr>
            </w:pPr>
            <w:r>
              <w:rPr>
                <w:rFonts w:ascii="Arial" w:cs="Arial" w:eastAsia="Arial" w:hAnsi="Arial"/>
                <w:sz w:val="15"/>
                <w:szCs w:val="15"/>
                <w:color w:val="auto"/>
              </w:rPr>
              <w:t>(3,654)</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6"/>
              <w:spacing w:after="0"/>
              <w:rPr>
                <w:sz w:val="20"/>
                <w:szCs w:val="20"/>
                <w:color w:val="auto"/>
              </w:rPr>
            </w:pPr>
            <w:r>
              <w:rPr>
                <w:rFonts w:ascii="Arial" w:cs="Arial" w:eastAsia="Arial" w:hAnsi="Arial"/>
                <w:sz w:val="15"/>
                <w:szCs w:val="15"/>
                <w:color w:val="auto"/>
                <w:w w:val="79"/>
              </w:rPr>
              <w:t>)</w:t>
            </w: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118"/>
              <w:spacing w:after="0"/>
              <w:rPr>
                <w:sz w:val="20"/>
                <w:szCs w:val="20"/>
                <w:color w:val="auto"/>
              </w:rPr>
            </w:pPr>
            <w:r>
              <w:rPr>
                <w:rFonts w:ascii="Arial" w:cs="Arial" w:eastAsia="Arial" w:hAnsi="Arial"/>
                <w:sz w:val="8"/>
                <w:szCs w:val="8"/>
                <w:color w:val="auto"/>
                <w:w w:val="73"/>
              </w:rPr>
              <w:t>)</w:t>
            </w: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8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1,034,051</w:t>
            </w:r>
          </w:p>
        </w:tc>
        <w:tc>
          <w:tcPr>
            <w:tcW w:w="820" w:type="dxa"/>
            <w:vAlign w:val="bottom"/>
          </w:tcPr>
          <w:p>
            <w:pPr>
              <w:jc w:val="right"/>
              <w:spacing w:after="0"/>
              <w:rPr>
                <w:sz w:val="20"/>
                <w:szCs w:val="20"/>
                <w:color w:val="auto"/>
              </w:rPr>
            </w:pPr>
            <w:r>
              <w:rPr>
                <w:rFonts w:ascii="Arial" w:cs="Arial" w:eastAsia="Arial" w:hAnsi="Arial"/>
                <w:sz w:val="15"/>
                <w:szCs w:val="15"/>
                <w:color w:val="auto"/>
              </w:rPr>
              <w:t>(228,054</w:t>
            </w:r>
          </w:p>
        </w:tc>
        <w:tc>
          <w:tcPr>
            <w:tcW w:w="200" w:type="dxa"/>
            <w:vAlign w:val="bottom"/>
            <w:vMerge w:val="continue"/>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805,997</w:t>
            </w:r>
          </w:p>
        </w:tc>
        <w:tc>
          <w:tcPr>
            <w:tcW w:w="2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1,022,963</w:t>
            </w:r>
          </w:p>
        </w:tc>
        <w:tc>
          <w:tcPr>
            <w:tcW w:w="820" w:type="dxa"/>
            <w:vAlign w:val="bottom"/>
          </w:tcPr>
          <w:p>
            <w:pPr>
              <w:jc w:val="right"/>
              <w:spacing w:after="0"/>
              <w:rPr>
                <w:sz w:val="20"/>
                <w:szCs w:val="20"/>
                <w:color w:val="auto"/>
              </w:rPr>
            </w:pPr>
            <w:r>
              <w:rPr>
                <w:rFonts w:ascii="Arial" w:cs="Arial" w:eastAsia="Arial" w:hAnsi="Arial"/>
                <w:sz w:val="15"/>
                <w:szCs w:val="15"/>
                <w:color w:val="auto"/>
              </w:rPr>
              <w:t>(183,877</w:t>
            </w:r>
          </w:p>
        </w:tc>
        <w:tc>
          <w:tcPr>
            <w:tcW w:w="200" w:type="dxa"/>
            <w:vAlign w:val="bottom"/>
            <w:vMerge w:val="continue"/>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839,086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182" w:hanging="297"/>
        <w:spacing w:after="0"/>
        <w:tabs>
          <w:tab w:leader="none" w:pos="1182" w:val="left"/>
        </w:tabs>
        <w:numPr>
          <w:ilvl w:val="0"/>
          <w:numId w:val="43"/>
        </w:numPr>
        <w:rPr>
          <w:rFonts w:ascii="Arial" w:cs="Arial" w:eastAsia="Arial" w:hAnsi="Arial"/>
          <w:sz w:val="16"/>
          <w:szCs w:val="16"/>
          <w:color w:val="auto"/>
        </w:rPr>
      </w:pPr>
      <w:r>
        <w:rPr>
          <w:rFonts w:ascii="Arial" w:cs="Arial" w:eastAsia="Arial" w:hAnsi="Arial"/>
          <w:sz w:val="16"/>
          <w:szCs w:val="16"/>
          <w:color w:val="auto"/>
        </w:rPr>
        <w:t>Lease Liabilities</w:t>
      </w:r>
    </w:p>
    <w:p>
      <w:pPr>
        <w:spacing w:after="0" w:line="209" w:lineRule="exact"/>
        <w:rPr>
          <w:rFonts w:ascii="Arial" w:cs="Arial" w:eastAsia="Arial" w:hAnsi="Arial"/>
          <w:sz w:val="16"/>
          <w:szCs w:val="16"/>
          <w:color w:val="auto"/>
        </w:rPr>
      </w:pPr>
    </w:p>
    <w:p>
      <w:pPr>
        <w:ind w:left="1182" w:firstLine="9"/>
        <w:spacing w:after="0" w:line="287" w:lineRule="auto"/>
        <w:rPr>
          <w:rFonts w:ascii="Arial" w:cs="Arial" w:eastAsia="Arial" w:hAnsi="Arial"/>
          <w:sz w:val="16"/>
          <w:szCs w:val="16"/>
          <w:color w:val="auto"/>
        </w:rPr>
      </w:pPr>
      <w:r>
        <w:rPr>
          <w:rFonts w:ascii="Arial" w:cs="Arial" w:eastAsia="Arial" w:hAnsi="Arial"/>
          <w:sz w:val="16"/>
          <w:szCs w:val="16"/>
          <w:color w:val="auto"/>
        </w:rPr>
        <w:t>The Group maintains contracts, with certain renewal options and for which the Group has reasonable certainty that this option will be exercised. In those cases, the period of lease used to measure the liability and assets corresponds to an estimation of future renovations.</w:t>
      </w:r>
    </w:p>
    <w:p>
      <w:pPr>
        <w:spacing w:after="0" w:line="346" w:lineRule="exact"/>
        <w:rPr>
          <w:rFonts w:ascii="Arial" w:cs="Arial" w:eastAsia="Arial" w:hAnsi="Arial"/>
          <w:sz w:val="16"/>
          <w:szCs w:val="16"/>
          <w:color w:val="auto"/>
        </w:rPr>
      </w:pPr>
    </w:p>
    <w:p>
      <w:pPr>
        <w:ind w:left="5542" w:hanging="93"/>
        <w:spacing w:after="0"/>
        <w:tabs>
          <w:tab w:leader="none" w:pos="5542" w:val="left"/>
        </w:tabs>
        <w:numPr>
          <w:ilvl w:val="1"/>
          <w:numId w:val="43"/>
        </w:numPr>
        <w:rPr>
          <w:rFonts w:ascii="Arial" w:cs="Arial" w:eastAsia="Arial" w:hAnsi="Arial"/>
          <w:sz w:val="16"/>
          <w:szCs w:val="16"/>
          <w:color w:val="auto"/>
        </w:rPr>
      </w:pPr>
      <w:r>
        <w:rPr>
          <w:rFonts w:ascii="Arial" w:cs="Arial" w:eastAsia="Arial" w:hAnsi="Arial"/>
          <w:sz w:val="16"/>
          <w:szCs w:val="16"/>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02"/>
          </w:cols>
          <w:pgMar w:left="318" w:top="835" w:right="37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2"/>
        </w:trPr>
        <w:tc>
          <w:tcPr>
            <w:tcW w:w="380" w:type="dxa"/>
            <w:vAlign w:val="bottom"/>
          </w:tcPr>
          <w:p>
            <w:pPr>
              <w:jc w:val="right"/>
              <w:ind w:right="138"/>
              <w:spacing w:after="0"/>
              <w:rPr>
                <w:sz w:val="20"/>
                <w:szCs w:val="20"/>
                <w:color w:val="auto"/>
              </w:rPr>
            </w:pPr>
            <w:r>
              <w:rPr>
                <w:rFonts w:ascii="Arial" w:cs="Arial" w:eastAsia="Arial" w:hAnsi="Arial"/>
                <w:sz w:val="16"/>
                <w:szCs w:val="16"/>
                <w:b w:val="1"/>
                <w:bCs w:val="1"/>
                <w:color w:val="auto"/>
                <w:w w:val="78"/>
              </w:rPr>
              <w:t>13</w:t>
            </w:r>
          </w:p>
        </w:tc>
        <w:tc>
          <w:tcPr>
            <w:tcW w:w="4660" w:type="dxa"/>
            <w:vAlign w:val="bottom"/>
            <w:gridSpan w:val="2"/>
          </w:tcPr>
          <w:p>
            <w:pPr>
              <w:ind w:left="200"/>
              <w:spacing w:after="0"/>
              <w:rPr>
                <w:sz w:val="20"/>
                <w:szCs w:val="20"/>
                <w:color w:val="auto"/>
              </w:rPr>
            </w:pPr>
            <w:r>
              <w:rPr>
                <w:rFonts w:ascii="Arial" w:cs="Arial" w:eastAsia="Arial" w:hAnsi="Arial"/>
                <w:sz w:val="16"/>
                <w:szCs w:val="16"/>
                <w:b w:val="1"/>
                <w:bCs w:val="1"/>
                <w:color w:val="auto"/>
              </w:rPr>
              <w:t>OTHER ASSETS AND OTHER LIABILITIES</w:t>
            </w:r>
          </w:p>
        </w:tc>
        <w:tc>
          <w:tcPr>
            <w:tcW w:w="3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380" w:type="dxa"/>
            <w:vAlign w:val="bottom"/>
          </w:tcPr>
          <w:p>
            <w:pPr>
              <w:spacing w:after="0"/>
              <w:rPr>
                <w:sz w:val="24"/>
                <w:szCs w:val="24"/>
                <w:color w:val="auto"/>
              </w:rPr>
            </w:pPr>
          </w:p>
        </w:tc>
        <w:tc>
          <w:tcPr>
            <w:tcW w:w="4660" w:type="dxa"/>
            <w:vAlign w:val="bottom"/>
            <w:gridSpan w:val="2"/>
          </w:tcPr>
          <w:p>
            <w:pPr>
              <w:ind w:left="500"/>
              <w:spacing w:after="0"/>
              <w:rPr>
                <w:sz w:val="20"/>
                <w:szCs w:val="20"/>
                <w:color w:val="auto"/>
              </w:rPr>
            </w:pPr>
            <w:r>
              <w:rPr>
                <w:rFonts w:ascii="Arial" w:cs="Arial" w:eastAsia="Arial" w:hAnsi="Arial"/>
                <w:sz w:val="16"/>
                <w:szCs w:val="16"/>
                <w:color w:val="auto"/>
              </w:rPr>
              <w:t>a)  This item consists of the following:</w:t>
            </w:r>
          </w:p>
        </w:tc>
        <w:tc>
          <w:tcPr>
            <w:tcW w:w="3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140" w:type="dxa"/>
            <w:vAlign w:val="bottom"/>
            <w:gridSpan w:val="5"/>
          </w:tcPr>
          <w:p>
            <w:pPr>
              <w:ind w:left="3400"/>
              <w:spacing w:after="0"/>
              <w:rPr>
                <w:sz w:val="20"/>
                <w:szCs w:val="20"/>
                <w:color w:val="auto"/>
              </w:rPr>
            </w:pPr>
            <w:r>
              <w:rPr>
                <w:rFonts w:ascii="Arial" w:cs="Arial" w:eastAsia="Arial" w:hAnsi="Arial"/>
                <w:sz w:val="16"/>
                <w:szCs w:val="16"/>
                <w:b w:val="1"/>
                <w:bCs w:val="1"/>
                <w:color w:val="auto"/>
                <w:w w:val="98"/>
              </w:rPr>
              <w:t>As of March 31,  As of December 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500" w:type="dxa"/>
            <w:vAlign w:val="bottom"/>
            <w:gridSpan w:val="2"/>
          </w:tcPr>
          <w:p>
            <w:pPr>
              <w:jc w:val="center"/>
              <w:ind w:left="3318"/>
              <w:spacing w:after="0"/>
              <w:rPr>
                <w:sz w:val="20"/>
                <w:szCs w:val="20"/>
                <w:color w:val="auto"/>
              </w:rPr>
            </w:pPr>
            <w:r>
              <w:rPr>
                <w:rFonts w:ascii="Arial" w:cs="Arial" w:eastAsia="Arial" w:hAnsi="Arial"/>
                <w:sz w:val="16"/>
                <w:szCs w:val="16"/>
                <w:b w:val="1"/>
                <w:bCs w:val="1"/>
                <w:color w:val="auto"/>
                <w:w w:val="95"/>
              </w:rPr>
              <w:t>2020</w:t>
            </w: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6"/>
                <w:szCs w:val="16"/>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assets -</w:t>
            </w:r>
          </w:p>
        </w:tc>
        <w:tc>
          <w:tcPr>
            <w:tcW w:w="3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b w:val="1"/>
                <w:bCs w:val="1"/>
                <w:color w:val="auto"/>
              </w:rPr>
              <w:t>Financial instruments:</w:t>
            </w:r>
          </w:p>
        </w:tc>
        <w:tc>
          <w:tcPr>
            <w:tcW w:w="3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Receivables</w:t>
            </w:r>
          </w:p>
        </w:tc>
        <w:tc>
          <w:tcPr>
            <w:tcW w:w="4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1,718,496</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1,311,892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Derivatives receivable (b)</w:t>
            </w:r>
          </w:p>
        </w:tc>
        <w:tc>
          <w:tcPr>
            <w:tcW w:w="4700" w:type="dxa"/>
            <w:vAlign w:val="bottom"/>
            <w:gridSpan w:val="3"/>
          </w:tcPr>
          <w:p>
            <w:pPr>
              <w:jc w:val="right"/>
              <w:ind w:right="200"/>
              <w:spacing w:after="0"/>
              <w:rPr>
                <w:sz w:val="20"/>
                <w:szCs w:val="20"/>
                <w:color w:val="auto"/>
              </w:rPr>
            </w:pPr>
            <w:r>
              <w:rPr>
                <w:rFonts w:ascii="Arial" w:cs="Arial" w:eastAsia="Arial" w:hAnsi="Arial"/>
                <w:sz w:val="16"/>
                <w:szCs w:val="16"/>
                <w:color w:val="auto"/>
              </w:rPr>
              <w:t>1,790,770</w:t>
            </w:r>
          </w:p>
        </w:tc>
        <w:tc>
          <w:tcPr>
            <w:tcW w:w="1360" w:type="dxa"/>
            <w:vAlign w:val="bottom"/>
          </w:tcPr>
          <w:p>
            <w:pPr>
              <w:jc w:val="right"/>
              <w:spacing w:after="0"/>
              <w:rPr>
                <w:sz w:val="20"/>
                <w:szCs w:val="20"/>
                <w:color w:val="auto"/>
              </w:rPr>
            </w:pPr>
            <w:r>
              <w:rPr>
                <w:rFonts w:ascii="Arial" w:cs="Arial" w:eastAsia="Arial" w:hAnsi="Arial"/>
                <w:sz w:val="16"/>
                <w:szCs w:val="16"/>
                <w:color w:val="auto"/>
              </w:rPr>
              <w:t>1,092,107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Receivables from sale of investments (g)</w:t>
            </w:r>
          </w:p>
        </w:tc>
        <w:tc>
          <w:tcPr>
            <w:tcW w:w="4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998,947</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278,580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Operations in process (c)</w:t>
            </w:r>
          </w:p>
        </w:tc>
        <w:tc>
          <w:tcPr>
            <w:tcW w:w="4700" w:type="dxa"/>
            <w:vAlign w:val="bottom"/>
            <w:gridSpan w:val="3"/>
          </w:tcPr>
          <w:p>
            <w:pPr>
              <w:jc w:val="right"/>
              <w:ind w:right="200"/>
              <w:spacing w:after="0"/>
              <w:rPr>
                <w:sz w:val="20"/>
                <w:szCs w:val="20"/>
                <w:color w:val="auto"/>
              </w:rPr>
            </w:pPr>
            <w:r>
              <w:rPr>
                <w:rFonts w:ascii="Arial" w:cs="Arial" w:eastAsia="Arial" w:hAnsi="Arial"/>
                <w:sz w:val="16"/>
                <w:szCs w:val="16"/>
                <w:color w:val="auto"/>
              </w:rPr>
              <w:t>55,648</w:t>
            </w: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110,389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60" w:type="dxa"/>
            <w:vAlign w:val="bottom"/>
            <w:tcBorders>
              <w:top w:val="single" w:sz="8" w:color="CCEEFF"/>
            </w:tcBorders>
            <w:shd w:val="clear" w:color="auto" w:fill="CCEEFF"/>
          </w:tcPr>
          <w:p>
            <w:pPr>
              <w:spacing w:after="0"/>
              <w:rPr>
                <w:sz w:val="16"/>
                <w:szCs w:val="16"/>
                <w:color w:val="auto"/>
              </w:rPr>
            </w:pPr>
          </w:p>
        </w:tc>
        <w:tc>
          <w:tcPr>
            <w:tcW w:w="34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4,563,861</w:t>
            </w:r>
          </w:p>
        </w:tc>
        <w:tc>
          <w:tcPr>
            <w:tcW w:w="2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2,792,968</w:t>
            </w: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800" w:type="dxa"/>
            <w:vAlign w:val="bottom"/>
            <w:vMerge w:val="restart"/>
          </w:tcPr>
          <w:p>
            <w:pPr>
              <w:spacing w:after="0"/>
              <w:rPr>
                <w:sz w:val="16"/>
                <w:szCs w:val="16"/>
                <w:color w:val="auto"/>
              </w:rPr>
            </w:pPr>
          </w:p>
        </w:tc>
        <w:tc>
          <w:tcPr>
            <w:tcW w:w="38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Non-financial instruments:</w:t>
            </w:r>
          </w:p>
        </w:tc>
        <w:tc>
          <w:tcPr>
            <w:tcW w:w="3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Deferred fees (f)</w:t>
            </w:r>
          </w:p>
        </w:tc>
        <w:tc>
          <w:tcPr>
            <w:tcW w:w="4700" w:type="dxa"/>
            <w:vAlign w:val="bottom"/>
            <w:gridSpan w:val="3"/>
          </w:tcPr>
          <w:p>
            <w:pPr>
              <w:jc w:val="right"/>
              <w:ind w:right="200"/>
              <w:spacing w:after="0"/>
              <w:rPr>
                <w:sz w:val="20"/>
                <w:szCs w:val="20"/>
                <w:color w:val="auto"/>
              </w:rPr>
            </w:pPr>
            <w:r>
              <w:rPr>
                <w:rFonts w:ascii="Arial" w:cs="Arial" w:eastAsia="Arial" w:hAnsi="Arial"/>
                <w:sz w:val="16"/>
                <w:szCs w:val="16"/>
                <w:color w:val="auto"/>
              </w:rPr>
              <w:t>1,119,810</w:t>
            </w:r>
          </w:p>
        </w:tc>
        <w:tc>
          <w:tcPr>
            <w:tcW w:w="1360" w:type="dxa"/>
            <w:vAlign w:val="bottom"/>
          </w:tcPr>
          <w:p>
            <w:pPr>
              <w:jc w:val="right"/>
              <w:spacing w:after="0"/>
              <w:rPr>
                <w:sz w:val="20"/>
                <w:szCs w:val="20"/>
                <w:color w:val="auto"/>
              </w:rPr>
            </w:pPr>
            <w:r>
              <w:rPr>
                <w:rFonts w:ascii="Arial" w:cs="Arial" w:eastAsia="Arial" w:hAnsi="Arial"/>
                <w:sz w:val="16"/>
                <w:szCs w:val="16"/>
                <w:color w:val="auto"/>
              </w:rPr>
              <w:t>1,056,656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Investment in associates (d)</w:t>
            </w:r>
          </w:p>
        </w:tc>
        <w:tc>
          <w:tcPr>
            <w:tcW w:w="4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618,310</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628,822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Investment properties, net (e)</w:t>
            </w:r>
          </w:p>
        </w:tc>
        <w:tc>
          <w:tcPr>
            <w:tcW w:w="4700" w:type="dxa"/>
            <w:vAlign w:val="bottom"/>
            <w:gridSpan w:val="3"/>
          </w:tcPr>
          <w:p>
            <w:pPr>
              <w:jc w:val="right"/>
              <w:ind w:right="200"/>
              <w:spacing w:after="0"/>
              <w:rPr>
                <w:sz w:val="20"/>
                <w:szCs w:val="20"/>
                <w:color w:val="auto"/>
              </w:rPr>
            </w:pPr>
            <w:r>
              <w:rPr>
                <w:rFonts w:ascii="Arial" w:cs="Arial" w:eastAsia="Arial" w:hAnsi="Arial"/>
                <w:sz w:val="16"/>
                <w:szCs w:val="16"/>
                <w:color w:val="auto"/>
              </w:rPr>
              <w:t>456,009</w:t>
            </w: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450,929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Income tax prepayments, net</w:t>
            </w:r>
          </w:p>
        </w:tc>
        <w:tc>
          <w:tcPr>
            <w:tcW w:w="4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278,628</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191,502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Adjudicated assets, net</w:t>
            </w:r>
          </w:p>
        </w:tc>
        <w:tc>
          <w:tcPr>
            <w:tcW w:w="4700" w:type="dxa"/>
            <w:vAlign w:val="bottom"/>
            <w:gridSpan w:val="3"/>
          </w:tcPr>
          <w:p>
            <w:pPr>
              <w:jc w:val="right"/>
              <w:ind w:right="200"/>
              <w:spacing w:after="0"/>
              <w:rPr>
                <w:sz w:val="20"/>
                <w:szCs w:val="20"/>
                <w:color w:val="auto"/>
              </w:rPr>
            </w:pPr>
            <w:r>
              <w:rPr>
                <w:rFonts w:ascii="Arial" w:cs="Arial" w:eastAsia="Arial" w:hAnsi="Arial"/>
                <w:sz w:val="16"/>
                <w:szCs w:val="16"/>
                <w:color w:val="auto"/>
              </w:rPr>
              <w:t>142,072</w:t>
            </w: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143,349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Improvements in leased premises</w:t>
            </w:r>
          </w:p>
        </w:tc>
        <w:tc>
          <w:tcPr>
            <w:tcW w:w="4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105,719</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112,385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VAT (IGV) tax credit</w:t>
            </w:r>
          </w:p>
        </w:tc>
        <w:tc>
          <w:tcPr>
            <w:tcW w:w="4700" w:type="dxa"/>
            <w:vAlign w:val="bottom"/>
            <w:gridSpan w:val="3"/>
          </w:tcPr>
          <w:p>
            <w:pPr>
              <w:jc w:val="right"/>
              <w:ind w:right="200"/>
              <w:spacing w:after="0"/>
              <w:rPr>
                <w:sz w:val="20"/>
                <w:szCs w:val="20"/>
                <w:color w:val="auto"/>
              </w:rPr>
            </w:pPr>
            <w:r>
              <w:rPr>
                <w:rFonts w:ascii="Arial" w:cs="Arial" w:eastAsia="Arial" w:hAnsi="Arial"/>
                <w:sz w:val="16"/>
                <w:szCs w:val="16"/>
                <w:color w:val="auto"/>
              </w:rPr>
              <w:t>26,424</w:t>
            </w: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75,605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4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9,190</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340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2,756,162</w:t>
            </w:r>
          </w:p>
        </w:tc>
        <w:tc>
          <w:tcPr>
            <w:tcW w:w="200" w:type="dxa"/>
            <w:vAlign w:val="bottom"/>
            <w:tcBorders>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2,665,502</w:t>
            </w:r>
          </w:p>
        </w:tc>
        <w:tc>
          <w:tcPr>
            <w:tcW w:w="80" w:type="dxa"/>
            <w:vAlign w:val="bottom"/>
            <w:tcBorders>
              <w:bottom w:val="single" w:sz="8" w:color="CCEEFF"/>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4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7,320,023</w:t>
            </w:r>
          </w:p>
        </w:tc>
        <w:tc>
          <w:tcPr>
            <w:tcW w:w="20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5,458,470</w:t>
            </w:r>
          </w:p>
        </w:tc>
        <w:tc>
          <w:tcPr>
            <w:tcW w:w="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140" w:type="dxa"/>
            <w:vAlign w:val="bottom"/>
            <w:gridSpan w:val="5"/>
          </w:tcPr>
          <w:p>
            <w:pPr>
              <w:ind w:left="3400"/>
              <w:spacing w:after="0"/>
              <w:rPr>
                <w:sz w:val="20"/>
                <w:szCs w:val="20"/>
                <w:color w:val="auto"/>
              </w:rPr>
            </w:pPr>
            <w:r>
              <w:rPr>
                <w:rFonts w:ascii="Arial" w:cs="Arial" w:eastAsia="Arial" w:hAnsi="Arial"/>
                <w:sz w:val="16"/>
                <w:szCs w:val="16"/>
                <w:b w:val="1"/>
                <w:bCs w:val="1"/>
                <w:color w:val="auto"/>
                <w:w w:val="98"/>
              </w:rPr>
              <w:t>As of March 31,  As of December 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500" w:type="dxa"/>
            <w:vAlign w:val="bottom"/>
            <w:gridSpan w:val="2"/>
          </w:tcPr>
          <w:p>
            <w:pPr>
              <w:jc w:val="center"/>
              <w:ind w:left="3318"/>
              <w:spacing w:after="0"/>
              <w:rPr>
                <w:sz w:val="20"/>
                <w:szCs w:val="20"/>
                <w:color w:val="auto"/>
              </w:rPr>
            </w:pPr>
            <w:r>
              <w:rPr>
                <w:rFonts w:ascii="Arial" w:cs="Arial" w:eastAsia="Arial" w:hAnsi="Arial"/>
                <w:sz w:val="16"/>
                <w:szCs w:val="16"/>
                <w:b w:val="1"/>
                <w:bCs w:val="1"/>
                <w:color w:val="auto"/>
                <w:w w:val="95"/>
              </w:rPr>
              <w:t>2020</w:t>
            </w: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6"/>
                <w:szCs w:val="16"/>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liabilities -</w:t>
            </w:r>
          </w:p>
        </w:tc>
        <w:tc>
          <w:tcPr>
            <w:tcW w:w="3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b w:val="1"/>
                <w:bCs w:val="1"/>
                <w:color w:val="auto"/>
              </w:rPr>
              <w:t>Financial instruments:</w:t>
            </w:r>
          </w:p>
        </w:tc>
        <w:tc>
          <w:tcPr>
            <w:tcW w:w="3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Dividends payable by Credicorp Ltd. (h)</w:t>
            </w:r>
          </w:p>
        </w:tc>
        <w:tc>
          <w:tcPr>
            <w:tcW w:w="4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2,392,844</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Accounts payable</w:t>
            </w:r>
          </w:p>
        </w:tc>
        <w:tc>
          <w:tcPr>
            <w:tcW w:w="4700" w:type="dxa"/>
            <w:vAlign w:val="bottom"/>
            <w:gridSpan w:val="3"/>
          </w:tcPr>
          <w:p>
            <w:pPr>
              <w:jc w:val="right"/>
              <w:ind w:right="200"/>
              <w:spacing w:after="0"/>
              <w:rPr>
                <w:sz w:val="20"/>
                <w:szCs w:val="20"/>
                <w:color w:val="auto"/>
              </w:rPr>
            </w:pPr>
            <w:r>
              <w:rPr>
                <w:rFonts w:ascii="Arial" w:cs="Arial" w:eastAsia="Arial" w:hAnsi="Arial"/>
                <w:sz w:val="16"/>
                <w:szCs w:val="16"/>
                <w:color w:val="auto"/>
              </w:rPr>
              <w:t>1,589,995</w:t>
            </w:r>
          </w:p>
        </w:tc>
        <w:tc>
          <w:tcPr>
            <w:tcW w:w="1360" w:type="dxa"/>
            <w:vAlign w:val="bottom"/>
          </w:tcPr>
          <w:p>
            <w:pPr>
              <w:jc w:val="right"/>
              <w:spacing w:after="0"/>
              <w:rPr>
                <w:sz w:val="20"/>
                <w:szCs w:val="20"/>
                <w:color w:val="auto"/>
              </w:rPr>
            </w:pPr>
            <w:r>
              <w:rPr>
                <w:rFonts w:ascii="Arial" w:cs="Arial" w:eastAsia="Arial" w:hAnsi="Arial"/>
                <w:sz w:val="16"/>
                <w:szCs w:val="16"/>
                <w:color w:val="auto"/>
              </w:rPr>
              <w:t>1,670,525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Derivatives payable (b)</w:t>
            </w:r>
          </w:p>
        </w:tc>
        <w:tc>
          <w:tcPr>
            <w:tcW w:w="4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1,751,719</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1,040,282</w:t>
            </w:r>
          </w:p>
        </w:tc>
        <w:tc>
          <w:tcPr>
            <w:tcW w:w="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Accounts payable for acquisitions of investments (g)</w:t>
            </w:r>
          </w:p>
        </w:tc>
        <w:tc>
          <w:tcPr>
            <w:tcW w:w="4700" w:type="dxa"/>
            <w:vAlign w:val="bottom"/>
            <w:gridSpan w:val="3"/>
          </w:tcPr>
          <w:p>
            <w:pPr>
              <w:jc w:val="right"/>
              <w:ind w:right="200"/>
              <w:spacing w:after="0"/>
              <w:rPr>
                <w:sz w:val="20"/>
                <w:szCs w:val="20"/>
                <w:color w:val="auto"/>
              </w:rPr>
            </w:pPr>
            <w:r>
              <w:rPr>
                <w:rFonts w:ascii="Arial" w:cs="Arial" w:eastAsia="Arial" w:hAnsi="Arial"/>
                <w:sz w:val="16"/>
                <w:szCs w:val="16"/>
                <w:color w:val="auto"/>
              </w:rPr>
              <w:t>1,029,208</w:t>
            </w: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311,348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Salaries and other personnel expenses</w:t>
            </w:r>
          </w:p>
        </w:tc>
        <w:tc>
          <w:tcPr>
            <w:tcW w:w="4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486,924</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760,140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Allowance for indirect loan losses, Note 7(c)</w:t>
            </w:r>
          </w:p>
        </w:tc>
        <w:tc>
          <w:tcPr>
            <w:tcW w:w="4700" w:type="dxa"/>
            <w:vAlign w:val="bottom"/>
            <w:gridSpan w:val="3"/>
          </w:tcPr>
          <w:p>
            <w:pPr>
              <w:jc w:val="right"/>
              <w:ind w:right="200"/>
              <w:spacing w:after="0"/>
              <w:rPr>
                <w:sz w:val="20"/>
                <w:szCs w:val="20"/>
                <w:color w:val="auto"/>
              </w:rPr>
            </w:pPr>
            <w:r>
              <w:rPr>
                <w:rFonts w:ascii="Arial" w:cs="Arial" w:eastAsia="Arial" w:hAnsi="Arial"/>
                <w:sz w:val="16"/>
                <w:szCs w:val="16"/>
                <w:color w:val="auto"/>
              </w:rPr>
              <w:t>400,049</w:t>
            </w: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383,797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Operations in process (c)</w:t>
            </w:r>
          </w:p>
        </w:tc>
        <w:tc>
          <w:tcPr>
            <w:tcW w:w="4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95,643</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80,734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340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7,746,382</w:t>
            </w:r>
          </w:p>
        </w:tc>
        <w:tc>
          <w:tcPr>
            <w:tcW w:w="200" w:type="dxa"/>
            <w:vAlign w:val="bottom"/>
            <w:tcBorders>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4,246,826</w:t>
            </w:r>
          </w:p>
        </w:tc>
        <w:tc>
          <w:tcPr>
            <w:tcW w:w="80" w:type="dxa"/>
            <w:vAlign w:val="bottom"/>
            <w:tcBorders>
              <w:bottom w:val="single" w:sz="8" w:color="CCEEFF"/>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Non-financial instruments:</w:t>
            </w:r>
          </w:p>
        </w:tc>
        <w:tc>
          <w:tcPr>
            <w:tcW w:w="3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Taxes</w:t>
            </w:r>
          </w:p>
        </w:tc>
        <w:tc>
          <w:tcPr>
            <w:tcW w:w="4700" w:type="dxa"/>
            <w:vAlign w:val="bottom"/>
            <w:gridSpan w:val="3"/>
          </w:tcPr>
          <w:p>
            <w:pPr>
              <w:jc w:val="right"/>
              <w:ind w:right="200"/>
              <w:spacing w:after="0"/>
              <w:rPr>
                <w:sz w:val="20"/>
                <w:szCs w:val="20"/>
                <w:color w:val="auto"/>
              </w:rPr>
            </w:pPr>
            <w:r>
              <w:rPr>
                <w:rFonts w:ascii="Arial" w:cs="Arial" w:eastAsia="Arial" w:hAnsi="Arial"/>
                <w:sz w:val="16"/>
                <w:szCs w:val="16"/>
                <w:color w:val="auto"/>
              </w:rPr>
              <w:t>753,447</w:t>
            </w: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644,802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Provision for sundry risks</w:t>
            </w:r>
          </w:p>
        </w:tc>
        <w:tc>
          <w:tcPr>
            <w:tcW w:w="4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361,280</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359,853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Others</w:t>
            </w:r>
          </w:p>
        </w:tc>
        <w:tc>
          <w:tcPr>
            <w:tcW w:w="4700" w:type="dxa"/>
            <w:vAlign w:val="bottom"/>
            <w:gridSpan w:val="3"/>
          </w:tcPr>
          <w:p>
            <w:pPr>
              <w:jc w:val="right"/>
              <w:ind w:right="200"/>
              <w:spacing w:after="0"/>
              <w:rPr>
                <w:sz w:val="20"/>
                <w:szCs w:val="20"/>
                <w:color w:val="auto"/>
              </w:rPr>
            </w:pPr>
            <w:r>
              <w:rPr>
                <w:rFonts w:ascii="Arial" w:cs="Arial" w:eastAsia="Arial" w:hAnsi="Arial"/>
                <w:sz w:val="16"/>
                <w:szCs w:val="16"/>
                <w:color w:val="auto"/>
              </w:rPr>
              <w:t>190,766</w:t>
            </w: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229,807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60" w:type="dxa"/>
            <w:vAlign w:val="bottom"/>
            <w:tcBorders>
              <w:top w:val="single" w:sz="8" w:color="CCEEFF"/>
            </w:tcBorders>
            <w:shd w:val="clear" w:color="auto" w:fill="CCEEFF"/>
          </w:tcPr>
          <w:p>
            <w:pPr>
              <w:spacing w:after="0"/>
              <w:rPr>
                <w:sz w:val="16"/>
                <w:szCs w:val="16"/>
                <w:color w:val="auto"/>
              </w:rPr>
            </w:pPr>
          </w:p>
        </w:tc>
        <w:tc>
          <w:tcPr>
            <w:tcW w:w="34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1,305,493</w:t>
            </w:r>
          </w:p>
        </w:tc>
        <w:tc>
          <w:tcPr>
            <w:tcW w:w="2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1,234,462</w:t>
            </w: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34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9,051,875</w:t>
            </w:r>
          </w:p>
        </w:tc>
        <w:tc>
          <w:tcPr>
            <w:tcW w:w="2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5,481,288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jc w:val="right"/>
              <w:ind w:right="2558"/>
              <w:spacing w:after="0"/>
              <w:rPr>
                <w:sz w:val="20"/>
                <w:szCs w:val="20"/>
                <w:color w:val="auto"/>
              </w:rPr>
            </w:pPr>
            <w:r>
              <w:rPr>
                <w:rFonts w:ascii="Arial" w:cs="Arial" w:eastAsia="Arial" w:hAnsi="Arial"/>
                <w:sz w:val="16"/>
                <w:szCs w:val="16"/>
                <w:color w:val="auto"/>
              </w:rPr>
              <w:t>-41-</w:t>
            </w: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35" w:right="339" w:bottom="1440" w:gutter="0" w:footer="0" w:header="0"/>
        </w:sectPr>
      </w:pPr>
    </w:p>
    <w:bookmarkStart w:id="47" w:name="page48"/>
    <w:bookmarkEnd w:id="47"/>
    <w:p>
      <w:pPr>
        <w:ind w:left="287" w:hanging="287"/>
        <w:spacing w:after="0" w:line="287" w:lineRule="auto"/>
        <w:tabs>
          <w:tab w:leader="none" w:pos="287"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risk in derivative contracts arises from the possibility of the counterparty failing to comply with the terms and conditions agreed and that the reference rates at which the transactions took place change.</w:t>
      </w:r>
    </w:p>
    <w:p>
      <w:pPr>
        <w:spacing w:after="0" w:line="150" w:lineRule="exact"/>
        <w:rPr>
          <w:sz w:val="20"/>
          <w:szCs w:val="20"/>
          <w:color w:val="auto"/>
        </w:rPr>
      </w:pPr>
    </w:p>
    <w:p>
      <w:pPr>
        <w:jc w:val="both"/>
        <w:ind w:left="287" w:right="80"/>
        <w:spacing w:after="0" w:line="271" w:lineRule="auto"/>
        <w:rPr>
          <w:sz w:val="20"/>
          <w:szCs w:val="20"/>
          <w:color w:val="auto"/>
        </w:rPr>
      </w:pPr>
      <w:r>
        <w:rPr>
          <w:rFonts w:ascii="Arial" w:cs="Arial" w:eastAsia="Arial" w:hAnsi="Arial"/>
          <w:sz w:val="16"/>
          <w:szCs w:val="16"/>
          <w:color w:val="auto"/>
        </w:rPr>
        <w:t>The table below shows as of March 31, 2020 and December 31, 2019 the fair value of derivative financial instruments, recorded as an asset or a liability, together with their notional amounts and maturities. The nominal amount, recorded gross, is the amount of a derivative’s underlying asset and is the basis upon which fair value of derivatives is measured.</w:t>
      </w:r>
    </w:p>
    <w:p>
      <w:pPr>
        <w:spacing w:after="0" w:line="172" w:lineRule="exact"/>
        <w:rPr>
          <w:sz w:val="20"/>
          <w:szCs w:val="20"/>
          <w:color w:val="auto"/>
        </w:rPr>
      </w:pPr>
    </w:p>
    <w:tbl>
      <w:tblPr>
        <w:tblLayout w:type="fixed"/>
        <w:tblInd w:w="28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tcPr>
          <w:p>
            <w:pPr>
              <w:ind w:left="440"/>
              <w:spacing w:after="0"/>
              <w:rPr>
                <w:sz w:val="20"/>
                <w:szCs w:val="20"/>
                <w:color w:val="auto"/>
              </w:rPr>
            </w:pPr>
            <w:r>
              <w:rPr>
                <w:rFonts w:ascii="Arial" w:cs="Arial" w:eastAsia="Arial" w:hAnsi="Arial"/>
                <w:sz w:val="11"/>
                <w:szCs w:val="11"/>
                <w:b w:val="1"/>
                <w:bCs w:val="1"/>
                <w:color w:val="auto"/>
              </w:rPr>
              <w:t>As of March 31, 2020</w:t>
            </w:r>
          </w:p>
        </w:tc>
        <w:tc>
          <w:tcPr>
            <w:tcW w:w="10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5"/>
          </w:tcPr>
          <w:p>
            <w:pPr>
              <w:ind w:left="260"/>
              <w:spacing w:after="0"/>
              <w:rPr>
                <w:sz w:val="20"/>
                <w:szCs w:val="20"/>
                <w:color w:val="auto"/>
              </w:rPr>
            </w:pPr>
            <w:r>
              <w:rPr>
                <w:rFonts w:ascii="Arial" w:cs="Arial" w:eastAsia="Arial" w:hAnsi="Arial"/>
                <w:sz w:val="11"/>
                <w:szCs w:val="11"/>
                <w:b w:val="1"/>
                <w:bCs w:val="1"/>
                <w:color w:val="auto"/>
              </w:rPr>
              <w:t>As of December 31, 2019</w:t>
            </w:r>
          </w:p>
        </w:tc>
        <w:tc>
          <w:tcPr>
            <w:tcW w:w="9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2020 and 2019</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tcPr>
          <w:p>
            <w:pPr>
              <w:jc w:val="center"/>
              <w:ind w:right="200"/>
              <w:spacing w:after="0" w:line="100" w:lineRule="exact"/>
              <w:rPr>
                <w:sz w:val="20"/>
                <w:szCs w:val="20"/>
                <w:color w:val="auto"/>
              </w:rPr>
            </w:pPr>
            <w:r>
              <w:rPr>
                <w:rFonts w:ascii="Arial" w:cs="Arial" w:eastAsia="Arial" w:hAnsi="Arial"/>
                <w:sz w:val="11"/>
                <w:szCs w:val="11"/>
                <w:b w:val="1"/>
                <w:bCs w:val="1"/>
                <w:color w:val="auto"/>
                <w:w w:val="95"/>
              </w:rPr>
              <w:t>Notional</w:t>
            </w: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3"/>
          </w:tcPr>
          <w:p>
            <w:pPr>
              <w:jc w:val="center"/>
              <w:ind w:right="200"/>
              <w:spacing w:after="0" w:line="100" w:lineRule="exact"/>
              <w:rPr>
                <w:sz w:val="20"/>
                <w:szCs w:val="20"/>
                <w:color w:val="auto"/>
              </w:rPr>
            </w:pPr>
            <w:r>
              <w:rPr>
                <w:rFonts w:ascii="Arial" w:cs="Arial" w:eastAsia="Arial" w:hAnsi="Arial"/>
                <w:sz w:val="11"/>
                <w:szCs w:val="11"/>
                <w:b w:val="1"/>
                <w:bCs w:val="1"/>
                <w:color w:val="auto"/>
                <w:w w:val="95"/>
              </w:rPr>
              <w:t>Notional</w:t>
            </w: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5"/>
              </w:rPr>
              <w:t>Related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Assets</w:t>
            </w:r>
          </w:p>
        </w:tc>
        <w:tc>
          <w:tcPr>
            <w:tcW w:w="76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8"/>
              </w:rPr>
              <w:t>Liabilities</w:t>
            </w: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amount</w:t>
            </w:r>
          </w:p>
        </w:tc>
        <w:tc>
          <w:tcPr>
            <w:tcW w:w="1280" w:type="dxa"/>
            <w:vAlign w:val="bottom"/>
            <w:gridSpan w:val="2"/>
          </w:tcPr>
          <w:p>
            <w:pPr>
              <w:ind w:left="320"/>
              <w:spacing w:after="0"/>
              <w:rPr>
                <w:sz w:val="20"/>
                <w:szCs w:val="20"/>
                <w:color w:val="auto"/>
              </w:rPr>
            </w:pPr>
            <w:r>
              <w:rPr>
                <w:rFonts w:ascii="Arial" w:cs="Arial" w:eastAsia="Arial" w:hAnsi="Arial"/>
                <w:sz w:val="11"/>
                <w:szCs w:val="11"/>
                <w:b w:val="1"/>
                <w:bCs w:val="1"/>
                <w:color w:val="auto"/>
              </w:rPr>
              <w:t>Maturity</w:t>
            </w:r>
          </w:p>
        </w:tc>
        <w:tc>
          <w:tcPr>
            <w:tcW w:w="76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Assets</w:t>
            </w:r>
          </w:p>
        </w:tc>
        <w:tc>
          <w:tcPr>
            <w:tcW w:w="76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8"/>
              </w:rPr>
              <w:t>Liabilities</w:t>
            </w:r>
          </w:p>
        </w:tc>
        <w:tc>
          <w:tcPr>
            <w:tcW w:w="82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5"/>
              </w:rPr>
              <w:t>amount</w:t>
            </w:r>
          </w:p>
        </w:tc>
        <w:tc>
          <w:tcPr>
            <w:tcW w:w="900" w:type="dxa"/>
            <w:vAlign w:val="bottom"/>
          </w:tcPr>
          <w:p>
            <w:pPr>
              <w:ind w:left="220"/>
              <w:spacing w:after="0"/>
              <w:rPr>
                <w:sz w:val="20"/>
                <w:szCs w:val="20"/>
                <w:color w:val="auto"/>
              </w:rPr>
            </w:pPr>
            <w:r>
              <w:rPr>
                <w:rFonts w:ascii="Arial" w:cs="Arial" w:eastAsia="Arial" w:hAnsi="Arial"/>
                <w:sz w:val="11"/>
                <w:szCs w:val="11"/>
                <w:b w:val="1"/>
                <w:bCs w:val="1"/>
                <w:color w:val="auto"/>
              </w:rPr>
              <w:t>Maturity</w:t>
            </w:r>
          </w:p>
        </w:tc>
        <w:tc>
          <w:tcPr>
            <w:tcW w:w="2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2"/>
              </w:rPr>
              <w:t>instruments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60" w:type="dxa"/>
            <w:vAlign w:val="bottom"/>
            <w:tcBorders>
              <w:top w:val="single" w:sz="8" w:color="auto"/>
            </w:tcBorders>
          </w:tcPr>
          <w:p>
            <w:pPr>
              <w:jc w:val="right"/>
              <w:ind w:right="43"/>
              <w:spacing w:after="0" w:line="115" w:lineRule="exact"/>
              <w:rPr>
                <w:sz w:val="20"/>
                <w:szCs w:val="20"/>
                <w:color w:val="auto"/>
              </w:rPr>
            </w:pPr>
            <w:r>
              <w:rPr>
                <w:rFonts w:ascii="Arial" w:cs="Arial" w:eastAsia="Arial" w:hAnsi="Arial"/>
                <w:sz w:val="11"/>
                <w:szCs w:val="11"/>
                <w:b w:val="1"/>
                <w:bCs w:val="1"/>
                <w:color w:val="auto"/>
              </w:rPr>
              <w:t>S/(000)</w:t>
            </w:r>
          </w:p>
        </w:tc>
        <w:tc>
          <w:tcPr>
            <w:tcW w:w="200" w:type="dxa"/>
            <w:vAlign w:val="bottom"/>
          </w:tcPr>
          <w:p>
            <w:pPr>
              <w:spacing w:after="0"/>
              <w:rPr>
                <w:sz w:val="10"/>
                <w:szCs w:val="10"/>
                <w:color w:val="auto"/>
              </w:rPr>
            </w:pPr>
          </w:p>
        </w:tc>
        <w:tc>
          <w:tcPr>
            <w:tcW w:w="560" w:type="dxa"/>
            <w:vAlign w:val="bottom"/>
            <w:tcBorders>
              <w:top w:val="single" w:sz="8" w:color="auto"/>
            </w:tcBorders>
          </w:tcPr>
          <w:p>
            <w:pPr>
              <w:jc w:val="right"/>
              <w:ind w:right="43"/>
              <w:spacing w:after="0" w:line="115" w:lineRule="exact"/>
              <w:rPr>
                <w:sz w:val="20"/>
                <w:szCs w:val="20"/>
                <w:color w:val="auto"/>
              </w:rPr>
            </w:pPr>
            <w:r>
              <w:rPr>
                <w:rFonts w:ascii="Arial" w:cs="Arial" w:eastAsia="Arial" w:hAnsi="Arial"/>
                <w:sz w:val="11"/>
                <w:szCs w:val="11"/>
                <w:b w:val="1"/>
                <w:bCs w:val="1"/>
                <w:color w:val="auto"/>
              </w:rPr>
              <w:t>S/(000)</w:t>
            </w:r>
          </w:p>
        </w:tc>
        <w:tc>
          <w:tcPr>
            <w:tcW w:w="200" w:type="dxa"/>
            <w:vAlign w:val="bottom"/>
          </w:tcPr>
          <w:p>
            <w:pPr>
              <w:spacing w:after="0"/>
              <w:rPr>
                <w:sz w:val="10"/>
                <w:szCs w:val="10"/>
                <w:color w:val="auto"/>
              </w:rPr>
            </w:pPr>
          </w:p>
        </w:tc>
        <w:tc>
          <w:tcPr>
            <w:tcW w:w="6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0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top w:val="single" w:sz="8" w:color="auto"/>
            </w:tcBorders>
          </w:tcPr>
          <w:p>
            <w:pPr>
              <w:jc w:val="right"/>
              <w:ind w:right="43"/>
              <w:spacing w:after="0" w:line="115" w:lineRule="exact"/>
              <w:rPr>
                <w:sz w:val="20"/>
                <w:szCs w:val="20"/>
                <w:color w:val="auto"/>
              </w:rPr>
            </w:pPr>
            <w:r>
              <w:rPr>
                <w:rFonts w:ascii="Arial" w:cs="Arial" w:eastAsia="Arial" w:hAnsi="Arial"/>
                <w:sz w:val="11"/>
                <w:szCs w:val="11"/>
                <w:b w:val="1"/>
                <w:bCs w:val="1"/>
                <w:color w:val="auto"/>
              </w:rPr>
              <w:t>S/(000)</w:t>
            </w:r>
          </w:p>
        </w:tc>
        <w:tc>
          <w:tcPr>
            <w:tcW w:w="200" w:type="dxa"/>
            <w:vAlign w:val="bottom"/>
          </w:tcPr>
          <w:p>
            <w:pPr>
              <w:spacing w:after="0"/>
              <w:rPr>
                <w:sz w:val="10"/>
                <w:szCs w:val="10"/>
                <w:color w:val="auto"/>
              </w:rPr>
            </w:pPr>
          </w:p>
        </w:tc>
        <w:tc>
          <w:tcPr>
            <w:tcW w:w="560" w:type="dxa"/>
            <w:vAlign w:val="bottom"/>
            <w:tcBorders>
              <w:top w:val="single" w:sz="8" w:color="auto"/>
            </w:tcBorders>
          </w:tcPr>
          <w:p>
            <w:pPr>
              <w:jc w:val="right"/>
              <w:ind w:right="43"/>
              <w:spacing w:after="0" w:line="115" w:lineRule="exact"/>
              <w:rPr>
                <w:sz w:val="20"/>
                <w:szCs w:val="20"/>
                <w:color w:val="auto"/>
              </w:rPr>
            </w:pPr>
            <w:r>
              <w:rPr>
                <w:rFonts w:ascii="Arial" w:cs="Arial" w:eastAsia="Arial" w:hAnsi="Arial"/>
                <w:sz w:val="11"/>
                <w:szCs w:val="11"/>
                <w:b w:val="1"/>
                <w:bCs w:val="1"/>
                <w:color w:val="auto"/>
              </w:rPr>
              <w:t>S/(000)</w:t>
            </w:r>
          </w:p>
        </w:tc>
        <w:tc>
          <w:tcPr>
            <w:tcW w:w="200" w:type="dxa"/>
            <w:vAlign w:val="bottom"/>
          </w:tcPr>
          <w:p>
            <w:pPr>
              <w:spacing w:after="0"/>
              <w:rPr>
                <w:sz w:val="10"/>
                <w:szCs w:val="10"/>
                <w:color w:val="auto"/>
              </w:rPr>
            </w:pPr>
          </w:p>
        </w:tc>
        <w:tc>
          <w:tcPr>
            <w:tcW w:w="6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00" w:type="dxa"/>
            <w:vAlign w:val="bottom"/>
            <w:gridSpan w:val="2"/>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Derivatives held for trading (i) -</w:t>
            </w: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2"/>
          </w:tcPr>
          <w:p>
            <w:pPr>
              <w:ind w:left="80"/>
              <w:spacing w:after="0" w:line="109" w:lineRule="exact"/>
              <w:rPr>
                <w:sz w:val="20"/>
                <w:szCs w:val="20"/>
                <w:color w:val="auto"/>
              </w:rPr>
            </w:pPr>
            <w:r>
              <w:rPr>
                <w:rFonts w:ascii="Arial" w:cs="Arial" w:eastAsia="Arial" w:hAnsi="Arial"/>
                <w:sz w:val="11"/>
                <w:szCs w:val="11"/>
                <w:color w:val="auto"/>
              </w:rPr>
              <w:t>April 2020 / October</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ind w:left="100"/>
              <w:spacing w:after="0" w:line="109" w:lineRule="exact"/>
              <w:rPr>
                <w:sz w:val="20"/>
                <w:szCs w:val="20"/>
                <w:color w:val="auto"/>
              </w:rPr>
            </w:pPr>
            <w:r>
              <w:rPr>
                <w:rFonts w:ascii="Arial" w:cs="Arial" w:eastAsia="Arial" w:hAnsi="Arial"/>
                <w:sz w:val="11"/>
                <w:szCs w:val="11"/>
                <w:color w:val="auto"/>
              </w:rPr>
              <w:t>January 2020 /</w:t>
            </w: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480" w:type="dxa"/>
            <w:vAlign w:val="bottom"/>
            <w:gridSpan w:val="2"/>
          </w:tcPr>
          <w:p>
            <w:pPr>
              <w:spacing w:after="0"/>
              <w:rPr>
                <w:sz w:val="20"/>
                <w:szCs w:val="20"/>
                <w:color w:val="auto"/>
              </w:rPr>
            </w:pPr>
            <w:r>
              <w:rPr>
                <w:rFonts w:ascii="Arial" w:cs="Arial" w:eastAsia="Arial" w:hAnsi="Arial"/>
                <w:sz w:val="11"/>
                <w:szCs w:val="11"/>
                <w:color w:val="auto"/>
              </w:rPr>
              <w:t>Foreign currency forwards</w:t>
            </w:r>
          </w:p>
        </w:tc>
        <w:tc>
          <w:tcPr>
            <w:tcW w:w="560" w:type="dxa"/>
            <w:vAlign w:val="bottom"/>
          </w:tcPr>
          <w:p>
            <w:pPr>
              <w:jc w:val="right"/>
              <w:spacing w:after="0"/>
              <w:rPr>
                <w:sz w:val="20"/>
                <w:szCs w:val="20"/>
                <w:color w:val="auto"/>
              </w:rPr>
            </w:pPr>
            <w:r>
              <w:rPr>
                <w:rFonts w:ascii="Arial" w:cs="Arial" w:eastAsia="Arial" w:hAnsi="Arial"/>
                <w:sz w:val="11"/>
                <w:szCs w:val="11"/>
                <w:color w:val="auto"/>
              </w:rPr>
              <w:t>472,830</w:t>
            </w:r>
          </w:p>
        </w:tc>
        <w:tc>
          <w:tcPr>
            <w:tcW w:w="2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427,076</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27,928,979</w:t>
            </w:r>
          </w:p>
        </w:tc>
        <w:tc>
          <w:tcPr>
            <w:tcW w:w="1080" w:type="dxa"/>
            <w:vAlign w:val="bottom"/>
          </w:tcPr>
          <w:p>
            <w:pPr>
              <w:ind w:left="80"/>
              <w:spacing w:after="0"/>
              <w:rPr>
                <w:sz w:val="20"/>
                <w:szCs w:val="20"/>
                <w:color w:val="auto"/>
              </w:rPr>
            </w:pPr>
            <w:r>
              <w:rPr>
                <w:rFonts w:ascii="Arial" w:cs="Arial" w:eastAsia="Arial" w:hAnsi="Arial"/>
                <w:sz w:val="11"/>
                <w:szCs w:val="11"/>
                <w:color w:val="auto"/>
              </w:rPr>
              <w:t>2022</w:t>
            </w:r>
          </w:p>
        </w:tc>
        <w:tc>
          <w:tcPr>
            <w:tcW w:w="2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306,148</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246,960</w:t>
            </w: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27,422,634</w:t>
            </w:r>
          </w:p>
        </w:tc>
        <w:tc>
          <w:tcPr>
            <w:tcW w:w="180" w:type="dxa"/>
            <w:vAlign w:val="bottom"/>
          </w:tcPr>
          <w:p>
            <w:pPr>
              <w:spacing w:after="0"/>
              <w:rPr>
                <w:sz w:val="11"/>
                <w:szCs w:val="11"/>
                <w:color w:val="auto"/>
              </w:rPr>
            </w:pPr>
          </w:p>
        </w:tc>
        <w:tc>
          <w:tcPr>
            <w:tcW w:w="900" w:type="dxa"/>
            <w:vAlign w:val="bottom"/>
          </w:tcPr>
          <w:p>
            <w:pPr>
              <w:ind w:left="100"/>
              <w:spacing w:after="0"/>
              <w:rPr>
                <w:sz w:val="20"/>
                <w:szCs w:val="20"/>
                <w:color w:val="auto"/>
              </w:rPr>
            </w:pPr>
            <w:r>
              <w:rPr>
                <w:rFonts w:ascii="Arial" w:cs="Arial" w:eastAsia="Arial" w:hAnsi="Arial"/>
                <w:sz w:val="11"/>
                <w:szCs w:val="11"/>
                <w:color w:val="auto"/>
              </w:rPr>
              <w:t>October 2020</w:t>
            </w:r>
          </w:p>
        </w:tc>
        <w:tc>
          <w:tcPr>
            <w:tcW w:w="102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4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gridSpan w:val="2"/>
            <w:shd w:val="clear" w:color="auto" w:fill="CCEEFF"/>
          </w:tcPr>
          <w:p>
            <w:pPr>
              <w:ind w:left="80"/>
              <w:spacing w:after="0" w:line="109" w:lineRule="exact"/>
              <w:rPr>
                <w:sz w:val="20"/>
                <w:szCs w:val="20"/>
                <w:color w:val="auto"/>
              </w:rPr>
            </w:pPr>
            <w:r>
              <w:rPr>
                <w:rFonts w:ascii="Arial" w:cs="Arial" w:eastAsia="Arial" w:hAnsi="Arial"/>
                <w:sz w:val="11"/>
                <w:szCs w:val="11"/>
                <w:color w:val="auto"/>
              </w:rPr>
              <w:t>April 2020 /</w:t>
            </w: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shd w:val="clear" w:color="auto" w:fill="CCEEFF"/>
          </w:tcPr>
          <w:p>
            <w:pPr>
              <w:ind w:left="100"/>
              <w:spacing w:after="0" w:line="109" w:lineRule="exact"/>
              <w:rPr>
                <w:sz w:val="20"/>
                <w:szCs w:val="20"/>
                <w:color w:val="auto"/>
              </w:rPr>
            </w:pPr>
            <w:r>
              <w:rPr>
                <w:rFonts w:ascii="Arial" w:cs="Arial" w:eastAsia="Arial" w:hAnsi="Arial"/>
                <w:sz w:val="11"/>
                <w:szCs w:val="11"/>
                <w:color w:val="auto"/>
              </w:rPr>
              <w:t>January 2020 /</w:t>
            </w: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1"/>
                <w:szCs w:val="11"/>
                <w:color w:val="auto"/>
              </w:rPr>
              <w:t>Interest rate swaps</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689,397</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869,448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23,693,862</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December 2031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268,633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350,938</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26,268,071</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ind w:left="100"/>
              <w:spacing w:after="0"/>
              <w:rPr>
                <w:sz w:val="20"/>
                <w:szCs w:val="20"/>
                <w:color w:val="auto"/>
              </w:rPr>
            </w:pPr>
            <w:r>
              <w:rPr>
                <w:rFonts w:ascii="Arial" w:cs="Arial" w:eastAsia="Arial" w:hAnsi="Arial"/>
                <w:sz w:val="11"/>
                <w:szCs w:val="11"/>
                <w:color w:val="auto"/>
                <w:w w:val="99"/>
              </w:rPr>
              <w:t>December 2031</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2"/>
          </w:tcPr>
          <w:p>
            <w:pPr>
              <w:ind w:left="80"/>
              <w:spacing w:after="0" w:line="109" w:lineRule="exact"/>
              <w:rPr>
                <w:sz w:val="20"/>
                <w:szCs w:val="20"/>
                <w:color w:val="auto"/>
              </w:rPr>
            </w:pPr>
            <w:r>
              <w:rPr>
                <w:rFonts w:ascii="Arial" w:cs="Arial" w:eastAsia="Arial" w:hAnsi="Arial"/>
                <w:sz w:val="11"/>
                <w:szCs w:val="11"/>
                <w:color w:val="auto"/>
              </w:rPr>
              <w:t>April 2020 / January</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ind w:left="100"/>
              <w:spacing w:after="0" w:line="109" w:lineRule="exact"/>
              <w:rPr>
                <w:sz w:val="20"/>
                <w:szCs w:val="20"/>
                <w:color w:val="auto"/>
              </w:rPr>
            </w:pPr>
            <w:r>
              <w:rPr>
                <w:rFonts w:ascii="Arial" w:cs="Arial" w:eastAsia="Arial" w:hAnsi="Arial"/>
                <w:sz w:val="11"/>
                <w:szCs w:val="11"/>
                <w:color w:val="auto"/>
              </w:rPr>
              <w:t>January 2020 /</w:t>
            </w: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480" w:type="dxa"/>
            <w:vAlign w:val="bottom"/>
            <w:gridSpan w:val="2"/>
          </w:tcPr>
          <w:p>
            <w:pPr>
              <w:spacing w:after="0"/>
              <w:rPr>
                <w:sz w:val="20"/>
                <w:szCs w:val="20"/>
                <w:color w:val="auto"/>
              </w:rPr>
            </w:pPr>
            <w:r>
              <w:rPr>
                <w:rFonts w:ascii="Arial" w:cs="Arial" w:eastAsia="Arial" w:hAnsi="Arial"/>
                <w:sz w:val="11"/>
                <w:szCs w:val="11"/>
                <w:color w:val="auto"/>
              </w:rPr>
              <w:t>Currency swaps</w:t>
            </w:r>
          </w:p>
        </w:tc>
        <w:tc>
          <w:tcPr>
            <w:tcW w:w="560" w:type="dxa"/>
            <w:vAlign w:val="bottom"/>
          </w:tcPr>
          <w:p>
            <w:pPr>
              <w:jc w:val="right"/>
              <w:spacing w:after="0"/>
              <w:rPr>
                <w:sz w:val="20"/>
                <w:szCs w:val="20"/>
                <w:color w:val="auto"/>
              </w:rPr>
            </w:pPr>
            <w:r>
              <w:rPr>
                <w:rFonts w:ascii="Arial" w:cs="Arial" w:eastAsia="Arial" w:hAnsi="Arial"/>
                <w:sz w:val="11"/>
                <w:szCs w:val="11"/>
                <w:color w:val="auto"/>
              </w:rPr>
              <w:t>477,578</w:t>
            </w:r>
          </w:p>
        </w:tc>
        <w:tc>
          <w:tcPr>
            <w:tcW w:w="2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337,654</w:t>
            </w:r>
          </w:p>
        </w:tc>
        <w:tc>
          <w:tcPr>
            <w:tcW w:w="620" w:type="dxa"/>
            <w:vAlign w:val="bottom"/>
          </w:tcPr>
          <w:p>
            <w:pPr>
              <w:jc w:val="right"/>
              <w:spacing w:after="0"/>
              <w:rPr>
                <w:sz w:val="20"/>
                <w:szCs w:val="20"/>
                <w:color w:val="auto"/>
              </w:rPr>
            </w:pPr>
            <w:r>
              <w:rPr>
                <w:rFonts w:ascii="Arial" w:cs="Arial" w:eastAsia="Arial" w:hAnsi="Arial"/>
                <w:sz w:val="11"/>
                <w:szCs w:val="11"/>
                <w:color w:val="auto"/>
              </w:rPr>
              <w:t>9,219,526</w:t>
            </w:r>
          </w:p>
        </w:tc>
        <w:tc>
          <w:tcPr>
            <w:tcW w:w="20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color w:val="auto"/>
              </w:rPr>
              <w:t>2033</w:t>
            </w:r>
          </w:p>
        </w:tc>
        <w:tc>
          <w:tcPr>
            <w:tcW w:w="2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411,656</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366,545</w:t>
            </w:r>
          </w:p>
        </w:tc>
        <w:tc>
          <w:tcPr>
            <w:tcW w:w="620" w:type="dxa"/>
            <w:vAlign w:val="bottom"/>
          </w:tcPr>
          <w:p>
            <w:pPr>
              <w:jc w:val="right"/>
              <w:spacing w:after="0"/>
              <w:rPr>
                <w:sz w:val="20"/>
                <w:szCs w:val="20"/>
                <w:color w:val="auto"/>
              </w:rPr>
            </w:pPr>
            <w:r>
              <w:rPr>
                <w:rFonts w:ascii="Arial" w:cs="Arial" w:eastAsia="Arial" w:hAnsi="Arial"/>
                <w:sz w:val="11"/>
                <w:szCs w:val="11"/>
                <w:color w:val="auto"/>
              </w:rPr>
              <w:t>8,177,179</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ind w:left="100"/>
              <w:spacing w:after="0"/>
              <w:rPr>
                <w:sz w:val="20"/>
                <w:szCs w:val="20"/>
                <w:color w:val="auto"/>
              </w:rPr>
            </w:pPr>
            <w:r>
              <w:rPr>
                <w:rFonts w:ascii="Arial" w:cs="Arial" w:eastAsia="Arial" w:hAnsi="Arial"/>
                <w:sz w:val="11"/>
                <w:szCs w:val="11"/>
                <w:color w:val="auto"/>
              </w:rPr>
              <w:t>January 2033</w:t>
            </w:r>
          </w:p>
        </w:tc>
        <w:tc>
          <w:tcPr>
            <w:tcW w:w="102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4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gridSpan w:val="2"/>
            <w:shd w:val="clear" w:color="auto" w:fill="CCEEFF"/>
          </w:tcPr>
          <w:p>
            <w:pPr>
              <w:ind w:left="80"/>
              <w:spacing w:after="0" w:line="109" w:lineRule="exact"/>
              <w:rPr>
                <w:sz w:val="20"/>
                <w:szCs w:val="20"/>
                <w:color w:val="auto"/>
              </w:rPr>
            </w:pPr>
            <w:r>
              <w:rPr>
                <w:rFonts w:ascii="Arial" w:cs="Arial" w:eastAsia="Arial" w:hAnsi="Arial"/>
                <w:sz w:val="11"/>
                <w:szCs w:val="11"/>
                <w:color w:val="auto"/>
              </w:rPr>
              <w:t>April 2020 / March</w:t>
            </w: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shd w:val="clear" w:color="auto" w:fill="CCEEFF"/>
          </w:tcPr>
          <w:p>
            <w:pPr>
              <w:ind w:left="100"/>
              <w:spacing w:after="0" w:line="109" w:lineRule="exact"/>
              <w:rPr>
                <w:sz w:val="20"/>
                <w:szCs w:val="20"/>
                <w:color w:val="auto"/>
              </w:rPr>
            </w:pPr>
            <w:r>
              <w:rPr>
                <w:rFonts w:ascii="Arial" w:cs="Arial" w:eastAsia="Arial" w:hAnsi="Arial"/>
                <w:sz w:val="11"/>
                <w:szCs w:val="11"/>
                <w:color w:val="auto"/>
              </w:rPr>
              <w:t>January 2020 /</w:t>
            </w: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1"/>
                <w:szCs w:val="11"/>
                <w:color w:val="auto"/>
              </w:rPr>
              <w:t>Foreign exchange options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25,976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22,149</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1,564,752</w:t>
            </w: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ind w:left="80"/>
              <w:spacing w:after="0"/>
              <w:rPr>
                <w:sz w:val="20"/>
                <w:szCs w:val="20"/>
                <w:color w:val="auto"/>
              </w:rPr>
            </w:pPr>
            <w:r>
              <w:rPr>
                <w:rFonts w:ascii="Arial" w:cs="Arial" w:eastAsia="Arial" w:hAnsi="Arial"/>
                <w:sz w:val="11"/>
                <w:szCs w:val="11"/>
                <w:color w:val="auto"/>
              </w:rPr>
              <w:t>2021</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6,489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6,089</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1,565,083</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ind w:left="100"/>
              <w:spacing w:after="0"/>
              <w:rPr>
                <w:sz w:val="20"/>
                <w:szCs w:val="20"/>
                <w:color w:val="auto"/>
              </w:rPr>
            </w:pPr>
            <w:r>
              <w:rPr>
                <w:rFonts w:ascii="Arial" w:cs="Arial" w:eastAsia="Arial" w:hAnsi="Arial"/>
                <w:sz w:val="11"/>
                <w:szCs w:val="11"/>
                <w:color w:val="auto"/>
                <w:w w:val="99"/>
              </w:rPr>
              <w:t>December 2020</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20"/>
                <w:szCs w:val="20"/>
                <w:color w:val="auto"/>
              </w:rPr>
            </w:pPr>
            <w:r>
              <w:rPr>
                <w:rFonts w:ascii="Arial" w:cs="Arial" w:eastAsia="Arial" w:hAnsi="Arial"/>
                <w:sz w:val="11"/>
                <w:szCs w:val="11"/>
                <w:color w:val="auto"/>
              </w:rPr>
              <w:t>Futures</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56</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17,185</w:t>
            </w:r>
          </w:p>
        </w:tc>
        <w:tc>
          <w:tcPr>
            <w:tcW w:w="1280" w:type="dxa"/>
            <w:vAlign w:val="bottom"/>
            <w:gridSpan w:val="2"/>
          </w:tcPr>
          <w:p>
            <w:pPr>
              <w:ind w:left="80"/>
              <w:spacing w:after="0"/>
              <w:rPr>
                <w:sz w:val="20"/>
                <w:szCs w:val="20"/>
                <w:color w:val="auto"/>
              </w:rPr>
            </w:pPr>
            <w:r>
              <w:rPr>
                <w:rFonts w:ascii="Arial" w:cs="Arial" w:eastAsia="Arial" w:hAnsi="Arial"/>
                <w:sz w:val="11"/>
                <w:szCs w:val="11"/>
                <w:color w:val="auto"/>
              </w:rPr>
              <w:t>June 2020</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10</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139</w:t>
            </w: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16,901</w:t>
            </w:r>
          </w:p>
        </w:tc>
        <w:tc>
          <w:tcPr>
            <w:tcW w:w="180" w:type="dxa"/>
            <w:vAlign w:val="bottom"/>
          </w:tcPr>
          <w:p>
            <w:pPr>
              <w:spacing w:after="0"/>
              <w:rPr>
                <w:sz w:val="11"/>
                <w:szCs w:val="11"/>
                <w:color w:val="auto"/>
              </w:rPr>
            </w:pPr>
          </w:p>
        </w:tc>
        <w:tc>
          <w:tcPr>
            <w:tcW w:w="900" w:type="dxa"/>
            <w:vAlign w:val="bottom"/>
          </w:tcPr>
          <w:p>
            <w:pPr>
              <w:ind w:left="100"/>
              <w:spacing w:after="0"/>
              <w:rPr>
                <w:sz w:val="20"/>
                <w:szCs w:val="20"/>
                <w:color w:val="auto"/>
              </w:rPr>
            </w:pPr>
            <w:r>
              <w:rPr>
                <w:rFonts w:ascii="Arial" w:cs="Arial" w:eastAsia="Arial" w:hAnsi="Arial"/>
                <w:sz w:val="11"/>
                <w:szCs w:val="11"/>
                <w:color w:val="auto"/>
              </w:rPr>
              <w:t>March 2020</w:t>
            </w:r>
          </w:p>
        </w:tc>
        <w:tc>
          <w:tcPr>
            <w:tcW w:w="102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1,665,781</w:t>
            </w: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1,656,383</w:t>
            </w:r>
          </w:p>
        </w:tc>
        <w:tc>
          <w:tcPr>
            <w:tcW w:w="2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62,424,304</w:t>
            </w:r>
          </w:p>
        </w:tc>
        <w:tc>
          <w:tcPr>
            <w:tcW w:w="20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992,936</w:t>
            </w: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970,671</w:t>
            </w:r>
          </w:p>
        </w:tc>
        <w:tc>
          <w:tcPr>
            <w:tcW w:w="2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63,449,868</w:t>
            </w: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tcPr>
          <w:p>
            <w:pPr>
              <w:spacing w:after="0" w:line="123" w:lineRule="exact"/>
              <w:rPr>
                <w:sz w:val="20"/>
                <w:szCs w:val="20"/>
                <w:color w:val="auto"/>
              </w:rPr>
            </w:pPr>
            <w:r>
              <w:rPr>
                <w:rFonts w:ascii="Arial" w:cs="Arial" w:eastAsia="Arial" w:hAnsi="Arial"/>
                <w:sz w:val="11"/>
                <w:szCs w:val="11"/>
                <w:b w:val="1"/>
                <w:bCs w:val="1"/>
                <w:color w:val="auto"/>
              </w:rPr>
              <w:t>Derivatives held as hedges</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Cash flow hedges -</w:t>
            </w: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2"/>
          </w:tcPr>
          <w:p>
            <w:pPr>
              <w:ind w:left="80"/>
              <w:spacing w:after="0" w:line="109" w:lineRule="exact"/>
              <w:rPr>
                <w:sz w:val="20"/>
                <w:szCs w:val="20"/>
                <w:color w:val="auto"/>
              </w:rPr>
            </w:pPr>
            <w:r>
              <w:rPr>
                <w:rFonts w:ascii="Arial" w:cs="Arial" w:eastAsia="Arial" w:hAnsi="Arial"/>
                <w:sz w:val="11"/>
                <w:szCs w:val="11"/>
                <w:color w:val="auto"/>
              </w:rPr>
              <w:t>May 2020 /</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ind w:left="100"/>
              <w:spacing w:after="0" w:line="109" w:lineRule="exact"/>
              <w:rPr>
                <w:sz w:val="20"/>
                <w:szCs w:val="20"/>
                <w:color w:val="auto"/>
              </w:rPr>
            </w:pPr>
            <w:r>
              <w:rPr>
                <w:rFonts w:ascii="Arial" w:cs="Arial" w:eastAsia="Arial" w:hAnsi="Arial"/>
                <w:sz w:val="11"/>
                <w:szCs w:val="11"/>
                <w:color w:val="auto"/>
              </w:rPr>
              <w:t>May 2020 /</w:t>
            </w: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480" w:type="dxa"/>
            <w:vAlign w:val="bottom"/>
            <w:gridSpan w:val="2"/>
          </w:tcPr>
          <w:p>
            <w:pPr>
              <w:spacing w:after="0"/>
              <w:rPr>
                <w:sz w:val="20"/>
                <w:szCs w:val="20"/>
                <w:color w:val="auto"/>
              </w:rPr>
            </w:pPr>
            <w:r>
              <w:rPr>
                <w:rFonts w:ascii="Arial" w:cs="Arial" w:eastAsia="Arial" w:hAnsi="Arial"/>
                <w:sz w:val="11"/>
                <w:szCs w:val="11"/>
                <w:color w:val="auto"/>
              </w:rPr>
              <w:t>Interest rate swaps (IRS)</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1,758</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687,400</w:t>
            </w:r>
          </w:p>
        </w:tc>
        <w:tc>
          <w:tcPr>
            <w:tcW w:w="1280" w:type="dxa"/>
            <w:vAlign w:val="bottom"/>
            <w:gridSpan w:val="2"/>
          </w:tcPr>
          <w:p>
            <w:pPr>
              <w:ind w:left="80"/>
              <w:spacing w:after="0"/>
              <w:rPr>
                <w:sz w:val="20"/>
                <w:szCs w:val="20"/>
                <w:color w:val="auto"/>
              </w:rPr>
            </w:pPr>
            <w:r>
              <w:rPr>
                <w:rFonts w:ascii="Arial" w:cs="Arial" w:eastAsia="Arial" w:hAnsi="Arial"/>
                <w:sz w:val="11"/>
                <w:szCs w:val="11"/>
                <w:color w:val="auto"/>
              </w:rPr>
              <w:t>November 2020</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102</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1,111</w:t>
            </w: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662,800</w:t>
            </w:r>
          </w:p>
        </w:tc>
        <w:tc>
          <w:tcPr>
            <w:tcW w:w="180" w:type="dxa"/>
            <w:vAlign w:val="bottom"/>
          </w:tcPr>
          <w:p>
            <w:pPr>
              <w:spacing w:after="0"/>
              <w:rPr>
                <w:sz w:val="11"/>
                <w:szCs w:val="11"/>
                <w:color w:val="auto"/>
              </w:rPr>
            </w:pPr>
          </w:p>
        </w:tc>
        <w:tc>
          <w:tcPr>
            <w:tcW w:w="900" w:type="dxa"/>
            <w:vAlign w:val="bottom"/>
          </w:tcPr>
          <w:p>
            <w:pPr>
              <w:ind w:left="100"/>
              <w:spacing w:after="0"/>
              <w:rPr>
                <w:sz w:val="20"/>
                <w:szCs w:val="20"/>
                <w:color w:val="auto"/>
              </w:rPr>
            </w:pPr>
            <w:r>
              <w:rPr>
                <w:rFonts w:ascii="Arial" w:cs="Arial" w:eastAsia="Arial" w:hAnsi="Arial"/>
                <w:sz w:val="11"/>
                <w:szCs w:val="11"/>
                <w:color w:val="auto"/>
                <w:w w:val="99"/>
              </w:rPr>
              <w:t>November 2020</w:t>
            </w:r>
          </w:p>
        </w:tc>
        <w:tc>
          <w:tcPr>
            <w:tcW w:w="1020" w:type="dxa"/>
            <w:vAlign w:val="bottom"/>
            <w:gridSpan w:val="2"/>
          </w:tcPr>
          <w:p>
            <w:pPr>
              <w:ind w:left="200"/>
              <w:spacing w:after="0"/>
              <w:rPr>
                <w:sz w:val="20"/>
                <w:szCs w:val="20"/>
                <w:color w:val="auto"/>
              </w:rPr>
            </w:pPr>
            <w:r>
              <w:rPr>
                <w:rFonts w:ascii="Arial" w:cs="Arial" w:eastAsia="Arial" w:hAnsi="Arial"/>
                <w:sz w:val="11"/>
                <w:szCs w:val="11"/>
                <w:color w:val="auto"/>
              </w:rPr>
              <w:t>Debt to banks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4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gridSpan w:val="2"/>
            <w:shd w:val="clear" w:color="auto" w:fill="CCEEFF"/>
          </w:tcPr>
          <w:p>
            <w:pPr>
              <w:ind w:left="80"/>
              <w:spacing w:after="0" w:line="109" w:lineRule="exact"/>
              <w:rPr>
                <w:sz w:val="20"/>
                <w:szCs w:val="20"/>
                <w:color w:val="auto"/>
              </w:rPr>
            </w:pPr>
            <w:r>
              <w:rPr>
                <w:rFonts w:ascii="Arial" w:cs="Arial" w:eastAsia="Arial" w:hAnsi="Arial"/>
                <w:sz w:val="11"/>
                <w:szCs w:val="11"/>
                <w:color w:val="auto"/>
              </w:rPr>
              <w:t>May 2020 / June</w:t>
            </w: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shd w:val="clear" w:color="auto" w:fill="CCEEFF"/>
          </w:tcPr>
          <w:p>
            <w:pPr>
              <w:ind w:left="100"/>
              <w:spacing w:after="0" w:line="109" w:lineRule="exact"/>
              <w:rPr>
                <w:sz w:val="20"/>
                <w:szCs w:val="20"/>
                <w:color w:val="auto"/>
              </w:rPr>
            </w:pPr>
            <w:r>
              <w:rPr>
                <w:rFonts w:ascii="Arial" w:cs="Arial" w:eastAsia="Arial" w:hAnsi="Arial"/>
                <w:sz w:val="11"/>
                <w:szCs w:val="11"/>
                <w:color w:val="auto"/>
                <w:w w:val="95"/>
              </w:rPr>
              <w:t>May 2020 / June</w:t>
            </w: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1"/>
                <w:szCs w:val="11"/>
                <w:color w:val="auto"/>
              </w:rPr>
              <w:t>Interest rate swaps (IRS)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1,460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653,030</w:t>
            </w:r>
          </w:p>
        </w:tc>
        <w:tc>
          <w:tcPr>
            <w:tcW w:w="1080" w:type="dxa"/>
            <w:vAlign w:val="bottom"/>
            <w:shd w:val="clear" w:color="auto" w:fill="CCEEFF"/>
          </w:tcPr>
          <w:p>
            <w:pPr>
              <w:ind w:left="80"/>
              <w:spacing w:after="0"/>
              <w:rPr>
                <w:sz w:val="20"/>
                <w:szCs w:val="20"/>
                <w:color w:val="auto"/>
              </w:rPr>
            </w:pPr>
            <w:r>
              <w:rPr>
                <w:rFonts w:ascii="Arial" w:cs="Arial" w:eastAsia="Arial" w:hAnsi="Arial"/>
                <w:sz w:val="11"/>
                <w:szCs w:val="11"/>
                <w:color w:val="auto"/>
              </w:rPr>
              <w:t>2020</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1,046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629,660</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2020</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Debt to banks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ind w:left="100"/>
              <w:spacing w:after="0" w:line="109" w:lineRule="exact"/>
              <w:rPr>
                <w:sz w:val="20"/>
                <w:szCs w:val="20"/>
                <w:color w:val="auto"/>
              </w:rPr>
            </w:pPr>
            <w:r>
              <w:rPr>
                <w:rFonts w:ascii="Arial" w:cs="Arial" w:eastAsia="Arial" w:hAnsi="Arial"/>
                <w:sz w:val="11"/>
                <w:szCs w:val="11"/>
                <w:color w:val="auto"/>
              </w:rPr>
              <w:t>February 2020 /</w:t>
            </w: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480" w:type="dxa"/>
            <w:vAlign w:val="bottom"/>
            <w:gridSpan w:val="2"/>
          </w:tcPr>
          <w:p>
            <w:pPr>
              <w:spacing w:after="0"/>
              <w:rPr>
                <w:sz w:val="20"/>
                <w:szCs w:val="20"/>
                <w:color w:val="auto"/>
              </w:rPr>
            </w:pPr>
            <w:r>
              <w:rPr>
                <w:rFonts w:ascii="Arial" w:cs="Arial" w:eastAsia="Arial" w:hAnsi="Arial"/>
                <w:sz w:val="11"/>
                <w:szCs w:val="11"/>
                <w:color w:val="auto"/>
              </w:rPr>
              <w:t>Interest rate swaps (IRS)</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1,281</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168,413</w:t>
            </w:r>
          </w:p>
        </w:tc>
        <w:tc>
          <w:tcPr>
            <w:tcW w:w="1280" w:type="dxa"/>
            <w:vAlign w:val="bottom"/>
            <w:gridSpan w:val="2"/>
          </w:tcPr>
          <w:p>
            <w:pPr>
              <w:ind w:left="80"/>
              <w:spacing w:after="0"/>
              <w:rPr>
                <w:sz w:val="20"/>
                <w:szCs w:val="20"/>
                <w:color w:val="auto"/>
              </w:rPr>
            </w:pPr>
            <w:r>
              <w:rPr>
                <w:rFonts w:ascii="Arial" w:cs="Arial" w:eastAsia="Arial" w:hAnsi="Arial"/>
                <w:sz w:val="11"/>
                <w:szCs w:val="11"/>
                <w:color w:val="auto"/>
              </w:rPr>
              <w:t>November 2020</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55</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714</w:t>
            </w: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984,258</w:t>
            </w:r>
          </w:p>
        </w:tc>
        <w:tc>
          <w:tcPr>
            <w:tcW w:w="180" w:type="dxa"/>
            <w:vAlign w:val="bottom"/>
          </w:tcPr>
          <w:p>
            <w:pPr>
              <w:spacing w:after="0"/>
              <w:rPr>
                <w:sz w:val="11"/>
                <w:szCs w:val="11"/>
                <w:color w:val="auto"/>
              </w:rPr>
            </w:pPr>
          </w:p>
        </w:tc>
        <w:tc>
          <w:tcPr>
            <w:tcW w:w="900" w:type="dxa"/>
            <w:vAlign w:val="bottom"/>
          </w:tcPr>
          <w:p>
            <w:pPr>
              <w:ind w:left="100"/>
              <w:spacing w:after="0"/>
              <w:rPr>
                <w:sz w:val="20"/>
                <w:szCs w:val="20"/>
                <w:color w:val="auto"/>
              </w:rPr>
            </w:pPr>
            <w:r>
              <w:rPr>
                <w:rFonts w:ascii="Arial" w:cs="Arial" w:eastAsia="Arial" w:hAnsi="Arial"/>
                <w:sz w:val="11"/>
                <w:szCs w:val="11"/>
                <w:color w:val="auto"/>
                <w:w w:val="99"/>
              </w:rPr>
              <w:t>November 2020</w:t>
            </w:r>
          </w:p>
        </w:tc>
        <w:tc>
          <w:tcPr>
            <w:tcW w:w="1020" w:type="dxa"/>
            <w:vAlign w:val="bottom"/>
            <w:gridSpan w:val="2"/>
          </w:tcPr>
          <w:p>
            <w:pPr>
              <w:ind w:left="200"/>
              <w:spacing w:after="0"/>
              <w:rPr>
                <w:sz w:val="20"/>
                <w:szCs w:val="20"/>
                <w:color w:val="auto"/>
              </w:rPr>
            </w:pPr>
            <w:r>
              <w:rPr>
                <w:rFonts w:ascii="Arial" w:cs="Arial" w:eastAsia="Arial" w:hAnsi="Arial"/>
                <w:sz w:val="11"/>
                <w:szCs w:val="11"/>
                <w:color w:val="auto"/>
              </w:rPr>
              <w:t>Debt to banks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4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gridSpan w:val="2"/>
            <w:shd w:val="clear" w:color="auto" w:fill="CCEEFF"/>
          </w:tcPr>
          <w:p>
            <w:pPr>
              <w:ind w:left="80"/>
              <w:spacing w:after="0" w:line="109" w:lineRule="exact"/>
              <w:rPr>
                <w:sz w:val="20"/>
                <w:szCs w:val="20"/>
                <w:color w:val="auto"/>
              </w:rPr>
            </w:pPr>
            <w:r>
              <w:rPr>
                <w:rFonts w:ascii="Arial" w:cs="Arial" w:eastAsia="Arial" w:hAnsi="Arial"/>
                <w:sz w:val="11"/>
                <w:szCs w:val="11"/>
                <w:color w:val="auto"/>
              </w:rPr>
              <w:t>May 2020 / August</w:t>
            </w: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shd w:val="clear" w:color="auto" w:fill="CCEEFF"/>
          </w:tcPr>
          <w:p>
            <w:pPr>
              <w:ind w:left="100"/>
              <w:spacing w:after="0" w:line="109" w:lineRule="exact"/>
              <w:rPr>
                <w:sz w:val="20"/>
                <w:szCs w:val="20"/>
                <w:color w:val="auto"/>
              </w:rPr>
            </w:pPr>
            <w:r>
              <w:rPr>
                <w:rFonts w:ascii="Arial" w:cs="Arial" w:eastAsia="Arial" w:hAnsi="Arial"/>
                <w:sz w:val="11"/>
                <w:szCs w:val="11"/>
                <w:color w:val="auto"/>
              </w:rPr>
              <w:t>May 2020 /</w:t>
            </w: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1"/>
                <w:szCs w:val="11"/>
                <w:color w:val="auto"/>
              </w:rPr>
              <w:t>Interest rate swaps (IRS)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3,093</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1,031,100</w:t>
            </w: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ind w:left="80"/>
              <w:spacing w:after="0"/>
              <w:rPr>
                <w:sz w:val="20"/>
                <w:szCs w:val="20"/>
                <w:color w:val="auto"/>
              </w:rPr>
            </w:pPr>
            <w:r>
              <w:rPr>
                <w:rFonts w:ascii="Arial" w:cs="Arial" w:eastAsia="Arial" w:hAnsi="Arial"/>
                <w:sz w:val="11"/>
                <w:szCs w:val="11"/>
                <w:color w:val="auto"/>
              </w:rPr>
              <w:t>2020</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315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839</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994,200</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August 2020</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Debt to banks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tcPr>
          <w:p>
            <w:pPr>
              <w:spacing w:after="0" w:line="123" w:lineRule="exact"/>
              <w:rPr>
                <w:sz w:val="20"/>
                <w:szCs w:val="20"/>
                <w:color w:val="auto"/>
              </w:rPr>
            </w:pPr>
            <w:r>
              <w:rPr>
                <w:rFonts w:ascii="Arial" w:cs="Arial" w:eastAsia="Arial" w:hAnsi="Arial"/>
                <w:sz w:val="11"/>
                <w:szCs w:val="11"/>
                <w:color w:val="auto"/>
              </w:rPr>
              <w:t>Interest rate swaps (IRS)</w:t>
            </w: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1,380</w:t>
            </w:r>
          </w:p>
        </w:tc>
        <w:tc>
          <w:tcPr>
            <w:tcW w:w="82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343,700</w:t>
            </w:r>
          </w:p>
        </w:tc>
        <w:tc>
          <w:tcPr>
            <w:tcW w:w="1280" w:type="dxa"/>
            <w:vAlign w:val="bottom"/>
            <w:gridSpan w:val="2"/>
          </w:tcPr>
          <w:p>
            <w:pPr>
              <w:ind w:left="80"/>
              <w:spacing w:after="0" w:line="123" w:lineRule="exact"/>
              <w:rPr>
                <w:sz w:val="20"/>
                <w:szCs w:val="20"/>
                <w:color w:val="auto"/>
              </w:rPr>
            </w:pPr>
            <w:r>
              <w:rPr>
                <w:rFonts w:ascii="Arial" w:cs="Arial" w:eastAsia="Arial" w:hAnsi="Arial"/>
                <w:sz w:val="11"/>
                <w:szCs w:val="11"/>
                <w:color w:val="auto"/>
              </w:rPr>
              <w:t>August 2020</w:t>
            </w: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114</w:t>
            </w: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331,400</w:t>
            </w:r>
          </w:p>
        </w:tc>
        <w:tc>
          <w:tcPr>
            <w:tcW w:w="180" w:type="dxa"/>
            <w:vAlign w:val="bottom"/>
          </w:tcPr>
          <w:p>
            <w:pPr>
              <w:spacing w:after="0"/>
              <w:rPr>
                <w:sz w:val="10"/>
                <w:szCs w:val="10"/>
                <w:color w:val="auto"/>
              </w:rPr>
            </w:pPr>
          </w:p>
        </w:tc>
        <w:tc>
          <w:tcPr>
            <w:tcW w:w="900" w:type="dxa"/>
            <w:vAlign w:val="bottom"/>
          </w:tcPr>
          <w:p>
            <w:pPr>
              <w:ind w:left="100"/>
              <w:spacing w:after="0" w:line="123" w:lineRule="exact"/>
              <w:rPr>
                <w:sz w:val="20"/>
                <w:szCs w:val="20"/>
                <w:color w:val="auto"/>
              </w:rPr>
            </w:pPr>
            <w:r>
              <w:rPr>
                <w:rFonts w:ascii="Arial" w:cs="Arial" w:eastAsia="Arial" w:hAnsi="Arial"/>
                <w:sz w:val="11"/>
                <w:szCs w:val="11"/>
                <w:color w:val="auto"/>
              </w:rPr>
              <w:t>August 2020</w:t>
            </w:r>
          </w:p>
        </w:tc>
        <w:tc>
          <w:tcPr>
            <w:tcW w:w="1020" w:type="dxa"/>
            <w:vAlign w:val="bottom"/>
            <w:gridSpan w:val="2"/>
          </w:tcPr>
          <w:p>
            <w:pPr>
              <w:ind w:left="200"/>
              <w:spacing w:after="0" w:line="123" w:lineRule="exact"/>
              <w:rPr>
                <w:sz w:val="20"/>
                <w:szCs w:val="20"/>
                <w:color w:val="auto"/>
              </w:rPr>
            </w:pPr>
            <w:r>
              <w:rPr>
                <w:rFonts w:ascii="Arial" w:cs="Arial" w:eastAsia="Arial" w:hAnsi="Arial"/>
                <w:sz w:val="11"/>
                <w:szCs w:val="11"/>
                <w:color w:val="auto"/>
              </w:rPr>
              <w:t>Debt to banks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Interest rate swaps (IRS)</w:t>
            </w:r>
          </w:p>
        </w:tc>
        <w:tc>
          <w:tcPr>
            <w:tcW w:w="76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1,087</w:t>
            </w:r>
          </w:p>
        </w:tc>
        <w:tc>
          <w:tcPr>
            <w:tcW w:w="82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343,700</w:t>
            </w:r>
          </w:p>
        </w:tc>
        <w:tc>
          <w:tcPr>
            <w:tcW w:w="128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1"/>
                <w:szCs w:val="11"/>
                <w:color w:val="auto"/>
              </w:rPr>
              <w:t>June 2020</w:t>
            </w:r>
          </w:p>
        </w:tc>
        <w:tc>
          <w:tcPr>
            <w:tcW w:w="76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447</w:t>
            </w:r>
          </w:p>
        </w:tc>
        <w:tc>
          <w:tcPr>
            <w:tcW w:w="64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331,400</w:t>
            </w: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June 2020</w:t>
            </w:r>
          </w:p>
        </w:tc>
        <w:tc>
          <w:tcPr>
            <w:tcW w:w="1020" w:type="dxa"/>
            <w:vAlign w:val="bottom"/>
            <w:gridSpan w:val="2"/>
            <w:shd w:val="clear" w:color="auto" w:fill="CCEEFF"/>
          </w:tcPr>
          <w:p>
            <w:pPr>
              <w:ind w:left="200"/>
              <w:spacing w:after="0" w:line="123" w:lineRule="exact"/>
              <w:rPr>
                <w:sz w:val="20"/>
                <w:szCs w:val="20"/>
                <w:color w:val="auto"/>
              </w:rPr>
            </w:pPr>
            <w:r>
              <w:rPr>
                <w:rFonts w:ascii="Arial" w:cs="Arial" w:eastAsia="Arial" w:hAnsi="Arial"/>
                <w:sz w:val="11"/>
                <w:szCs w:val="11"/>
                <w:color w:val="auto"/>
              </w:rPr>
              <w:t>Debt to banks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tcPr>
          <w:p>
            <w:pPr>
              <w:spacing w:after="0" w:line="123" w:lineRule="exact"/>
              <w:rPr>
                <w:sz w:val="20"/>
                <w:szCs w:val="20"/>
                <w:color w:val="auto"/>
              </w:rPr>
            </w:pPr>
            <w:r>
              <w:rPr>
                <w:rFonts w:ascii="Arial" w:cs="Arial" w:eastAsia="Arial" w:hAnsi="Arial"/>
                <w:sz w:val="11"/>
                <w:szCs w:val="11"/>
                <w:color w:val="auto"/>
              </w:rPr>
              <w:t>Interest rate swaps (IRS)</w:t>
            </w: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4,686</w:t>
            </w:r>
          </w:p>
        </w:tc>
        <w:tc>
          <w:tcPr>
            <w:tcW w:w="82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240,590</w:t>
            </w:r>
          </w:p>
        </w:tc>
        <w:tc>
          <w:tcPr>
            <w:tcW w:w="1280" w:type="dxa"/>
            <w:vAlign w:val="bottom"/>
            <w:gridSpan w:val="2"/>
          </w:tcPr>
          <w:p>
            <w:pPr>
              <w:ind w:left="80"/>
              <w:spacing w:after="0" w:line="123" w:lineRule="exact"/>
              <w:rPr>
                <w:sz w:val="20"/>
                <w:szCs w:val="20"/>
                <w:color w:val="auto"/>
              </w:rPr>
            </w:pPr>
            <w:r>
              <w:rPr>
                <w:rFonts w:ascii="Arial" w:cs="Arial" w:eastAsia="Arial" w:hAnsi="Arial"/>
                <w:sz w:val="11"/>
                <w:szCs w:val="11"/>
                <w:color w:val="auto"/>
              </w:rPr>
              <w:t>March 2021</w:t>
            </w: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2,555</w:t>
            </w:r>
          </w:p>
        </w:tc>
        <w:tc>
          <w:tcPr>
            <w:tcW w:w="64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231,980</w:t>
            </w:r>
          </w:p>
        </w:tc>
        <w:tc>
          <w:tcPr>
            <w:tcW w:w="180" w:type="dxa"/>
            <w:vAlign w:val="bottom"/>
          </w:tcPr>
          <w:p>
            <w:pPr>
              <w:spacing w:after="0"/>
              <w:rPr>
                <w:sz w:val="10"/>
                <w:szCs w:val="10"/>
                <w:color w:val="auto"/>
              </w:rPr>
            </w:pPr>
          </w:p>
        </w:tc>
        <w:tc>
          <w:tcPr>
            <w:tcW w:w="900" w:type="dxa"/>
            <w:vAlign w:val="bottom"/>
          </w:tcPr>
          <w:p>
            <w:pPr>
              <w:ind w:left="100"/>
              <w:spacing w:after="0" w:line="123" w:lineRule="exact"/>
              <w:rPr>
                <w:sz w:val="20"/>
                <w:szCs w:val="20"/>
                <w:color w:val="auto"/>
              </w:rPr>
            </w:pPr>
            <w:r>
              <w:rPr>
                <w:rFonts w:ascii="Arial" w:cs="Arial" w:eastAsia="Arial" w:hAnsi="Arial"/>
                <w:sz w:val="11"/>
                <w:szCs w:val="11"/>
                <w:color w:val="auto"/>
              </w:rPr>
              <w:t>March 2021</w:t>
            </w:r>
          </w:p>
        </w:tc>
        <w:tc>
          <w:tcPr>
            <w:tcW w:w="1020" w:type="dxa"/>
            <w:vAlign w:val="bottom"/>
            <w:gridSpan w:val="2"/>
          </w:tcPr>
          <w:p>
            <w:pPr>
              <w:ind w:left="200"/>
              <w:spacing w:after="0" w:line="123" w:lineRule="exact"/>
              <w:rPr>
                <w:sz w:val="20"/>
                <w:szCs w:val="20"/>
                <w:color w:val="auto"/>
              </w:rPr>
            </w:pPr>
            <w:r>
              <w:rPr>
                <w:rFonts w:ascii="Arial" w:cs="Arial" w:eastAsia="Arial" w:hAnsi="Arial"/>
                <w:sz w:val="11"/>
                <w:szCs w:val="11"/>
                <w:color w:val="auto"/>
              </w:rPr>
              <w:t>Bonds issued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Interest rate swaps (IRS)</w:t>
            </w:r>
          </w:p>
        </w:tc>
        <w:tc>
          <w:tcPr>
            <w:tcW w:w="76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2,216</w:t>
            </w:r>
          </w:p>
        </w:tc>
        <w:tc>
          <w:tcPr>
            <w:tcW w:w="82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103,110</w:t>
            </w:r>
          </w:p>
        </w:tc>
        <w:tc>
          <w:tcPr>
            <w:tcW w:w="128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1"/>
                <w:szCs w:val="11"/>
                <w:color w:val="auto"/>
              </w:rPr>
              <w:t>March 2022</w:t>
            </w:r>
          </w:p>
        </w:tc>
        <w:tc>
          <w:tcPr>
            <w:tcW w:w="76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ind w:left="200"/>
              <w:spacing w:after="0" w:line="123" w:lineRule="exact"/>
              <w:rPr>
                <w:sz w:val="20"/>
                <w:szCs w:val="20"/>
                <w:color w:val="auto"/>
              </w:rPr>
            </w:pPr>
            <w:r>
              <w:rPr>
                <w:rFonts w:ascii="Arial" w:cs="Arial" w:eastAsia="Arial" w:hAnsi="Arial"/>
                <w:sz w:val="11"/>
                <w:szCs w:val="11"/>
                <w:color w:val="auto"/>
              </w:rPr>
              <w:t>Bonds issued</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2"/>
          </w:tcPr>
          <w:p>
            <w:pPr>
              <w:ind w:left="80"/>
              <w:spacing w:after="0" w:line="109" w:lineRule="exact"/>
              <w:rPr>
                <w:sz w:val="20"/>
                <w:szCs w:val="20"/>
                <w:color w:val="auto"/>
              </w:rPr>
            </w:pPr>
            <w:r>
              <w:rPr>
                <w:rFonts w:ascii="Arial" w:cs="Arial" w:eastAsia="Arial" w:hAnsi="Arial"/>
                <w:sz w:val="11"/>
                <w:szCs w:val="11"/>
                <w:color w:val="auto"/>
              </w:rPr>
              <w:t>October 2020 /</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ind w:left="100"/>
              <w:spacing w:after="0" w:line="109" w:lineRule="exact"/>
              <w:rPr>
                <w:sz w:val="20"/>
                <w:szCs w:val="20"/>
                <w:color w:val="auto"/>
              </w:rPr>
            </w:pPr>
            <w:r>
              <w:rPr>
                <w:rFonts w:ascii="Arial" w:cs="Arial" w:eastAsia="Arial" w:hAnsi="Arial"/>
                <w:sz w:val="11"/>
                <w:szCs w:val="11"/>
                <w:color w:val="auto"/>
              </w:rPr>
              <w:t>May 2021 /</w:t>
            </w: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480" w:type="dxa"/>
            <w:vAlign w:val="bottom"/>
            <w:gridSpan w:val="2"/>
          </w:tcPr>
          <w:p>
            <w:pPr>
              <w:spacing w:after="0"/>
              <w:rPr>
                <w:sz w:val="20"/>
                <w:szCs w:val="20"/>
                <w:color w:val="auto"/>
              </w:rPr>
            </w:pPr>
            <w:r>
              <w:rPr>
                <w:rFonts w:ascii="Arial" w:cs="Arial" w:eastAsia="Arial" w:hAnsi="Arial"/>
                <w:sz w:val="11"/>
                <w:szCs w:val="11"/>
                <w:color w:val="auto"/>
              </w:rPr>
              <w:t>Cross currency swaps (CCS)</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33,453</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9,748</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467,467</w:t>
            </w:r>
          </w:p>
        </w:tc>
        <w:tc>
          <w:tcPr>
            <w:tcW w:w="1280" w:type="dxa"/>
            <w:vAlign w:val="bottom"/>
            <w:gridSpan w:val="2"/>
          </w:tcPr>
          <w:p>
            <w:pPr>
              <w:ind w:left="80"/>
              <w:spacing w:after="0"/>
              <w:rPr>
                <w:sz w:val="20"/>
                <w:szCs w:val="20"/>
                <w:color w:val="auto"/>
              </w:rPr>
            </w:pPr>
            <w:r>
              <w:rPr>
                <w:rFonts w:ascii="Arial" w:cs="Arial" w:eastAsia="Arial" w:hAnsi="Arial"/>
                <w:sz w:val="11"/>
                <w:szCs w:val="11"/>
                <w:color w:val="auto"/>
              </w:rPr>
              <w:t>September 2024</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20,803</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1,167</w:t>
            </w: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107,425</w:t>
            </w:r>
          </w:p>
        </w:tc>
        <w:tc>
          <w:tcPr>
            <w:tcW w:w="180" w:type="dxa"/>
            <w:vAlign w:val="bottom"/>
          </w:tcPr>
          <w:p>
            <w:pPr>
              <w:spacing w:after="0"/>
              <w:rPr>
                <w:sz w:val="11"/>
                <w:szCs w:val="11"/>
                <w:color w:val="auto"/>
              </w:rPr>
            </w:pPr>
          </w:p>
        </w:tc>
        <w:tc>
          <w:tcPr>
            <w:tcW w:w="900" w:type="dxa"/>
            <w:vAlign w:val="bottom"/>
          </w:tcPr>
          <w:p>
            <w:pPr>
              <w:ind w:left="100"/>
              <w:spacing w:after="0"/>
              <w:rPr>
                <w:sz w:val="20"/>
                <w:szCs w:val="20"/>
                <w:color w:val="auto"/>
              </w:rPr>
            </w:pPr>
            <w:r>
              <w:rPr>
                <w:rFonts w:ascii="Arial" w:cs="Arial" w:eastAsia="Arial" w:hAnsi="Arial"/>
                <w:sz w:val="11"/>
                <w:szCs w:val="11"/>
                <w:color w:val="auto"/>
                <w:w w:val="95"/>
              </w:rPr>
              <w:t>September 2024</w:t>
            </w:r>
          </w:p>
        </w:tc>
        <w:tc>
          <w:tcPr>
            <w:tcW w:w="1020" w:type="dxa"/>
            <w:vAlign w:val="bottom"/>
            <w:gridSpan w:val="2"/>
          </w:tcPr>
          <w:p>
            <w:pPr>
              <w:ind w:left="200"/>
              <w:spacing w:after="0"/>
              <w:rPr>
                <w:sz w:val="20"/>
                <w:szCs w:val="20"/>
                <w:color w:val="auto"/>
              </w:rPr>
            </w:pPr>
            <w:r>
              <w:rPr>
                <w:rFonts w:ascii="Arial" w:cs="Arial" w:eastAsia="Arial" w:hAnsi="Arial"/>
                <w:sz w:val="11"/>
                <w:szCs w:val="11"/>
                <w:color w:val="auto"/>
              </w:rPr>
              <w:t>Investments (*)</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4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20" w:type="dxa"/>
            <w:vAlign w:val="bottom"/>
            <w:gridSpan w:val="2"/>
            <w:shd w:val="clear" w:color="auto" w:fill="CCEEFF"/>
          </w:tcPr>
          <w:p>
            <w:pPr>
              <w:ind w:left="200"/>
              <w:spacing w:after="0" w:line="109" w:lineRule="exact"/>
              <w:rPr>
                <w:sz w:val="20"/>
                <w:szCs w:val="20"/>
                <w:color w:val="auto"/>
              </w:rPr>
            </w:pPr>
            <w:r>
              <w:rPr>
                <w:rFonts w:ascii="Arial" w:cs="Arial" w:eastAsia="Arial" w:hAnsi="Arial"/>
                <w:sz w:val="11"/>
                <w:szCs w:val="11"/>
                <w:color w:val="auto"/>
              </w:rPr>
              <w:t>Repurchase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1"/>
                <w:szCs w:val="11"/>
                <w:color w:val="auto"/>
              </w:rPr>
              <w:t>Cross currency swaps (CCS)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40,274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240,590</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August 2020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30,741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231,980</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August 2020</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agreements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gridSpan w:val="2"/>
          </w:tcPr>
          <w:p>
            <w:pPr>
              <w:ind w:left="200"/>
              <w:spacing w:after="0" w:line="109" w:lineRule="exact"/>
              <w:rPr>
                <w:sz w:val="20"/>
                <w:szCs w:val="20"/>
                <w:color w:val="auto"/>
              </w:rPr>
            </w:pPr>
            <w:r>
              <w:rPr>
                <w:rFonts w:ascii="Arial" w:cs="Arial" w:eastAsia="Arial" w:hAnsi="Arial"/>
                <w:sz w:val="11"/>
                <w:szCs w:val="11"/>
                <w:color w:val="auto"/>
              </w:rPr>
              <w:t>Repurchase</w:t>
            </w:r>
          </w:p>
        </w:tc>
        <w:tc>
          <w:tcPr>
            <w:tcW w:w="0" w:type="dxa"/>
            <w:vAlign w:val="bottom"/>
          </w:tcPr>
          <w:p>
            <w:pPr>
              <w:spacing w:after="0"/>
              <w:rPr>
                <w:sz w:val="1"/>
                <w:szCs w:val="1"/>
                <w:color w:val="auto"/>
              </w:rPr>
            </w:pPr>
          </w:p>
        </w:tc>
      </w:tr>
      <w:tr>
        <w:trPr>
          <w:trHeight w:val="137"/>
        </w:trPr>
        <w:tc>
          <w:tcPr>
            <w:tcW w:w="2480" w:type="dxa"/>
            <w:vAlign w:val="bottom"/>
            <w:gridSpan w:val="2"/>
          </w:tcPr>
          <w:p>
            <w:pPr>
              <w:spacing w:after="0"/>
              <w:rPr>
                <w:sz w:val="20"/>
                <w:szCs w:val="20"/>
                <w:color w:val="auto"/>
              </w:rPr>
            </w:pPr>
            <w:r>
              <w:rPr>
                <w:rFonts w:ascii="Arial" w:cs="Arial" w:eastAsia="Arial" w:hAnsi="Arial"/>
                <w:sz w:val="11"/>
                <w:szCs w:val="11"/>
                <w:color w:val="auto"/>
              </w:rPr>
              <w:t>Cross currency swaps (CCS)</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28,599</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154,665</w:t>
            </w:r>
          </w:p>
        </w:tc>
        <w:tc>
          <w:tcPr>
            <w:tcW w:w="1280" w:type="dxa"/>
            <w:vAlign w:val="bottom"/>
            <w:gridSpan w:val="2"/>
          </w:tcPr>
          <w:p>
            <w:pPr>
              <w:ind w:left="80"/>
              <w:spacing w:after="0"/>
              <w:rPr>
                <w:sz w:val="20"/>
                <w:szCs w:val="20"/>
                <w:color w:val="auto"/>
              </w:rPr>
            </w:pPr>
            <w:r>
              <w:rPr>
                <w:rFonts w:ascii="Arial" w:cs="Arial" w:eastAsia="Arial" w:hAnsi="Arial"/>
                <w:sz w:val="11"/>
                <w:szCs w:val="11"/>
                <w:color w:val="auto"/>
              </w:rPr>
              <w:t>August 2026</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30,352</w:t>
            </w: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149,130</w:t>
            </w:r>
          </w:p>
        </w:tc>
        <w:tc>
          <w:tcPr>
            <w:tcW w:w="180" w:type="dxa"/>
            <w:vAlign w:val="bottom"/>
          </w:tcPr>
          <w:p>
            <w:pPr>
              <w:spacing w:after="0"/>
              <w:rPr>
                <w:sz w:val="11"/>
                <w:szCs w:val="11"/>
                <w:color w:val="auto"/>
              </w:rPr>
            </w:pPr>
          </w:p>
        </w:tc>
        <w:tc>
          <w:tcPr>
            <w:tcW w:w="900" w:type="dxa"/>
            <w:vAlign w:val="bottom"/>
          </w:tcPr>
          <w:p>
            <w:pPr>
              <w:ind w:left="100"/>
              <w:spacing w:after="0"/>
              <w:rPr>
                <w:sz w:val="20"/>
                <w:szCs w:val="20"/>
                <w:color w:val="auto"/>
              </w:rPr>
            </w:pPr>
            <w:r>
              <w:rPr>
                <w:rFonts w:ascii="Arial" w:cs="Arial" w:eastAsia="Arial" w:hAnsi="Arial"/>
                <w:sz w:val="11"/>
                <w:szCs w:val="11"/>
                <w:color w:val="auto"/>
              </w:rPr>
              <w:t>August 2026</w:t>
            </w:r>
          </w:p>
        </w:tc>
        <w:tc>
          <w:tcPr>
            <w:tcW w:w="1020" w:type="dxa"/>
            <w:vAlign w:val="bottom"/>
            <w:gridSpan w:val="2"/>
          </w:tcPr>
          <w:p>
            <w:pPr>
              <w:ind w:left="200"/>
              <w:spacing w:after="0"/>
              <w:rPr>
                <w:sz w:val="20"/>
                <w:szCs w:val="20"/>
                <w:color w:val="auto"/>
              </w:rPr>
            </w:pPr>
            <w:r>
              <w:rPr>
                <w:rFonts w:ascii="Arial" w:cs="Arial" w:eastAsia="Arial" w:hAnsi="Arial"/>
                <w:sz w:val="11"/>
                <w:szCs w:val="11"/>
                <w:color w:val="auto"/>
              </w:rPr>
              <w:t>agreements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4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20" w:type="dxa"/>
            <w:vAlign w:val="bottom"/>
            <w:gridSpan w:val="2"/>
            <w:shd w:val="clear" w:color="auto" w:fill="CCEEFF"/>
          </w:tcPr>
          <w:p>
            <w:pPr>
              <w:ind w:left="200"/>
              <w:spacing w:after="0" w:line="109" w:lineRule="exact"/>
              <w:rPr>
                <w:sz w:val="20"/>
                <w:szCs w:val="20"/>
                <w:color w:val="auto"/>
              </w:rPr>
            </w:pPr>
            <w:r>
              <w:rPr>
                <w:rFonts w:ascii="Arial" w:cs="Arial" w:eastAsia="Arial" w:hAnsi="Arial"/>
                <w:sz w:val="11"/>
                <w:szCs w:val="11"/>
                <w:color w:val="auto"/>
              </w:rPr>
              <w:t>Repurchase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1"/>
                <w:szCs w:val="11"/>
                <w:color w:val="auto"/>
              </w:rPr>
              <w:t>Cross currency swaps (CCS)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11,449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85,925</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August 2026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12,236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82,850</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August 2026</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agreements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tcPr>
          <w:p>
            <w:pPr>
              <w:spacing w:after="0" w:line="123" w:lineRule="exact"/>
              <w:rPr>
                <w:sz w:val="20"/>
                <w:szCs w:val="20"/>
                <w:color w:val="auto"/>
              </w:rPr>
            </w:pPr>
            <w:r>
              <w:rPr>
                <w:rFonts w:ascii="Arial" w:cs="Arial" w:eastAsia="Arial" w:hAnsi="Arial"/>
                <w:sz w:val="11"/>
                <w:szCs w:val="11"/>
                <w:color w:val="auto"/>
              </w:rPr>
              <w:t>Cross currency swaps (CCS)</w:t>
            </w: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w:t>
            </w:r>
          </w:p>
        </w:tc>
        <w:tc>
          <w:tcPr>
            <w:tcW w:w="1080" w:type="dxa"/>
            <w:vAlign w:val="bottom"/>
          </w:tcPr>
          <w:p>
            <w:pPr>
              <w:ind w:left="80"/>
              <w:spacing w:after="0" w:line="123"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7,624</w:t>
            </w: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331,400</w:t>
            </w:r>
          </w:p>
        </w:tc>
        <w:tc>
          <w:tcPr>
            <w:tcW w:w="180" w:type="dxa"/>
            <w:vAlign w:val="bottom"/>
          </w:tcPr>
          <w:p>
            <w:pPr>
              <w:spacing w:after="0"/>
              <w:rPr>
                <w:sz w:val="10"/>
                <w:szCs w:val="10"/>
                <w:color w:val="auto"/>
              </w:rPr>
            </w:pPr>
          </w:p>
        </w:tc>
        <w:tc>
          <w:tcPr>
            <w:tcW w:w="900" w:type="dxa"/>
            <w:vAlign w:val="bottom"/>
          </w:tcPr>
          <w:p>
            <w:pPr>
              <w:ind w:left="100"/>
              <w:spacing w:after="0" w:line="123" w:lineRule="exact"/>
              <w:rPr>
                <w:sz w:val="20"/>
                <w:szCs w:val="20"/>
                <w:color w:val="auto"/>
              </w:rPr>
            </w:pPr>
            <w:r>
              <w:rPr>
                <w:rFonts w:ascii="Arial" w:cs="Arial" w:eastAsia="Arial" w:hAnsi="Arial"/>
                <w:sz w:val="11"/>
                <w:szCs w:val="11"/>
                <w:color w:val="auto"/>
              </w:rPr>
              <w:t>January 2020</w:t>
            </w:r>
          </w:p>
        </w:tc>
        <w:tc>
          <w:tcPr>
            <w:tcW w:w="1020" w:type="dxa"/>
            <w:vAlign w:val="bottom"/>
            <w:gridSpan w:val="2"/>
          </w:tcPr>
          <w:p>
            <w:pPr>
              <w:ind w:left="200"/>
              <w:spacing w:after="0" w:line="123" w:lineRule="exact"/>
              <w:rPr>
                <w:sz w:val="20"/>
                <w:szCs w:val="20"/>
                <w:color w:val="auto"/>
              </w:rPr>
            </w:pPr>
            <w:r>
              <w:rPr>
                <w:rFonts w:ascii="Arial" w:cs="Arial" w:eastAsia="Arial" w:hAnsi="Arial"/>
                <w:sz w:val="11"/>
                <w:szCs w:val="11"/>
                <w:color w:val="auto"/>
              </w:rPr>
              <w:t>Debt to banks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Cross currency swaps (CCS)</w:t>
            </w:r>
          </w:p>
        </w:tc>
        <w:tc>
          <w:tcPr>
            <w:tcW w:w="5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1,749</w:t>
            </w:r>
          </w:p>
        </w:tc>
        <w:tc>
          <w:tcPr>
            <w:tcW w:w="2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171,850</w:t>
            </w:r>
          </w:p>
        </w:tc>
        <w:tc>
          <w:tcPr>
            <w:tcW w:w="128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1"/>
                <w:szCs w:val="11"/>
                <w:color w:val="auto"/>
              </w:rPr>
              <w:t>January 2025</w:t>
            </w:r>
          </w:p>
        </w:tc>
        <w:tc>
          <w:tcPr>
            <w:tcW w:w="76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8,197</w:t>
            </w:r>
          </w:p>
        </w:tc>
        <w:tc>
          <w:tcPr>
            <w:tcW w:w="64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165,700</w:t>
            </w: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January 2025</w:t>
            </w:r>
          </w:p>
        </w:tc>
        <w:tc>
          <w:tcPr>
            <w:tcW w:w="1020" w:type="dxa"/>
            <w:vAlign w:val="bottom"/>
            <w:gridSpan w:val="2"/>
            <w:shd w:val="clear" w:color="auto" w:fill="CCEEFF"/>
          </w:tcPr>
          <w:p>
            <w:pPr>
              <w:ind w:left="200"/>
              <w:spacing w:after="0" w:line="123" w:lineRule="exact"/>
              <w:rPr>
                <w:sz w:val="20"/>
                <w:szCs w:val="20"/>
                <w:color w:val="auto"/>
              </w:rPr>
            </w:pPr>
            <w:r>
              <w:rPr>
                <w:rFonts w:ascii="Arial" w:cs="Arial" w:eastAsia="Arial" w:hAnsi="Arial"/>
                <w:sz w:val="11"/>
                <w:szCs w:val="11"/>
                <w:color w:val="auto"/>
              </w:rPr>
              <w:t>Bonds issued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tcPr>
          <w:p>
            <w:pPr>
              <w:spacing w:after="0" w:line="123" w:lineRule="exact"/>
              <w:rPr>
                <w:sz w:val="20"/>
                <w:szCs w:val="20"/>
                <w:color w:val="auto"/>
              </w:rPr>
            </w:pPr>
            <w:r>
              <w:rPr>
                <w:rFonts w:ascii="Arial" w:cs="Arial" w:eastAsia="Arial" w:hAnsi="Arial"/>
                <w:sz w:val="11"/>
                <w:szCs w:val="11"/>
                <w:color w:val="auto"/>
              </w:rPr>
              <w:t>Cross currency swaps (CCS)</w:t>
            </w: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2,152</w:t>
            </w:r>
          </w:p>
        </w:tc>
        <w:tc>
          <w:tcPr>
            <w:tcW w:w="82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159,630</w:t>
            </w:r>
          </w:p>
        </w:tc>
        <w:tc>
          <w:tcPr>
            <w:tcW w:w="1280" w:type="dxa"/>
            <w:vAlign w:val="bottom"/>
            <w:gridSpan w:val="2"/>
          </w:tcPr>
          <w:p>
            <w:pPr>
              <w:ind w:left="80"/>
              <w:spacing w:after="0" w:line="123" w:lineRule="exact"/>
              <w:rPr>
                <w:sz w:val="20"/>
                <w:szCs w:val="20"/>
                <w:color w:val="auto"/>
              </w:rPr>
            </w:pPr>
            <w:r>
              <w:rPr>
                <w:rFonts w:ascii="Arial" w:cs="Arial" w:eastAsia="Arial" w:hAnsi="Arial"/>
                <w:sz w:val="11"/>
                <w:szCs w:val="11"/>
                <w:color w:val="auto"/>
              </w:rPr>
              <w:t>August 2021</w:t>
            </w: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1"/>
                <w:szCs w:val="11"/>
                <w:color w:val="auto"/>
              </w:rPr>
              <w:t>2,823</w:t>
            </w:r>
          </w:p>
        </w:tc>
        <w:tc>
          <w:tcPr>
            <w:tcW w:w="64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152,545</w:t>
            </w:r>
          </w:p>
        </w:tc>
        <w:tc>
          <w:tcPr>
            <w:tcW w:w="180" w:type="dxa"/>
            <w:vAlign w:val="bottom"/>
          </w:tcPr>
          <w:p>
            <w:pPr>
              <w:spacing w:after="0"/>
              <w:rPr>
                <w:sz w:val="10"/>
                <w:szCs w:val="10"/>
                <w:color w:val="auto"/>
              </w:rPr>
            </w:pPr>
          </w:p>
        </w:tc>
        <w:tc>
          <w:tcPr>
            <w:tcW w:w="900" w:type="dxa"/>
            <w:vAlign w:val="bottom"/>
          </w:tcPr>
          <w:p>
            <w:pPr>
              <w:ind w:left="100"/>
              <w:spacing w:after="0" w:line="123" w:lineRule="exact"/>
              <w:rPr>
                <w:sz w:val="20"/>
                <w:szCs w:val="20"/>
                <w:color w:val="auto"/>
              </w:rPr>
            </w:pPr>
            <w:r>
              <w:rPr>
                <w:rFonts w:ascii="Arial" w:cs="Arial" w:eastAsia="Arial" w:hAnsi="Arial"/>
                <w:sz w:val="11"/>
                <w:szCs w:val="11"/>
                <w:color w:val="auto"/>
              </w:rPr>
              <w:t>August 2021</w:t>
            </w:r>
          </w:p>
        </w:tc>
        <w:tc>
          <w:tcPr>
            <w:tcW w:w="1020" w:type="dxa"/>
            <w:vAlign w:val="bottom"/>
            <w:gridSpan w:val="2"/>
          </w:tcPr>
          <w:p>
            <w:pPr>
              <w:ind w:left="200"/>
              <w:spacing w:after="0" w:line="123" w:lineRule="exact"/>
              <w:rPr>
                <w:sz w:val="20"/>
                <w:szCs w:val="20"/>
                <w:color w:val="auto"/>
              </w:rPr>
            </w:pPr>
            <w:r>
              <w:rPr>
                <w:rFonts w:ascii="Arial" w:cs="Arial" w:eastAsia="Arial" w:hAnsi="Arial"/>
                <w:sz w:val="11"/>
                <w:szCs w:val="11"/>
                <w:color w:val="auto"/>
              </w:rPr>
              <w:t>Bonds issued</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46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Cross currency swaps (CCS) and</w:t>
            </w: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20" w:type="dxa"/>
            <w:vAlign w:val="bottom"/>
            <w:gridSpan w:val="2"/>
            <w:shd w:val="clear" w:color="auto" w:fill="CCEEFF"/>
          </w:tcPr>
          <w:p>
            <w:pPr>
              <w:ind w:left="200"/>
              <w:spacing w:after="0" w:line="109" w:lineRule="exact"/>
              <w:rPr>
                <w:sz w:val="20"/>
                <w:szCs w:val="20"/>
                <w:color w:val="auto"/>
              </w:rPr>
            </w:pPr>
            <w:r>
              <w:rPr>
                <w:rFonts w:ascii="Arial" w:cs="Arial" w:eastAsia="Arial" w:hAnsi="Arial"/>
                <w:sz w:val="11"/>
                <w:szCs w:val="11"/>
                <w:color w:val="auto"/>
              </w:rPr>
              <w:t>Repurchase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1"/>
                <w:szCs w:val="11"/>
                <w:color w:val="auto"/>
              </w:rPr>
              <w:t>Interest rate swaps (IRS)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49,513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101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274,960</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August 2020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39,417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265,120</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August 2020</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agreements</w:t>
            </w: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2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246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Fair value hedges -</w:t>
            </w: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480" w:type="dxa"/>
            <w:vAlign w:val="bottom"/>
            <w:gridSpan w:val="2"/>
            <w:vMerge w:val="restart"/>
          </w:tcPr>
          <w:p>
            <w:pPr>
              <w:spacing w:after="0"/>
              <w:rPr>
                <w:sz w:val="20"/>
                <w:szCs w:val="20"/>
                <w:color w:val="auto"/>
              </w:rPr>
            </w:pPr>
            <w:r>
              <w:rPr>
                <w:rFonts w:ascii="Arial" w:cs="Arial" w:eastAsia="Arial" w:hAnsi="Arial"/>
                <w:sz w:val="11"/>
                <w:szCs w:val="11"/>
                <w:color w:val="auto"/>
              </w:rPr>
              <w:t>Interest rate swaps (IRS)</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2"/>
          </w:tcPr>
          <w:p>
            <w:pPr>
              <w:ind w:left="80"/>
              <w:spacing w:after="0" w:line="109" w:lineRule="exact"/>
              <w:rPr>
                <w:sz w:val="20"/>
                <w:szCs w:val="20"/>
                <w:color w:val="auto"/>
              </w:rPr>
            </w:pPr>
            <w:r>
              <w:rPr>
                <w:rFonts w:ascii="Arial" w:cs="Arial" w:eastAsia="Arial" w:hAnsi="Arial"/>
                <w:sz w:val="11"/>
                <w:szCs w:val="11"/>
                <w:color w:val="auto"/>
              </w:rPr>
              <w:t>March 2022 / May</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ind w:left="100"/>
              <w:spacing w:after="0" w:line="109" w:lineRule="exact"/>
              <w:rPr>
                <w:sz w:val="20"/>
                <w:szCs w:val="20"/>
                <w:color w:val="auto"/>
              </w:rPr>
            </w:pPr>
            <w:r>
              <w:rPr>
                <w:rFonts w:ascii="Arial" w:cs="Arial" w:eastAsia="Arial" w:hAnsi="Arial"/>
                <w:sz w:val="11"/>
                <w:szCs w:val="11"/>
                <w:color w:val="auto"/>
                <w:w w:val="95"/>
              </w:rPr>
              <w:t>June 2021 / May</w:t>
            </w:r>
          </w:p>
        </w:tc>
        <w:tc>
          <w:tcPr>
            <w:tcW w:w="1020" w:type="dxa"/>
            <w:vAlign w:val="bottom"/>
            <w:gridSpan w:val="2"/>
            <w:vMerge w:val="restart"/>
          </w:tcPr>
          <w:p>
            <w:pPr>
              <w:ind w:left="200"/>
              <w:spacing w:after="0"/>
              <w:rPr>
                <w:sz w:val="20"/>
                <w:szCs w:val="20"/>
                <w:color w:val="auto"/>
              </w:rPr>
            </w:pPr>
            <w:r>
              <w:rPr>
                <w:rFonts w:ascii="Arial" w:cs="Arial" w:eastAsia="Arial" w:hAnsi="Arial"/>
                <w:sz w:val="11"/>
                <w:szCs w:val="11"/>
                <w:color w:val="auto"/>
              </w:rPr>
              <w:t>Investments (*)</w:t>
            </w:r>
          </w:p>
        </w:tc>
        <w:tc>
          <w:tcPr>
            <w:tcW w:w="0" w:type="dxa"/>
            <w:vAlign w:val="bottom"/>
          </w:tcPr>
          <w:p>
            <w:pPr>
              <w:spacing w:after="0"/>
              <w:rPr>
                <w:sz w:val="1"/>
                <w:szCs w:val="1"/>
                <w:color w:val="auto"/>
              </w:rPr>
            </w:pPr>
          </w:p>
        </w:tc>
      </w:tr>
      <w:tr>
        <w:trPr>
          <w:trHeight w:val="137"/>
        </w:trPr>
        <w:tc>
          <w:tcPr>
            <w:tcW w:w="2480" w:type="dxa"/>
            <w:vAlign w:val="bottom"/>
            <w:gridSpan w:val="2"/>
            <w:vMerge w:val="continue"/>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26,326</w:t>
            </w: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596,732</w:t>
            </w:r>
          </w:p>
        </w:tc>
        <w:tc>
          <w:tcPr>
            <w:tcW w:w="1080" w:type="dxa"/>
            <w:vAlign w:val="bottom"/>
          </w:tcPr>
          <w:p>
            <w:pPr>
              <w:ind w:left="80"/>
              <w:spacing w:after="0"/>
              <w:rPr>
                <w:sz w:val="20"/>
                <w:szCs w:val="20"/>
                <w:color w:val="auto"/>
              </w:rPr>
            </w:pPr>
            <w:r>
              <w:rPr>
                <w:rFonts w:ascii="Arial" w:cs="Arial" w:eastAsia="Arial" w:hAnsi="Arial"/>
                <w:sz w:val="11"/>
                <w:szCs w:val="11"/>
                <w:color w:val="auto"/>
              </w:rPr>
              <w:t>2023</w:t>
            </w:r>
          </w:p>
        </w:tc>
        <w:tc>
          <w:tcPr>
            <w:tcW w:w="2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8,124</w:t>
            </w: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618,790</w:t>
            </w:r>
          </w:p>
        </w:tc>
        <w:tc>
          <w:tcPr>
            <w:tcW w:w="180" w:type="dxa"/>
            <w:vAlign w:val="bottom"/>
          </w:tcPr>
          <w:p>
            <w:pPr>
              <w:spacing w:after="0"/>
              <w:rPr>
                <w:sz w:val="11"/>
                <w:szCs w:val="11"/>
                <w:color w:val="auto"/>
              </w:rPr>
            </w:pPr>
          </w:p>
        </w:tc>
        <w:tc>
          <w:tcPr>
            <w:tcW w:w="900" w:type="dxa"/>
            <w:vAlign w:val="bottom"/>
          </w:tcPr>
          <w:p>
            <w:pPr>
              <w:ind w:left="100"/>
              <w:spacing w:after="0"/>
              <w:rPr>
                <w:sz w:val="20"/>
                <w:szCs w:val="20"/>
                <w:color w:val="auto"/>
              </w:rPr>
            </w:pPr>
            <w:r>
              <w:rPr>
                <w:rFonts w:ascii="Arial" w:cs="Arial" w:eastAsia="Arial" w:hAnsi="Arial"/>
                <w:sz w:val="11"/>
                <w:szCs w:val="11"/>
                <w:color w:val="auto"/>
              </w:rPr>
              <w:t>2023</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124,989</w:t>
            </w: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95,336</w:t>
            </w:r>
          </w:p>
        </w:tc>
        <w:tc>
          <w:tcPr>
            <w:tcW w:w="2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5,722,862</w:t>
            </w:r>
          </w:p>
        </w:tc>
        <w:tc>
          <w:tcPr>
            <w:tcW w:w="20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99,171</w:t>
            </w: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69,611</w:t>
            </w:r>
          </w:p>
        </w:tc>
        <w:tc>
          <w:tcPr>
            <w:tcW w:w="2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6,270,638</w:t>
            </w: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1,790,770</w:t>
            </w:r>
          </w:p>
        </w:tc>
        <w:tc>
          <w:tcPr>
            <w:tcW w:w="20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1,751,719</w:t>
            </w:r>
          </w:p>
        </w:tc>
        <w:tc>
          <w:tcPr>
            <w:tcW w:w="200" w:type="dxa"/>
            <w:vAlign w:val="bottom"/>
          </w:tcPr>
          <w:p>
            <w:pPr>
              <w:spacing w:after="0"/>
              <w:rPr>
                <w:sz w:val="10"/>
                <w:szCs w:val="10"/>
                <w:color w:val="auto"/>
              </w:rPr>
            </w:pPr>
          </w:p>
        </w:tc>
        <w:tc>
          <w:tcPr>
            <w:tcW w:w="6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68,147,166</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1,092,107</w:t>
            </w:r>
          </w:p>
        </w:tc>
        <w:tc>
          <w:tcPr>
            <w:tcW w:w="20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1,040,282</w:t>
            </w:r>
          </w:p>
        </w:tc>
        <w:tc>
          <w:tcPr>
            <w:tcW w:w="200" w:type="dxa"/>
            <w:vAlign w:val="bottom"/>
          </w:tcPr>
          <w:p>
            <w:pPr>
              <w:spacing w:after="0"/>
              <w:rPr>
                <w:sz w:val="10"/>
                <w:szCs w:val="10"/>
                <w:color w:val="auto"/>
              </w:rPr>
            </w:pPr>
          </w:p>
        </w:tc>
        <w:tc>
          <w:tcPr>
            <w:tcW w:w="6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69,720,506</w:t>
            </w: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27" w:hanging="232"/>
        <w:spacing w:after="0"/>
        <w:tabs>
          <w:tab w:leader="none" w:pos="527" w:val="left"/>
        </w:tabs>
        <w:numPr>
          <w:ilvl w:val="0"/>
          <w:numId w:val="45"/>
        </w:numPr>
        <w:rPr>
          <w:rFonts w:ascii="Arial" w:cs="Arial" w:eastAsia="Arial" w:hAnsi="Arial"/>
          <w:sz w:val="15"/>
          <w:szCs w:val="15"/>
          <w:color w:val="auto"/>
        </w:rPr>
      </w:pPr>
      <w:r>
        <w:rPr>
          <w:rFonts w:ascii="Arial" w:cs="Arial" w:eastAsia="Arial" w:hAnsi="Arial"/>
          <w:sz w:val="15"/>
          <w:szCs w:val="15"/>
          <w:color w:val="auto"/>
        </w:rPr>
        <w:t>Corresponds to investments classified at the fair value through other comprehensive income under IFRS 9 as of March 31, 2020 and December 31, 2019.</w:t>
      </w:r>
    </w:p>
    <w:p>
      <w:pPr>
        <w:spacing w:after="0" w:line="200" w:lineRule="exact"/>
        <w:rPr>
          <w:rFonts w:ascii="Arial" w:cs="Arial" w:eastAsia="Arial" w:hAnsi="Arial"/>
          <w:sz w:val="15"/>
          <w:szCs w:val="15"/>
          <w:color w:val="auto"/>
        </w:rPr>
      </w:pPr>
    </w:p>
    <w:p>
      <w:pPr>
        <w:spacing w:after="0" w:line="217" w:lineRule="exact"/>
        <w:rPr>
          <w:rFonts w:ascii="Arial" w:cs="Arial" w:eastAsia="Arial" w:hAnsi="Arial"/>
          <w:sz w:val="15"/>
          <w:szCs w:val="15"/>
          <w:color w:val="auto"/>
        </w:rPr>
      </w:pPr>
    </w:p>
    <w:p>
      <w:pPr>
        <w:ind w:left="5247" w:hanging="93"/>
        <w:spacing w:after="0"/>
        <w:tabs>
          <w:tab w:leader="none" w:pos="5247" w:val="left"/>
        </w:tabs>
        <w:numPr>
          <w:ilvl w:val="1"/>
          <w:numId w:val="45"/>
        </w:numPr>
        <w:rPr>
          <w:rFonts w:ascii="Arial" w:cs="Arial" w:eastAsia="Arial" w:hAnsi="Arial"/>
          <w:sz w:val="16"/>
          <w:szCs w:val="16"/>
          <w:color w:val="auto"/>
        </w:rPr>
      </w:pPr>
      <w:r>
        <w:rPr>
          <w:rFonts w:ascii="Arial" w:cs="Arial" w:eastAsia="Arial" w:hAnsi="Arial"/>
          <w:sz w:val="16"/>
          <w:szCs w:val="16"/>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15875</wp:posOffset>
            </wp:positionV>
            <wp:extent cx="714438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947"/>
          </w:cols>
          <w:pgMar w:left="613" w:top="1036" w:right="339" w:bottom="1440" w:gutter="0" w:footer="0" w:header="0"/>
        </w:sectPr>
      </w:pPr>
    </w:p>
    <w:bookmarkStart w:id="48" w:name="page49"/>
    <w:bookmarkEnd w:id="48"/>
    <w:p>
      <w:pPr>
        <w:ind w:left="580" w:right="180" w:hanging="287"/>
        <w:spacing w:after="0" w:line="271"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Held-for-trading derivatives are principally negotiated to satisfy customers’ needs. On the other hand, the Group may also take positions with the expectation of profiting from favorable movements in prices or rates. Also, this caption includes any derivatives which do not comply with IFRS 9 hedge accounting requirements. Fair value of derivatives held for trading classified by contractual maturity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6"/>
          </w:tcPr>
          <w:p>
            <w:pPr>
              <w:ind w:left="100"/>
              <w:spacing w:after="0"/>
              <w:rPr>
                <w:sz w:val="20"/>
                <w:szCs w:val="20"/>
                <w:color w:val="auto"/>
              </w:rPr>
            </w:pPr>
            <w:r>
              <w:rPr>
                <w:rFonts w:ascii="Arial" w:cs="Arial" w:eastAsia="Arial" w:hAnsi="Arial"/>
                <w:sz w:val="11"/>
                <w:szCs w:val="11"/>
                <w:b w:val="1"/>
                <w:bCs w:val="1"/>
                <w:color w:val="auto"/>
              </w:rPr>
              <w:t>As of March 31, 2020</w:t>
            </w: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5"/>
          </w:tcPr>
          <w:p>
            <w:pPr>
              <w:ind w:left="100"/>
              <w:spacing w:after="0"/>
              <w:rPr>
                <w:sz w:val="20"/>
                <w:szCs w:val="20"/>
                <w:color w:val="auto"/>
              </w:rPr>
            </w:pPr>
            <w:r>
              <w:rPr>
                <w:rFonts w:ascii="Arial" w:cs="Arial" w:eastAsia="Arial" w:hAnsi="Arial"/>
                <w:sz w:val="11"/>
                <w:szCs w:val="11"/>
                <w:b w:val="1"/>
                <w:bCs w:val="1"/>
                <w:color w:val="auto"/>
              </w:rPr>
              <w:t>As of December 31, 2019</w:t>
            </w:r>
          </w:p>
        </w:tc>
        <w:tc>
          <w:tcPr>
            <w:tcW w:w="4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99"/>
        </w:trPr>
        <w:tc>
          <w:tcPr>
            <w:tcW w:w="2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3"/>
          </w:tcPr>
          <w:p>
            <w:pPr>
              <w:jc w:val="center"/>
              <w:ind w:right="180"/>
              <w:spacing w:after="0" w:line="100" w:lineRule="exact"/>
              <w:rPr>
                <w:sz w:val="20"/>
                <w:szCs w:val="20"/>
                <w:color w:val="auto"/>
              </w:rPr>
            </w:pPr>
            <w:r>
              <w:rPr>
                <w:rFonts w:ascii="Arial" w:cs="Arial" w:eastAsia="Arial" w:hAnsi="Arial"/>
                <w:sz w:val="11"/>
                <w:szCs w:val="11"/>
                <w:b w:val="1"/>
                <w:bCs w:val="1"/>
                <w:color w:val="auto"/>
                <w:w w:val="98"/>
              </w:rPr>
              <w:t>From 3</w:t>
            </w:r>
          </w:p>
        </w:tc>
        <w:tc>
          <w:tcPr>
            <w:tcW w:w="40" w:type="dxa"/>
            <w:vAlign w:val="bottom"/>
          </w:tcPr>
          <w:p>
            <w:pPr>
              <w:spacing w:after="0"/>
              <w:rPr>
                <w:sz w:val="8"/>
                <w:szCs w:val="8"/>
                <w:color w:val="auto"/>
              </w:rPr>
            </w:pPr>
          </w:p>
        </w:tc>
        <w:tc>
          <w:tcPr>
            <w:tcW w:w="680" w:type="dxa"/>
            <w:vAlign w:val="bottom"/>
            <w:gridSpan w:val="3"/>
          </w:tcPr>
          <w:p>
            <w:pPr>
              <w:ind w:left="20"/>
              <w:spacing w:after="0" w:line="100" w:lineRule="exact"/>
              <w:rPr>
                <w:sz w:val="20"/>
                <w:szCs w:val="20"/>
                <w:color w:val="auto"/>
              </w:rPr>
            </w:pPr>
            <w:r>
              <w:rPr>
                <w:rFonts w:ascii="Arial" w:cs="Arial" w:eastAsia="Arial" w:hAnsi="Arial"/>
                <w:sz w:val="11"/>
                <w:szCs w:val="11"/>
                <w:b w:val="1"/>
                <w:bCs w:val="1"/>
                <w:color w:val="auto"/>
              </w:rPr>
              <w:t>From 1 to</w:t>
            </w:r>
          </w:p>
        </w:tc>
        <w:tc>
          <w:tcPr>
            <w:tcW w:w="40" w:type="dxa"/>
            <w:vAlign w:val="bottom"/>
          </w:tcPr>
          <w:p>
            <w:pPr>
              <w:spacing w:after="0"/>
              <w:rPr>
                <w:sz w:val="8"/>
                <w:szCs w:val="8"/>
                <w:color w:val="auto"/>
              </w:rPr>
            </w:pPr>
          </w:p>
        </w:tc>
        <w:tc>
          <w:tcPr>
            <w:tcW w:w="66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98"/>
              </w:rPr>
              <w:t>From 3</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gridSpan w:val="2"/>
          </w:tcPr>
          <w:p>
            <w:pPr>
              <w:jc w:val="center"/>
              <w:ind w:right="80"/>
              <w:spacing w:after="0" w:line="100" w:lineRule="exact"/>
              <w:rPr>
                <w:sz w:val="20"/>
                <w:szCs w:val="20"/>
                <w:color w:val="auto"/>
              </w:rPr>
            </w:pPr>
            <w:r>
              <w:rPr>
                <w:rFonts w:ascii="Arial" w:cs="Arial" w:eastAsia="Arial" w:hAnsi="Arial"/>
                <w:sz w:val="11"/>
                <w:szCs w:val="11"/>
                <w:b w:val="1"/>
                <w:bCs w:val="1"/>
                <w:color w:val="auto"/>
                <w:w w:val="98"/>
              </w:rPr>
              <w:t>From 3</w:t>
            </w:r>
          </w:p>
        </w:tc>
        <w:tc>
          <w:tcPr>
            <w:tcW w:w="120" w:type="dxa"/>
            <w:vAlign w:val="bottom"/>
          </w:tcPr>
          <w:p>
            <w:pPr>
              <w:spacing w:after="0"/>
              <w:rPr>
                <w:sz w:val="8"/>
                <w:szCs w:val="8"/>
                <w:color w:val="auto"/>
              </w:rPr>
            </w:pPr>
          </w:p>
        </w:tc>
        <w:tc>
          <w:tcPr>
            <w:tcW w:w="720" w:type="dxa"/>
            <w:vAlign w:val="bottom"/>
            <w:gridSpan w:val="2"/>
          </w:tcPr>
          <w:p>
            <w:pPr>
              <w:jc w:val="center"/>
              <w:ind w:right="240"/>
              <w:spacing w:after="0" w:line="100" w:lineRule="exact"/>
              <w:rPr>
                <w:sz w:val="20"/>
                <w:szCs w:val="20"/>
                <w:color w:val="auto"/>
              </w:rPr>
            </w:pPr>
            <w:r>
              <w:rPr>
                <w:rFonts w:ascii="Arial" w:cs="Arial" w:eastAsia="Arial" w:hAnsi="Arial"/>
                <w:sz w:val="11"/>
                <w:szCs w:val="11"/>
                <w:b w:val="1"/>
                <w:bCs w:val="1"/>
                <w:color w:val="auto"/>
                <w:w w:val="95"/>
              </w:rPr>
              <w:t>From 1 to</w:t>
            </w:r>
          </w:p>
        </w:tc>
        <w:tc>
          <w:tcPr>
            <w:tcW w:w="66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98"/>
              </w:rPr>
              <w:t>From 3</w:t>
            </w: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35"/>
        </w:trPr>
        <w:tc>
          <w:tcPr>
            <w:tcW w:w="2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ind w:left="80"/>
              <w:spacing w:after="0"/>
              <w:rPr>
                <w:sz w:val="20"/>
                <w:szCs w:val="20"/>
                <w:color w:val="auto"/>
              </w:rPr>
            </w:pPr>
            <w:r>
              <w:rPr>
                <w:rFonts w:ascii="Arial" w:cs="Arial" w:eastAsia="Arial" w:hAnsi="Arial"/>
                <w:sz w:val="11"/>
                <w:szCs w:val="11"/>
                <w:b w:val="1"/>
                <w:bCs w:val="1"/>
                <w:color w:val="auto"/>
              </w:rPr>
              <w:t>Up to 3</w:t>
            </w:r>
          </w:p>
        </w:tc>
        <w:tc>
          <w:tcPr>
            <w:tcW w:w="60" w:type="dxa"/>
            <w:vAlign w:val="bottom"/>
          </w:tcPr>
          <w:p>
            <w:pPr>
              <w:spacing w:after="0"/>
              <w:rPr>
                <w:sz w:val="11"/>
                <w:szCs w:val="11"/>
                <w:color w:val="auto"/>
              </w:rPr>
            </w:pPr>
          </w:p>
        </w:tc>
        <w:tc>
          <w:tcPr>
            <w:tcW w:w="66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90"/>
              </w:rPr>
              <w:t>months</w:t>
            </w:r>
          </w:p>
        </w:tc>
        <w:tc>
          <w:tcPr>
            <w:tcW w:w="500" w:type="dxa"/>
            <w:vAlign w:val="bottom"/>
            <w:gridSpan w:val="2"/>
          </w:tcPr>
          <w:p>
            <w:pPr>
              <w:jc w:val="right"/>
              <w:ind w:right="123"/>
              <w:spacing w:after="0"/>
              <w:rPr>
                <w:sz w:val="20"/>
                <w:szCs w:val="20"/>
                <w:color w:val="auto"/>
              </w:rPr>
            </w:pPr>
            <w:r>
              <w:rPr>
                <w:rFonts w:ascii="Arial" w:cs="Arial" w:eastAsia="Arial" w:hAnsi="Arial"/>
                <w:sz w:val="11"/>
                <w:szCs w:val="11"/>
                <w:b w:val="1"/>
                <w:bCs w:val="1"/>
                <w:color w:val="auto"/>
              </w:rPr>
              <w:t>3</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to 5</w:t>
            </w: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Over 5</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Up to 3</w:t>
            </w:r>
          </w:p>
        </w:tc>
        <w:tc>
          <w:tcPr>
            <w:tcW w:w="6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months</w:t>
            </w:r>
          </w:p>
        </w:tc>
        <w:tc>
          <w:tcPr>
            <w:tcW w:w="620" w:type="dxa"/>
            <w:vAlign w:val="bottom"/>
            <w:gridSpan w:val="2"/>
          </w:tcPr>
          <w:p>
            <w:pPr>
              <w:jc w:val="center"/>
              <w:ind w:left="63"/>
              <w:spacing w:after="0"/>
              <w:rPr>
                <w:sz w:val="20"/>
                <w:szCs w:val="20"/>
                <w:color w:val="auto"/>
              </w:rPr>
            </w:pPr>
            <w:r>
              <w:rPr>
                <w:rFonts w:ascii="Arial" w:cs="Arial" w:eastAsia="Arial" w:hAnsi="Arial"/>
                <w:sz w:val="11"/>
                <w:szCs w:val="11"/>
                <w:b w:val="1"/>
                <w:bCs w:val="1"/>
                <w:color w:val="auto"/>
                <w:w w:val="97"/>
              </w:rPr>
              <w:t>3</w:t>
            </w:r>
          </w:p>
        </w:tc>
        <w:tc>
          <w:tcPr>
            <w:tcW w:w="220" w:type="dxa"/>
            <w:vAlign w:val="bottom"/>
          </w:tcPr>
          <w:p>
            <w:pPr>
              <w:spacing w:after="0"/>
              <w:rPr>
                <w:sz w:val="11"/>
                <w:szCs w:val="11"/>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 5</w:t>
            </w:r>
          </w:p>
        </w:tc>
        <w:tc>
          <w:tcPr>
            <w:tcW w:w="7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Over 5</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9"/>
        </w:trPr>
        <w:tc>
          <w:tcPr>
            <w:tcW w:w="2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months</w:t>
            </w:r>
          </w:p>
        </w:tc>
        <w:tc>
          <w:tcPr>
            <w:tcW w:w="60" w:type="dxa"/>
            <w:vAlign w:val="bottom"/>
          </w:tcPr>
          <w:p>
            <w:pPr>
              <w:spacing w:after="0"/>
              <w:rPr>
                <w:sz w:val="12"/>
                <w:szCs w:val="12"/>
                <w:color w:val="auto"/>
              </w:rPr>
            </w:pPr>
          </w:p>
        </w:tc>
        <w:tc>
          <w:tcPr>
            <w:tcW w:w="66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97"/>
              </w:rPr>
              <w:t>to 1 year</w:t>
            </w:r>
          </w:p>
        </w:tc>
        <w:tc>
          <w:tcPr>
            <w:tcW w:w="40" w:type="dxa"/>
            <w:vAlign w:val="bottom"/>
          </w:tcPr>
          <w:p>
            <w:pPr>
              <w:spacing w:after="0"/>
              <w:rPr>
                <w:sz w:val="12"/>
                <w:szCs w:val="12"/>
                <w:color w:val="auto"/>
              </w:rPr>
            </w:pPr>
          </w:p>
        </w:tc>
        <w:tc>
          <w:tcPr>
            <w:tcW w:w="680" w:type="dxa"/>
            <w:vAlign w:val="bottom"/>
            <w:gridSpan w:val="3"/>
          </w:tcPr>
          <w:p>
            <w:pPr>
              <w:ind w:left="120"/>
              <w:spacing w:after="0"/>
              <w:rPr>
                <w:sz w:val="20"/>
                <w:szCs w:val="20"/>
                <w:color w:val="auto"/>
              </w:rPr>
            </w:pPr>
            <w:r>
              <w:rPr>
                <w:rFonts w:ascii="Arial" w:cs="Arial" w:eastAsia="Arial" w:hAnsi="Arial"/>
                <w:sz w:val="11"/>
                <w:szCs w:val="11"/>
                <w:b w:val="1"/>
                <w:bCs w:val="1"/>
                <w:color w:val="auto"/>
              </w:rPr>
              <w:t>years</w:t>
            </w:r>
          </w:p>
        </w:tc>
        <w:tc>
          <w:tcPr>
            <w:tcW w:w="4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years</w:t>
            </w: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years</w:t>
            </w: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months</w:t>
            </w:r>
          </w:p>
        </w:tc>
        <w:tc>
          <w:tcPr>
            <w:tcW w:w="6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to 1 year</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years</w:t>
            </w:r>
          </w:p>
        </w:tc>
        <w:tc>
          <w:tcPr>
            <w:tcW w:w="6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years</w:t>
            </w:r>
          </w:p>
        </w:tc>
        <w:tc>
          <w:tcPr>
            <w:tcW w:w="7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years</w:t>
            </w:r>
          </w:p>
        </w:tc>
        <w:tc>
          <w:tcPr>
            <w:tcW w:w="6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8"/>
              </w:rPr>
              <w:t>Total</w:t>
            </w:r>
          </w:p>
        </w:tc>
      </w:tr>
      <w:tr>
        <w:trPr>
          <w:trHeight w:val="115"/>
        </w:trPr>
        <w:tc>
          <w:tcPr>
            <w:tcW w:w="2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Borders>
              <w:top w:val="single" w:sz="8" w:color="auto"/>
            </w:tcBorders>
            <w:gridSpan w:val="2"/>
          </w:tcPr>
          <w:p>
            <w:pPr>
              <w:ind w:left="80"/>
              <w:spacing w:after="0" w:line="115" w:lineRule="exact"/>
              <w:rPr>
                <w:sz w:val="20"/>
                <w:szCs w:val="20"/>
                <w:color w:val="auto"/>
              </w:rPr>
            </w:pPr>
            <w:r>
              <w:rPr>
                <w:rFonts w:ascii="Arial" w:cs="Arial" w:eastAsia="Arial" w:hAnsi="Arial"/>
                <w:sz w:val="11"/>
                <w:szCs w:val="11"/>
                <w:b w:val="1"/>
                <w:bCs w:val="1"/>
                <w:color w:val="auto"/>
              </w:rPr>
              <w:t>S/(000)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1"/>
                <w:szCs w:val="11"/>
                <w:b w:val="1"/>
                <w:bCs w:val="1"/>
                <w:color w:val="auto"/>
                <w:w w:val="99"/>
              </w:rPr>
              <w:t>S/(000)</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9"/>
              </w:rPr>
              <w:t>S/(000)</w:t>
            </w:r>
          </w:p>
        </w:tc>
        <w:tc>
          <w:tcPr>
            <w:tcW w:w="220" w:type="dxa"/>
            <w:vAlign w:val="bottom"/>
          </w:tcPr>
          <w:p>
            <w:pPr>
              <w:spacing w:after="0"/>
              <w:rPr>
                <w:sz w:val="10"/>
                <w:szCs w:val="10"/>
                <w:color w:val="auto"/>
              </w:rPr>
            </w:pPr>
          </w:p>
        </w:tc>
        <w:tc>
          <w:tcPr>
            <w:tcW w:w="5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20" w:type="dxa"/>
            <w:vAlign w:val="bottom"/>
          </w:tcPr>
          <w:p>
            <w:pPr>
              <w:spacing w:after="0"/>
              <w:rPr>
                <w:sz w:val="10"/>
                <w:szCs w:val="10"/>
                <w:color w:val="auto"/>
              </w:rPr>
            </w:pPr>
          </w:p>
        </w:tc>
        <w:tc>
          <w:tcPr>
            <w:tcW w:w="5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20" w:type="dxa"/>
            <w:vAlign w:val="bottom"/>
          </w:tcPr>
          <w:p>
            <w:pPr>
              <w:spacing w:after="0"/>
              <w:rPr>
                <w:sz w:val="10"/>
                <w:szCs w:val="10"/>
                <w:color w:val="auto"/>
              </w:rPr>
            </w:pPr>
          </w:p>
        </w:tc>
        <w:tc>
          <w:tcPr>
            <w:tcW w:w="480" w:type="dxa"/>
            <w:vAlign w:val="bottom"/>
            <w:tcBorders>
              <w:top w:val="single" w:sz="8" w:color="auto"/>
            </w:tcBorders>
          </w:tcPr>
          <w:p>
            <w:pPr>
              <w:ind w:left="60"/>
              <w:spacing w:after="0" w:line="115" w:lineRule="exact"/>
              <w:rPr>
                <w:sz w:val="20"/>
                <w:szCs w:val="20"/>
                <w:color w:val="auto"/>
              </w:rPr>
            </w:pPr>
            <w:r>
              <w:rPr>
                <w:rFonts w:ascii="Arial" w:cs="Arial" w:eastAsia="Arial" w:hAnsi="Arial"/>
                <w:sz w:val="11"/>
                <w:szCs w:val="11"/>
                <w:b w:val="1"/>
                <w:bCs w:val="1"/>
                <w:color w:val="auto"/>
              </w:rPr>
              <w:t>S/(000)</w:t>
            </w:r>
          </w:p>
        </w:tc>
        <w:tc>
          <w:tcPr>
            <w:tcW w:w="220" w:type="dxa"/>
            <w:vAlign w:val="bottom"/>
          </w:tcPr>
          <w:p>
            <w:pPr>
              <w:spacing w:after="0"/>
              <w:rPr>
                <w:sz w:val="10"/>
                <w:szCs w:val="10"/>
                <w:color w:val="auto"/>
              </w:rPr>
            </w:pPr>
          </w:p>
        </w:tc>
        <w:tc>
          <w:tcPr>
            <w:tcW w:w="5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20" w:type="dxa"/>
            <w:vAlign w:val="bottom"/>
          </w:tcPr>
          <w:p>
            <w:pPr>
              <w:spacing w:after="0"/>
              <w:rPr>
                <w:sz w:val="10"/>
                <w:szCs w:val="10"/>
                <w:color w:val="auto"/>
              </w:rPr>
            </w:pPr>
          </w:p>
        </w:tc>
        <w:tc>
          <w:tcPr>
            <w:tcW w:w="4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20" w:type="dxa"/>
            <w:vAlign w:val="bottom"/>
          </w:tcPr>
          <w:p>
            <w:pPr>
              <w:spacing w:after="0"/>
              <w:rPr>
                <w:sz w:val="10"/>
                <w:szCs w:val="10"/>
                <w:color w:val="auto"/>
              </w:rPr>
            </w:pPr>
          </w:p>
        </w:tc>
        <w:tc>
          <w:tcPr>
            <w:tcW w:w="4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9"/>
              </w:rPr>
              <w:t>S/(000)</w:t>
            </w:r>
          </w:p>
        </w:tc>
        <w:tc>
          <w:tcPr>
            <w:tcW w:w="220" w:type="dxa"/>
            <w:vAlign w:val="bottom"/>
          </w:tcPr>
          <w:p>
            <w:pPr>
              <w:spacing w:after="0"/>
              <w:rPr>
                <w:sz w:val="10"/>
                <w:szCs w:val="10"/>
                <w:color w:val="auto"/>
              </w:rPr>
            </w:pPr>
          </w:p>
        </w:tc>
        <w:tc>
          <w:tcPr>
            <w:tcW w:w="5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3"/>
        </w:trPr>
        <w:tc>
          <w:tcPr>
            <w:tcW w:w="2820" w:type="dxa"/>
            <w:vAlign w:val="bottom"/>
            <w:gridSpan w:val="2"/>
            <w:shd w:val="clear" w:color="auto" w:fill="CCEEFF"/>
          </w:tcPr>
          <w:p>
            <w:pPr>
              <w:spacing w:after="0" w:line="123" w:lineRule="exact"/>
              <w:rPr>
                <w:sz w:val="20"/>
                <w:szCs w:val="20"/>
                <w:color w:val="auto"/>
              </w:rPr>
            </w:pPr>
            <w:r>
              <w:rPr>
                <w:rFonts w:ascii="Arial" w:cs="Arial" w:eastAsia="Arial" w:hAnsi="Arial"/>
                <w:sz w:val="11"/>
                <w:szCs w:val="11"/>
                <w:color w:val="auto"/>
              </w:rPr>
              <w:t>Foreign currency forwards</w:t>
            </w:r>
          </w:p>
        </w:tc>
        <w:tc>
          <w:tcPr>
            <w:tcW w:w="660" w:type="dxa"/>
            <w:vAlign w:val="bottom"/>
            <w:gridSpan w:val="3"/>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339,049</w:t>
            </w:r>
          </w:p>
        </w:tc>
        <w:tc>
          <w:tcPr>
            <w:tcW w:w="720" w:type="dxa"/>
            <w:vAlign w:val="bottom"/>
            <w:gridSpan w:val="4"/>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128,097</w:t>
            </w:r>
          </w:p>
        </w:tc>
        <w:tc>
          <w:tcPr>
            <w:tcW w:w="540" w:type="dxa"/>
            <w:vAlign w:val="bottom"/>
            <w:gridSpan w:val="3"/>
            <w:shd w:val="clear" w:color="auto" w:fill="CCEEFF"/>
          </w:tcPr>
          <w:p>
            <w:pPr>
              <w:jc w:val="right"/>
              <w:spacing w:after="0" w:line="123" w:lineRule="exact"/>
              <w:rPr>
                <w:sz w:val="20"/>
                <w:szCs w:val="20"/>
                <w:color w:val="auto"/>
              </w:rPr>
            </w:pPr>
            <w:r>
              <w:rPr>
                <w:rFonts w:ascii="Arial" w:cs="Arial" w:eastAsia="Arial" w:hAnsi="Arial"/>
                <w:sz w:val="11"/>
                <w:szCs w:val="11"/>
                <w:color w:val="auto"/>
              </w:rPr>
              <w:t>5,684</w:t>
            </w:r>
          </w:p>
        </w:tc>
        <w:tc>
          <w:tcPr>
            <w:tcW w:w="180" w:type="dxa"/>
            <w:vAlign w:val="bottom"/>
            <w:shd w:val="clear" w:color="auto" w:fill="CCEEFF"/>
          </w:tcPr>
          <w:p>
            <w:pPr>
              <w:spacing w:after="0"/>
              <w:rPr>
                <w:sz w:val="10"/>
                <w:szCs w:val="10"/>
                <w:color w:val="auto"/>
              </w:rPr>
            </w:pPr>
          </w:p>
        </w:tc>
        <w:tc>
          <w:tcPr>
            <w:tcW w:w="700" w:type="dxa"/>
            <w:vAlign w:val="bottom"/>
            <w:gridSpan w:val="3"/>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472,830</w:t>
            </w:r>
          </w:p>
        </w:tc>
        <w:tc>
          <w:tcPr>
            <w:tcW w:w="7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199,070</w:t>
            </w:r>
          </w:p>
        </w:tc>
        <w:tc>
          <w:tcPr>
            <w:tcW w:w="5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104,265</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2,813</w:t>
            </w:r>
          </w:p>
        </w:tc>
        <w:tc>
          <w:tcPr>
            <w:tcW w:w="2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306,148</w:t>
            </w:r>
          </w:p>
        </w:tc>
        <w:tc>
          <w:tcPr>
            <w:tcW w:w="80" w:type="dxa"/>
            <w:vAlign w:val="bottom"/>
            <w:shd w:val="clear" w:color="auto" w:fill="CCEEFF"/>
          </w:tcPr>
          <w:p>
            <w:pPr>
              <w:spacing w:after="0"/>
              <w:rPr>
                <w:sz w:val="10"/>
                <w:szCs w:val="10"/>
                <w:color w:val="auto"/>
              </w:rPr>
            </w:pPr>
          </w:p>
        </w:tc>
      </w:tr>
      <w:tr>
        <w:trPr>
          <w:trHeight w:val="123"/>
        </w:trPr>
        <w:tc>
          <w:tcPr>
            <w:tcW w:w="2820" w:type="dxa"/>
            <w:vAlign w:val="bottom"/>
            <w:gridSpan w:val="2"/>
          </w:tcPr>
          <w:p>
            <w:pPr>
              <w:spacing w:after="0" w:line="123" w:lineRule="exact"/>
              <w:rPr>
                <w:sz w:val="20"/>
                <w:szCs w:val="20"/>
                <w:color w:val="auto"/>
              </w:rPr>
            </w:pPr>
            <w:r>
              <w:rPr>
                <w:rFonts w:ascii="Arial" w:cs="Arial" w:eastAsia="Arial" w:hAnsi="Arial"/>
                <w:sz w:val="11"/>
                <w:szCs w:val="11"/>
                <w:color w:val="auto"/>
              </w:rPr>
              <w:t>Interest rate swaps</w:t>
            </w:r>
          </w:p>
        </w:tc>
        <w:tc>
          <w:tcPr>
            <w:tcW w:w="660" w:type="dxa"/>
            <w:vAlign w:val="bottom"/>
            <w:gridSpan w:val="3"/>
          </w:tcPr>
          <w:p>
            <w:pPr>
              <w:jc w:val="right"/>
              <w:ind w:right="160"/>
              <w:spacing w:after="0" w:line="123" w:lineRule="exact"/>
              <w:rPr>
                <w:sz w:val="20"/>
                <w:szCs w:val="20"/>
                <w:color w:val="auto"/>
              </w:rPr>
            </w:pPr>
            <w:r>
              <w:rPr>
                <w:rFonts w:ascii="Arial" w:cs="Arial" w:eastAsia="Arial" w:hAnsi="Arial"/>
                <w:sz w:val="11"/>
                <w:szCs w:val="11"/>
                <w:color w:val="auto"/>
              </w:rPr>
              <w:t>15,350</w:t>
            </w:r>
          </w:p>
        </w:tc>
        <w:tc>
          <w:tcPr>
            <w:tcW w:w="720" w:type="dxa"/>
            <w:vAlign w:val="bottom"/>
            <w:gridSpan w:val="4"/>
          </w:tcPr>
          <w:p>
            <w:pPr>
              <w:jc w:val="right"/>
              <w:ind w:right="180"/>
              <w:spacing w:after="0" w:line="123" w:lineRule="exact"/>
              <w:rPr>
                <w:sz w:val="20"/>
                <w:szCs w:val="20"/>
                <w:color w:val="auto"/>
              </w:rPr>
            </w:pPr>
            <w:r>
              <w:rPr>
                <w:rFonts w:ascii="Arial" w:cs="Arial" w:eastAsia="Arial" w:hAnsi="Arial"/>
                <w:sz w:val="11"/>
                <w:szCs w:val="11"/>
                <w:color w:val="auto"/>
              </w:rPr>
              <w:t>13,731</w:t>
            </w:r>
          </w:p>
        </w:tc>
        <w:tc>
          <w:tcPr>
            <w:tcW w:w="720" w:type="dxa"/>
            <w:vAlign w:val="bottom"/>
            <w:gridSpan w:val="4"/>
          </w:tcPr>
          <w:p>
            <w:pPr>
              <w:jc w:val="right"/>
              <w:ind w:right="180"/>
              <w:spacing w:after="0" w:line="123" w:lineRule="exact"/>
              <w:rPr>
                <w:sz w:val="20"/>
                <w:szCs w:val="20"/>
                <w:color w:val="auto"/>
              </w:rPr>
            </w:pPr>
            <w:r>
              <w:rPr>
                <w:rFonts w:ascii="Arial" w:cs="Arial" w:eastAsia="Arial" w:hAnsi="Arial"/>
                <w:sz w:val="11"/>
                <w:szCs w:val="11"/>
                <w:color w:val="auto"/>
              </w:rPr>
              <w:t>84,869</w:t>
            </w:r>
          </w:p>
        </w:tc>
        <w:tc>
          <w:tcPr>
            <w:tcW w:w="700" w:type="dxa"/>
            <w:vAlign w:val="bottom"/>
            <w:gridSpan w:val="3"/>
          </w:tcPr>
          <w:p>
            <w:pPr>
              <w:jc w:val="right"/>
              <w:ind w:right="220"/>
              <w:spacing w:after="0" w:line="123" w:lineRule="exact"/>
              <w:rPr>
                <w:sz w:val="20"/>
                <w:szCs w:val="20"/>
                <w:color w:val="auto"/>
              </w:rPr>
            </w:pPr>
            <w:r>
              <w:rPr>
                <w:rFonts w:ascii="Arial" w:cs="Arial" w:eastAsia="Arial" w:hAnsi="Arial"/>
                <w:sz w:val="11"/>
                <w:szCs w:val="11"/>
                <w:color w:val="auto"/>
              </w:rPr>
              <w:t>26,728</w:t>
            </w:r>
          </w:p>
        </w:tc>
        <w:tc>
          <w:tcPr>
            <w:tcW w:w="72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548,719</w:t>
            </w:r>
          </w:p>
        </w:tc>
        <w:tc>
          <w:tcPr>
            <w:tcW w:w="8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689,397</w:t>
            </w:r>
          </w:p>
        </w:tc>
        <w:tc>
          <w:tcPr>
            <w:tcW w:w="7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3,716</w:t>
            </w:r>
          </w:p>
        </w:tc>
        <w:tc>
          <w:tcPr>
            <w:tcW w:w="500" w:type="dxa"/>
            <w:vAlign w:val="bottom"/>
          </w:tcPr>
          <w:p>
            <w:pPr>
              <w:jc w:val="right"/>
              <w:spacing w:after="0" w:line="123" w:lineRule="exact"/>
              <w:rPr>
                <w:sz w:val="20"/>
                <w:szCs w:val="20"/>
                <w:color w:val="auto"/>
              </w:rPr>
            </w:pPr>
            <w:r>
              <w:rPr>
                <w:rFonts w:ascii="Arial" w:cs="Arial" w:eastAsia="Arial" w:hAnsi="Arial"/>
                <w:sz w:val="11"/>
                <w:szCs w:val="11"/>
                <w:color w:val="auto"/>
              </w:rPr>
              <w:t>8,409</w:t>
            </w:r>
          </w:p>
        </w:tc>
        <w:tc>
          <w:tcPr>
            <w:tcW w:w="100" w:type="dxa"/>
            <w:vAlign w:val="bottom"/>
          </w:tcPr>
          <w:p>
            <w:pPr>
              <w:spacing w:after="0"/>
              <w:rPr>
                <w:sz w:val="10"/>
                <w:szCs w:val="10"/>
                <w:color w:val="auto"/>
              </w:rPr>
            </w:pPr>
          </w:p>
        </w:tc>
        <w:tc>
          <w:tcPr>
            <w:tcW w:w="840" w:type="dxa"/>
            <w:vAlign w:val="bottom"/>
            <w:gridSpan w:val="3"/>
          </w:tcPr>
          <w:p>
            <w:pPr>
              <w:jc w:val="right"/>
              <w:ind w:right="220"/>
              <w:spacing w:after="0" w:line="123" w:lineRule="exact"/>
              <w:rPr>
                <w:sz w:val="20"/>
                <w:szCs w:val="20"/>
                <w:color w:val="auto"/>
              </w:rPr>
            </w:pPr>
            <w:r>
              <w:rPr>
                <w:rFonts w:ascii="Arial" w:cs="Arial" w:eastAsia="Arial" w:hAnsi="Arial"/>
                <w:sz w:val="11"/>
                <w:szCs w:val="11"/>
                <w:color w:val="auto"/>
              </w:rPr>
              <w:t>38,569</w:t>
            </w:r>
          </w:p>
        </w:tc>
        <w:tc>
          <w:tcPr>
            <w:tcW w:w="66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8,067</w:t>
            </w:r>
          </w:p>
        </w:tc>
        <w:tc>
          <w:tcPr>
            <w:tcW w:w="7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209,872</w:t>
            </w:r>
          </w:p>
        </w:tc>
        <w:tc>
          <w:tcPr>
            <w:tcW w:w="52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268,633</w:t>
            </w:r>
          </w:p>
        </w:tc>
        <w:tc>
          <w:tcPr>
            <w:tcW w:w="80" w:type="dxa"/>
            <w:vAlign w:val="bottom"/>
          </w:tcPr>
          <w:p>
            <w:pPr>
              <w:spacing w:after="0"/>
              <w:rPr>
                <w:sz w:val="10"/>
                <w:szCs w:val="10"/>
                <w:color w:val="auto"/>
              </w:rPr>
            </w:pPr>
          </w:p>
        </w:tc>
      </w:tr>
      <w:tr>
        <w:trPr>
          <w:trHeight w:val="123"/>
        </w:trPr>
        <w:tc>
          <w:tcPr>
            <w:tcW w:w="2820" w:type="dxa"/>
            <w:vAlign w:val="bottom"/>
            <w:gridSpan w:val="2"/>
            <w:shd w:val="clear" w:color="auto" w:fill="CCEEFF"/>
          </w:tcPr>
          <w:p>
            <w:pPr>
              <w:spacing w:after="0" w:line="123" w:lineRule="exact"/>
              <w:rPr>
                <w:sz w:val="20"/>
                <w:szCs w:val="20"/>
                <w:color w:val="auto"/>
              </w:rPr>
            </w:pPr>
            <w:r>
              <w:rPr>
                <w:rFonts w:ascii="Arial" w:cs="Arial" w:eastAsia="Arial" w:hAnsi="Arial"/>
                <w:sz w:val="11"/>
                <w:szCs w:val="11"/>
                <w:color w:val="auto"/>
              </w:rPr>
              <w:t>Currency swaps</w:t>
            </w:r>
          </w:p>
        </w:tc>
        <w:tc>
          <w:tcPr>
            <w:tcW w:w="660" w:type="dxa"/>
            <w:vAlign w:val="bottom"/>
            <w:gridSpan w:val="3"/>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2,100</w:t>
            </w:r>
          </w:p>
        </w:tc>
        <w:tc>
          <w:tcPr>
            <w:tcW w:w="720" w:type="dxa"/>
            <w:vAlign w:val="bottom"/>
            <w:gridSpan w:val="4"/>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133,620</w:t>
            </w:r>
          </w:p>
        </w:tc>
        <w:tc>
          <w:tcPr>
            <w:tcW w:w="540" w:type="dxa"/>
            <w:vAlign w:val="bottom"/>
            <w:gridSpan w:val="3"/>
            <w:shd w:val="clear" w:color="auto" w:fill="CCEEFF"/>
          </w:tcPr>
          <w:p>
            <w:pPr>
              <w:jc w:val="right"/>
              <w:spacing w:after="0" w:line="123" w:lineRule="exact"/>
              <w:rPr>
                <w:sz w:val="20"/>
                <w:szCs w:val="20"/>
                <w:color w:val="auto"/>
              </w:rPr>
            </w:pPr>
            <w:r>
              <w:rPr>
                <w:rFonts w:ascii="Arial" w:cs="Arial" w:eastAsia="Arial" w:hAnsi="Arial"/>
                <w:sz w:val="11"/>
                <w:szCs w:val="11"/>
                <w:color w:val="auto"/>
              </w:rPr>
              <w:t>130,438</w:t>
            </w:r>
          </w:p>
        </w:tc>
        <w:tc>
          <w:tcPr>
            <w:tcW w:w="180" w:type="dxa"/>
            <w:vAlign w:val="bottom"/>
            <w:shd w:val="clear" w:color="auto" w:fill="CCEEFF"/>
          </w:tcPr>
          <w:p>
            <w:pPr>
              <w:spacing w:after="0"/>
              <w:rPr>
                <w:sz w:val="10"/>
                <w:szCs w:val="10"/>
                <w:color w:val="auto"/>
              </w:rPr>
            </w:pPr>
          </w:p>
        </w:tc>
        <w:tc>
          <w:tcPr>
            <w:tcW w:w="700" w:type="dxa"/>
            <w:vAlign w:val="bottom"/>
            <w:gridSpan w:val="3"/>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64,976</w:t>
            </w:r>
          </w:p>
        </w:tc>
        <w:tc>
          <w:tcPr>
            <w:tcW w:w="72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146,444</w:t>
            </w:r>
          </w:p>
        </w:tc>
        <w:tc>
          <w:tcPr>
            <w:tcW w:w="8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477,578</w:t>
            </w:r>
          </w:p>
        </w:tc>
        <w:tc>
          <w:tcPr>
            <w:tcW w:w="7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7,124</w:t>
            </w:r>
          </w:p>
        </w:tc>
        <w:tc>
          <w:tcPr>
            <w:tcW w:w="5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101,368</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102,703</w:t>
            </w:r>
          </w:p>
        </w:tc>
        <w:tc>
          <w:tcPr>
            <w:tcW w:w="2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67,826</w:t>
            </w:r>
          </w:p>
        </w:tc>
        <w:tc>
          <w:tcPr>
            <w:tcW w:w="7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132,635</w:t>
            </w:r>
          </w:p>
        </w:tc>
        <w:tc>
          <w:tcPr>
            <w:tcW w:w="52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411,656</w:t>
            </w:r>
          </w:p>
        </w:tc>
        <w:tc>
          <w:tcPr>
            <w:tcW w:w="80" w:type="dxa"/>
            <w:vAlign w:val="bottom"/>
            <w:shd w:val="clear" w:color="auto" w:fill="CCEEFF"/>
          </w:tcPr>
          <w:p>
            <w:pPr>
              <w:spacing w:after="0"/>
              <w:rPr>
                <w:sz w:val="10"/>
                <w:szCs w:val="10"/>
                <w:color w:val="auto"/>
              </w:rPr>
            </w:pPr>
          </w:p>
        </w:tc>
      </w:tr>
      <w:tr>
        <w:trPr>
          <w:trHeight w:val="123"/>
        </w:trPr>
        <w:tc>
          <w:tcPr>
            <w:tcW w:w="2820" w:type="dxa"/>
            <w:vAlign w:val="bottom"/>
            <w:gridSpan w:val="2"/>
          </w:tcPr>
          <w:p>
            <w:pPr>
              <w:spacing w:after="0" w:line="123" w:lineRule="exact"/>
              <w:rPr>
                <w:sz w:val="20"/>
                <w:szCs w:val="20"/>
                <w:color w:val="auto"/>
              </w:rPr>
            </w:pPr>
            <w:r>
              <w:rPr>
                <w:rFonts w:ascii="Arial" w:cs="Arial" w:eastAsia="Arial" w:hAnsi="Arial"/>
                <w:sz w:val="11"/>
                <w:szCs w:val="11"/>
                <w:color w:val="auto"/>
              </w:rPr>
              <w:t>Foreign exchange options</w:t>
            </w:r>
          </w:p>
        </w:tc>
        <w:tc>
          <w:tcPr>
            <w:tcW w:w="660" w:type="dxa"/>
            <w:vAlign w:val="bottom"/>
            <w:gridSpan w:val="3"/>
          </w:tcPr>
          <w:p>
            <w:pPr>
              <w:jc w:val="right"/>
              <w:ind w:right="160"/>
              <w:spacing w:after="0" w:line="123" w:lineRule="exact"/>
              <w:rPr>
                <w:sz w:val="20"/>
                <w:szCs w:val="20"/>
                <w:color w:val="auto"/>
              </w:rPr>
            </w:pPr>
            <w:r>
              <w:rPr>
                <w:rFonts w:ascii="Arial" w:cs="Arial" w:eastAsia="Arial" w:hAnsi="Arial"/>
                <w:sz w:val="11"/>
                <w:szCs w:val="11"/>
                <w:color w:val="auto"/>
              </w:rPr>
              <w:t>14,846</w:t>
            </w:r>
          </w:p>
        </w:tc>
        <w:tc>
          <w:tcPr>
            <w:tcW w:w="720" w:type="dxa"/>
            <w:vAlign w:val="bottom"/>
            <w:gridSpan w:val="4"/>
          </w:tcPr>
          <w:p>
            <w:pPr>
              <w:jc w:val="right"/>
              <w:ind w:right="180"/>
              <w:spacing w:after="0" w:line="123" w:lineRule="exact"/>
              <w:rPr>
                <w:sz w:val="20"/>
                <w:szCs w:val="20"/>
                <w:color w:val="auto"/>
              </w:rPr>
            </w:pPr>
            <w:r>
              <w:rPr>
                <w:rFonts w:ascii="Arial" w:cs="Arial" w:eastAsia="Arial" w:hAnsi="Arial"/>
                <w:sz w:val="11"/>
                <w:szCs w:val="11"/>
                <w:color w:val="auto"/>
              </w:rPr>
              <w:t>11,130</w:t>
            </w:r>
          </w:p>
        </w:tc>
        <w:tc>
          <w:tcPr>
            <w:tcW w:w="720" w:type="dxa"/>
            <w:vAlign w:val="bottom"/>
            <w:gridSpan w:val="4"/>
          </w:tcPr>
          <w:p>
            <w:pPr>
              <w:jc w:val="right"/>
              <w:ind w:right="180"/>
              <w:spacing w:after="0" w:line="123" w:lineRule="exact"/>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25,976</w:t>
            </w:r>
          </w:p>
        </w:tc>
        <w:tc>
          <w:tcPr>
            <w:tcW w:w="7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1,844</w:t>
            </w:r>
          </w:p>
        </w:tc>
        <w:tc>
          <w:tcPr>
            <w:tcW w:w="500" w:type="dxa"/>
            <w:vAlign w:val="bottom"/>
          </w:tcPr>
          <w:p>
            <w:pPr>
              <w:jc w:val="right"/>
              <w:spacing w:after="0" w:line="123" w:lineRule="exact"/>
              <w:rPr>
                <w:sz w:val="20"/>
                <w:szCs w:val="20"/>
                <w:color w:val="auto"/>
              </w:rPr>
            </w:pPr>
            <w:r>
              <w:rPr>
                <w:rFonts w:ascii="Arial" w:cs="Arial" w:eastAsia="Arial" w:hAnsi="Arial"/>
                <w:sz w:val="11"/>
                <w:szCs w:val="11"/>
                <w:color w:val="auto"/>
              </w:rPr>
              <w:t>4,645</w:t>
            </w:r>
          </w:p>
        </w:tc>
        <w:tc>
          <w:tcPr>
            <w:tcW w:w="100" w:type="dxa"/>
            <w:vAlign w:val="bottom"/>
          </w:tcPr>
          <w:p>
            <w:pPr>
              <w:spacing w:after="0"/>
              <w:rPr>
                <w:sz w:val="10"/>
                <w:szCs w:val="10"/>
                <w:color w:val="auto"/>
              </w:rPr>
            </w:pPr>
          </w:p>
        </w:tc>
        <w:tc>
          <w:tcPr>
            <w:tcW w:w="840" w:type="dxa"/>
            <w:vAlign w:val="bottom"/>
            <w:gridSpan w:val="3"/>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6,489</w:t>
            </w:r>
          </w:p>
        </w:tc>
        <w:tc>
          <w:tcPr>
            <w:tcW w:w="80" w:type="dxa"/>
            <w:vAlign w:val="bottom"/>
          </w:tcPr>
          <w:p>
            <w:pPr>
              <w:spacing w:after="0"/>
              <w:rPr>
                <w:sz w:val="10"/>
                <w:szCs w:val="10"/>
                <w:color w:val="auto"/>
              </w:rPr>
            </w:pPr>
          </w:p>
        </w:tc>
      </w:tr>
      <w:tr>
        <w:trPr>
          <w:trHeight w:val="135"/>
        </w:trPr>
        <w:tc>
          <w:tcPr>
            <w:tcW w:w="28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Futures</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gridSpan w:val="4"/>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4"/>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1"/>
                <w:szCs w:val="11"/>
                <w:color w:val="auto"/>
              </w:rPr>
            </w:pPr>
          </w:p>
        </w:tc>
      </w:tr>
      <w:tr>
        <w:trPr>
          <w:trHeight w:val="115"/>
        </w:trPr>
        <w:tc>
          <w:tcPr>
            <w:tcW w:w="282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Total assets</w:t>
            </w:r>
          </w:p>
        </w:tc>
        <w:tc>
          <w:tcPr>
            <w:tcW w:w="50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371,345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286,578</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220,991</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91,704</w:t>
            </w:r>
          </w:p>
        </w:tc>
        <w:tc>
          <w:tcPr>
            <w:tcW w:w="22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695,163</w:t>
            </w:r>
          </w:p>
        </w:tc>
        <w:tc>
          <w:tcPr>
            <w:tcW w:w="22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1,665,781</w:t>
            </w:r>
          </w:p>
        </w:tc>
        <w:tc>
          <w:tcPr>
            <w:tcW w:w="220" w:type="dxa"/>
            <w:vAlign w:val="bottom"/>
          </w:tcPr>
          <w:p>
            <w:pPr>
              <w:spacing w:after="0"/>
              <w:rPr>
                <w:sz w:val="10"/>
                <w:szCs w:val="10"/>
                <w:color w:val="auto"/>
              </w:rPr>
            </w:pPr>
          </w:p>
        </w:tc>
        <w:tc>
          <w:tcPr>
            <w:tcW w:w="480" w:type="dxa"/>
            <w:vAlign w:val="bottom"/>
            <w:tcBorders>
              <w:top w:val="single" w:sz="8" w:color="auto"/>
              <w:bottom w:val="single" w:sz="8" w:color="auto"/>
            </w:tcBorders>
          </w:tcPr>
          <w:p>
            <w:pPr>
              <w:ind w:left="120"/>
              <w:spacing w:after="0" w:line="115" w:lineRule="exact"/>
              <w:rPr>
                <w:sz w:val="20"/>
                <w:szCs w:val="20"/>
                <w:color w:val="auto"/>
              </w:rPr>
            </w:pPr>
            <w:r>
              <w:rPr>
                <w:rFonts w:ascii="Arial" w:cs="Arial" w:eastAsia="Arial" w:hAnsi="Arial"/>
                <w:sz w:val="11"/>
                <w:szCs w:val="11"/>
                <w:color w:val="auto"/>
                <w:w w:val="85"/>
              </w:rPr>
              <w:t>211,764</w:t>
            </w:r>
          </w:p>
        </w:tc>
        <w:tc>
          <w:tcPr>
            <w:tcW w:w="22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218,687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144,085</w:t>
            </w:r>
          </w:p>
        </w:tc>
        <w:tc>
          <w:tcPr>
            <w:tcW w:w="22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75,893</w:t>
            </w:r>
          </w:p>
        </w:tc>
        <w:tc>
          <w:tcPr>
            <w:tcW w:w="22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342,507</w:t>
            </w:r>
          </w:p>
        </w:tc>
        <w:tc>
          <w:tcPr>
            <w:tcW w:w="22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992,936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324"/>
        </w:trPr>
        <w:tc>
          <w:tcPr>
            <w:tcW w:w="27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1"/>
                <w:szCs w:val="11"/>
                <w:b w:val="1"/>
                <w:bCs w:val="1"/>
                <w:color w:val="auto"/>
              </w:rPr>
              <w:t>As of March 31, 2020</w:t>
            </w: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ind w:left="100"/>
              <w:spacing w:after="0"/>
              <w:rPr>
                <w:sz w:val="20"/>
                <w:szCs w:val="20"/>
                <w:color w:val="auto"/>
              </w:rPr>
            </w:pPr>
            <w:r>
              <w:rPr>
                <w:rFonts w:ascii="Arial" w:cs="Arial" w:eastAsia="Arial" w:hAnsi="Arial"/>
                <w:sz w:val="11"/>
                <w:szCs w:val="11"/>
                <w:b w:val="1"/>
                <w:bCs w:val="1"/>
                <w:color w:val="auto"/>
              </w:rPr>
              <w:t>As of December 31, 2019</w:t>
            </w: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99"/>
        </w:trPr>
        <w:tc>
          <w:tcPr>
            <w:tcW w:w="2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3"/>
          </w:tcPr>
          <w:p>
            <w:pPr>
              <w:jc w:val="center"/>
              <w:ind w:right="260"/>
              <w:spacing w:after="0" w:line="100" w:lineRule="exact"/>
              <w:rPr>
                <w:sz w:val="20"/>
                <w:szCs w:val="20"/>
                <w:color w:val="auto"/>
              </w:rPr>
            </w:pPr>
            <w:r>
              <w:rPr>
                <w:rFonts w:ascii="Arial" w:cs="Arial" w:eastAsia="Arial" w:hAnsi="Arial"/>
                <w:sz w:val="11"/>
                <w:szCs w:val="11"/>
                <w:b w:val="1"/>
                <w:bCs w:val="1"/>
                <w:color w:val="auto"/>
                <w:w w:val="98"/>
              </w:rPr>
              <w:t>From 3</w:t>
            </w:r>
          </w:p>
        </w:tc>
        <w:tc>
          <w:tcPr>
            <w:tcW w:w="720" w:type="dxa"/>
            <w:vAlign w:val="bottom"/>
            <w:gridSpan w:val="4"/>
          </w:tcPr>
          <w:p>
            <w:pPr>
              <w:jc w:val="center"/>
              <w:ind w:right="240"/>
              <w:spacing w:after="0" w:line="100" w:lineRule="exact"/>
              <w:rPr>
                <w:sz w:val="20"/>
                <w:szCs w:val="20"/>
                <w:color w:val="auto"/>
              </w:rPr>
            </w:pPr>
            <w:r>
              <w:rPr>
                <w:rFonts w:ascii="Arial" w:cs="Arial" w:eastAsia="Arial" w:hAnsi="Arial"/>
                <w:sz w:val="11"/>
                <w:szCs w:val="11"/>
                <w:b w:val="1"/>
                <w:bCs w:val="1"/>
                <w:color w:val="auto"/>
                <w:w w:val="95"/>
              </w:rPr>
              <w:t>From 1 to</w:t>
            </w:r>
          </w:p>
        </w:tc>
        <w:tc>
          <w:tcPr>
            <w:tcW w:w="700" w:type="dxa"/>
            <w:vAlign w:val="bottom"/>
            <w:gridSpan w:val="3"/>
          </w:tcPr>
          <w:p>
            <w:pPr>
              <w:jc w:val="right"/>
              <w:ind w:right="220"/>
              <w:spacing w:after="0" w:line="100" w:lineRule="exact"/>
              <w:rPr>
                <w:sz w:val="20"/>
                <w:szCs w:val="20"/>
                <w:color w:val="auto"/>
              </w:rPr>
            </w:pPr>
            <w:r>
              <w:rPr>
                <w:rFonts w:ascii="Arial" w:cs="Arial" w:eastAsia="Arial" w:hAnsi="Arial"/>
                <w:sz w:val="11"/>
                <w:szCs w:val="11"/>
                <w:b w:val="1"/>
                <w:bCs w:val="1"/>
                <w:color w:val="auto"/>
                <w:w w:val="91"/>
              </w:rPr>
              <w:t>From 3 to</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gridSpan w:val="2"/>
          </w:tcPr>
          <w:p>
            <w:pPr>
              <w:jc w:val="center"/>
              <w:ind w:right="80"/>
              <w:spacing w:after="0" w:line="100" w:lineRule="exact"/>
              <w:rPr>
                <w:sz w:val="20"/>
                <w:szCs w:val="20"/>
                <w:color w:val="auto"/>
              </w:rPr>
            </w:pPr>
            <w:r>
              <w:rPr>
                <w:rFonts w:ascii="Arial" w:cs="Arial" w:eastAsia="Arial" w:hAnsi="Arial"/>
                <w:sz w:val="11"/>
                <w:szCs w:val="11"/>
                <w:b w:val="1"/>
                <w:bCs w:val="1"/>
                <w:color w:val="auto"/>
                <w:w w:val="98"/>
              </w:rPr>
              <w:t>From 3</w:t>
            </w:r>
          </w:p>
        </w:tc>
        <w:tc>
          <w:tcPr>
            <w:tcW w:w="120" w:type="dxa"/>
            <w:vAlign w:val="bottom"/>
          </w:tcPr>
          <w:p>
            <w:pPr>
              <w:spacing w:after="0"/>
              <w:rPr>
                <w:sz w:val="8"/>
                <w:szCs w:val="8"/>
                <w:color w:val="auto"/>
              </w:rPr>
            </w:pPr>
          </w:p>
        </w:tc>
        <w:tc>
          <w:tcPr>
            <w:tcW w:w="720" w:type="dxa"/>
            <w:vAlign w:val="bottom"/>
            <w:gridSpan w:val="2"/>
          </w:tcPr>
          <w:p>
            <w:pPr>
              <w:jc w:val="center"/>
              <w:ind w:right="240"/>
              <w:spacing w:after="0" w:line="100" w:lineRule="exact"/>
              <w:rPr>
                <w:sz w:val="20"/>
                <w:szCs w:val="20"/>
                <w:color w:val="auto"/>
              </w:rPr>
            </w:pPr>
            <w:r>
              <w:rPr>
                <w:rFonts w:ascii="Arial" w:cs="Arial" w:eastAsia="Arial" w:hAnsi="Arial"/>
                <w:sz w:val="11"/>
                <w:szCs w:val="11"/>
                <w:b w:val="1"/>
                <w:bCs w:val="1"/>
                <w:color w:val="auto"/>
                <w:w w:val="95"/>
              </w:rPr>
              <w:t>From 1 to</w:t>
            </w:r>
          </w:p>
        </w:tc>
        <w:tc>
          <w:tcPr>
            <w:tcW w:w="66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98"/>
              </w:rPr>
              <w:t>From 3</w:t>
            </w: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35"/>
        </w:trPr>
        <w:tc>
          <w:tcPr>
            <w:tcW w:w="2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tcPr>
          <w:p>
            <w:pPr>
              <w:ind w:left="20"/>
              <w:spacing w:after="0"/>
              <w:rPr>
                <w:sz w:val="20"/>
                <w:szCs w:val="20"/>
                <w:color w:val="auto"/>
              </w:rPr>
            </w:pPr>
            <w:r>
              <w:rPr>
                <w:rFonts w:ascii="Arial" w:cs="Arial" w:eastAsia="Arial" w:hAnsi="Arial"/>
                <w:sz w:val="11"/>
                <w:szCs w:val="11"/>
                <w:b w:val="1"/>
                <w:bCs w:val="1"/>
                <w:color w:val="auto"/>
              </w:rPr>
              <w:t>Up to 3</w:t>
            </w:r>
          </w:p>
        </w:tc>
        <w:tc>
          <w:tcPr>
            <w:tcW w:w="60" w:type="dxa"/>
            <w:vAlign w:val="bottom"/>
          </w:tcPr>
          <w:p>
            <w:pPr>
              <w:spacing w:after="0"/>
              <w:rPr>
                <w:sz w:val="11"/>
                <w:szCs w:val="11"/>
                <w:color w:val="auto"/>
              </w:rPr>
            </w:pPr>
          </w:p>
        </w:tc>
        <w:tc>
          <w:tcPr>
            <w:tcW w:w="66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0"/>
              </w:rPr>
              <w:t>months</w:t>
            </w:r>
          </w:p>
        </w:tc>
        <w:tc>
          <w:tcPr>
            <w:tcW w:w="50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3</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5</w:t>
            </w:r>
          </w:p>
        </w:tc>
        <w:tc>
          <w:tcPr>
            <w:tcW w:w="220" w:type="dxa"/>
            <w:vAlign w:val="bottom"/>
          </w:tcPr>
          <w:p>
            <w:pPr>
              <w:spacing w:after="0"/>
              <w:rPr>
                <w:sz w:val="11"/>
                <w:szCs w:val="11"/>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Over 5</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Up to 3</w:t>
            </w:r>
          </w:p>
        </w:tc>
        <w:tc>
          <w:tcPr>
            <w:tcW w:w="6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months</w:t>
            </w:r>
          </w:p>
        </w:tc>
        <w:tc>
          <w:tcPr>
            <w:tcW w:w="620" w:type="dxa"/>
            <w:vAlign w:val="bottom"/>
            <w:gridSpan w:val="2"/>
          </w:tcPr>
          <w:p>
            <w:pPr>
              <w:jc w:val="center"/>
              <w:ind w:left="63"/>
              <w:spacing w:after="0"/>
              <w:rPr>
                <w:sz w:val="20"/>
                <w:szCs w:val="20"/>
                <w:color w:val="auto"/>
              </w:rPr>
            </w:pPr>
            <w:r>
              <w:rPr>
                <w:rFonts w:ascii="Arial" w:cs="Arial" w:eastAsia="Arial" w:hAnsi="Arial"/>
                <w:sz w:val="11"/>
                <w:szCs w:val="11"/>
                <w:b w:val="1"/>
                <w:bCs w:val="1"/>
                <w:color w:val="auto"/>
                <w:w w:val="97"/>
              </w:rPr>
              <w:t>3</w:t>
            </w:r>
          </w:p>
        </w:tc>
        <w:tc>
          <w:tcPr>
            <w:tcW w:w="220" w:type="dxa"/>
            <w:vAlign w:val="bottom"/>
          </w:tcPr>
          <w:p>
            <w:pPr>
              <w:spacing w:after="0"/>
              <w:rPr>
                <w:sz w:val="11"/>
                <w:szCs w:val="11"/>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 5</w:t>
            </w:r>
          </w:p>
        </w:tc>
        <w:tc>
          <w:tcPr>
            <w:tcW w:w="7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Over 5</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9"/>
        </w:trPr>
        <w:tc>
          <w:tcPr>
            <w:tcW w:w="2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months</w:t>
            </w:r>
          </w:p>
        </w:tc>
        <w:tc>
          <w:tcPr>
            <w:tcW w:w="72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2"/>
              </w:rPr>
              <w:t>to 1 year</w:t>
            </w:r>
          </w:p>
        </w:tc>
        <w:tc>
          <w:tcPr>
            <w:tcW w:w="40" w:type="dxa"/>
            <w:vAlign w:val="bottom"/>
          </w:tcPr>
          <w:p>
            <w:pPr>
              <w:spacing w:after="0"/>
              <w:rPr>
                <w:sz w:val="12"/>
                <w:szCs w:val="12"/>
                <w:color w:val="auto"/>
              </w:rPr>
            </w:pPr>
          </w:p>
        </w:tc>
        <w:tc>
          <w:tcPr>
            <w:tcW w:w="68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0"/>
              </w:rPr>
              <w:t>years</w:t>
            </w:r>
          </w:p>
        </w:tc>
        <w:tc>
          <w:tcPr>
            <w:tcW w:w="40" w:type="dxa"/>
            <w:vAlign w:val="bottom"/>
          </w:tcPr>
          <w:p>
            <w:pPr>
              <w:spacing w:after="0"/>
              <w:rPr>
                <w:sz w:val="12"/>
                <w:szCs w:val="12"/>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years</w:t>
            </w: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years</w:t>
            </w: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months</w:t>
            </w:r>
          </w:p>
        </w:tc>
        <w:tc>
          <w:tcPr>
            <w:tcW w:w="6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to 1 year</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years</w:t>
            </w:r>
          </w:p>
        </w:tc>
        <w:tc>
          <w:tcPr>
            <w:tcW w:w="6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years</w:t>
            </w:r>
          </w:p>
        </w:tc>
        <w:tc>
          <w:tcPr>
            <w:tcW w:w="7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years</w:t>
            </w:r>
          </w:p>
        </w:tc>
        <w:tc>
          <w:tcPr>
            <w:tcW w:w="6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8"/>
              </w:rPr>
              <w:t>Total</w:t>
            </w:r>
          </w:p>
        </w:tc>
      </w:tr>
      <w:tr>
        <w:trPr>
          <w:trHeight w:val="115"/>
        </w:trPr>
        <w:tc>
          <w:tcPr>
            <w:tcW w:w="27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ind w:left="40"/>
              <w:spacing w:after="0" w:line="115" w:lineRule="exact"/>
              <w:rPr>
                <w:sz w:val="20"/>
                <w:szCs w:val="20"/>
                <w:color w:val="auto"/>
              </w:rPr>
            </w:pPr>
            <w:r>
              <w:rPr>
                <w:rFonts w:ascii="Arial" w:cs="Arial" w:eastAsia="Arial" w:hAnsi="Arial"/>
                <w:sz w:val="11"/>
                <w:szCs w:val="11"/>
                <w:b w:val="1"/>
                <w:bCs w:val="1"/>
                <w:color w:val="auto"/>
              </w:rPr>
              <w:t>S/(000)</w:t>
            </w:r>
          </w:p>
        </w:tc>
        <w:tc>
          <w:tcPr>
            <w:tcW w:w="220" w:type="dxa"/>
            <w:vAlign w:val="bottom"/>
            <w:gridSpan w:val="2"/>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center"/>
              <w:ind w:right="3"/>
              <w:spacing w:after="0" w:line="115" w:lineRule="exact"/>
              <w:rPr>
                <w:sz w:val="20"/>
                <w:szCs w:val="20"/>
                <w:color w:val="auto"/>
              </w:rPr>
            </w:pPr>
            <w:r>
              <w:rPr>
                <w:rFonts w:ascii="Arial" w:cs="Arial" w:eastAsia="Arial" w:hAnsi="Arial"/>
                <w:sz w:val="11"/>
                <w:szCs w:val="11"/>
                <w:b w:val="1"/>
                <w:bCs w:val="1"/>
                <w:color w:val="auto"/>
                <w:w w:val="94"/>
              </w:rPr>
              <w:t>S/(000)</w:t>
            </w:r>
          </w:p>
        </w:tc>
        <w:tc>
          <w:tcPr>
            <w:tcW w:w="220" w:type="dxa"/>
            <w:vAlign w:val="bottom"/>
            <w:gridSpan w:val="2"/>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20" w:type="dxa"/>
            <w:vAlign w:val="bottom"/>
            <w:gridSpan w:val="2"/>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center"/>
              <w:ind w:right="3"/>
              <w:spacing w:after="0" w:line="115" w:lineRule="exact"/>
              <w:rPr>
                <w:sz w:val="20"/>
                <w:szCs w:val="20"/>
                <w:color w:val="auto"/>
              </w:rPr>
            </w:pPr>
            <w:r>
              <w:rPr>
                <w:rFonts w:ascii="Arial" w:cs="Arial" w:eastAsia="Arial" w:hAnsi="Arial"/>
                <w:sz w:val="11"/>
                <w:szCs w:val="11"/>
                <w:b w:val="1"/>
                <w:bCs w:val="1"/>
                <w:color w:val="auto"/>
                <w:w w:val="94"/>
              </w:rPr>
              <w:t>S/(000)</w:t>
            </w:r>
          </w:p>
        </w:tc>
        <w:tc>
          <w:tcPr>
            <w:tcW w:w="220" w:type="dxa"/>
            <w:vAlign w:val="bottom"/>
          </w:tcPr>
          <w:p>
            <w:pPr>
              <w:spacing w:after="0"/>
              <w:rPr>
                <w:sz w:val="10"/>
                <w:szCs w:val="10"/>
                <w:color w:val="auto"/>
              </w:rPr>
            </w:pPr>
          </w:p>
        </w:tc>
        <w:tc>
          <w:tcPr>
            <w:tcW w:w="5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20" w:type="dxa"/>
            <w:vAlign w:val="bottom"/>
          </w:tcPr>
          <w:p>
            <w:pPr>
              <w:spacing w:after="0"/>
              <w:rPr>
                <w:sz w:val="10"/>
                <w:szCs w:val="10"/>
                <w:color w:val="auto"/>
              </w:rPr>
            </w:pPr>
          </w:p>
        </w:tc>
        <w:tc>
          <w:tcPr>
            <w:tcW w:w="5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20" w:type="dxa"/>
            <w:vAlign w:val="bottom"/>
          </w:tcPr>
          <w:p>
            <w:pPr>
              <w:spacing w:after="0"/>
              <w:rPr>
                <w:sz w:val="10"/>
                <w:szCs w:val="10"/>
                <w:color w:val="auto"/>
              </w:rPr>
            </w:pPr>
          </w:p>
        </w:tc>
        <w:tc>
          <w:tcPr>
            <w:tcW w:w="480" w:type="dxa"/>
            <w:vAlign w:val="bottom"/>
            <w:tcBorders>
              <w:top w:val="single" w:sz="8" w:color="auto"/>
            </w:tcBorders>
          </w:tcPr>
          <w:p>
            <w:pPr>
              <w:ind w:left="60"/>
              <w:spacing w:after="0" w:line="115" w:lineRule="exact"/>
              <w:rPr>
                <w:sz w:val="20"/>
                <w:szCs w:val="20"/>
                <w:color w:val="auto"/>
              </w:rPr>
            </w:pPr>
            <w:r>
              <w:rPr>
                <w:rFonts w:ascii="Arial" w:cs="Arial" w:eastAsia="Arial" w:hAnsi="Arial"/>
                <w:sz w:val="11"/>
                <w:szCs w:val="11"/>
                <w:b w:val="1"/>
                <w:bCs w:val="1"/>
                <w:color w:val="auto"/>
              </w:rPr>
              <w:t>S/(000)</w:t>
            </w:r>
          </w:p>
        </w:tc>
        <w:tc>
          <w:tcPr>
            <w:tcW w:w="220" w:type="dxa"/>
            <w:vAlign w:val="bottom"/>
          </w:tcPr>
          <w:p>
            <w:pPr>
              <w:spacing w:after="0"/>
              <w:rPr>
                <w:sz w:val="10"/>
                <w:szCs w:val="10"/>
                <w:color w:val="auto"/>
              </w:rPr>
            </w:pPr>
          </w:p>
        </w:tc>
        <w:tc>
          <w:tcPr>
            <w:tcW w:w="5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20" w:type="dxa"/>
            <w:vAlign w:val="bottom"/>
          </w:tcPr>
          <w:p>
            <w:pPr>
              <w:spacing w:after="0"/>
              <w:rPr>
                <w:sz w:val="10"/>
                <w:szCs w:val="10"/>
                <w:color w:val="auto"/>
              </w:rPr>
            </w:pPr>
          </w:p>
        </w:tc>
        <w:tc>
          <w:tcPr>
            <w:tcW w:w="4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20" w:type="dxa"/>
            <w:vAlign w:val="bottom"/>
          </w:tcPr>
          <w:p>
            <w:pPr>
              <w:spacing w:after="0"/>
              <w:rPr>
                <w:sz w:val="10"/>
                <w:szCs w:val="10"/>
                <w:color w:val="auto"/>
              </w:rPr>
            </w:pPr>
          </w:p>
        </w:tc>
        <w:tc>
          <w:tcPr>
            <w:tcW w:w="4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9"/>
              </w:rPr>
              <w:t>S/(000)</w:t>
            </w:r>
          </w:p>
        </w:tc>
        <w:tc>
          <w:tcPr>
            <w:tcW w:w="220" w:type="dxa"/>
            <w:vAlign w:val="bottom"/>
          </w:tcPr>
          <w:p>
            <w:pPr>
              <w:spacing w:after="0"/>
              <w:rPr>
                <w:sz w:val="10"/>
                <w:szCs w:val="10"/>
                <w:color w:val="auto"/>
              </w:rPr>
            </w:pPr>
          </w:p>
        </w:tc>
        <w:tc>
          <w:tcPr>
            <w:tcW w:w="5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00" w:type="dxa"/>
            <w:vAlign w:val="bottom"/>
            <w:gridSpan w:val="2"/>
          </w:tcPr>
          <w:p>
            <w:pPr>
              <w:spacing w:after="0"/>
              <w:rPr>
                <w:sz w:val="10"/>
                <w:szCs w:val="10"/>
                <w:color w:val="auto"/>
              </w:rPr>
            </w:pPr>
          </w:p>
        </w:tc>
      </w:tr>
      <w:tr>
        <w:trPr>
          <w:trHeight w:val="123"/>
        </w:trPr>
        <w:tc>
          <w:tcPr>
            <w:tcW w:w="2820" w:type="dxa"/>
            <w:vAlign w:val="bottom"/>
            <w:gridSpan w:val="2"/>
            <w:shd w:val="clear" w:color="auto" w:fill="CCEEFF"/>
          </w:tcPr>
          <w:p>
            <w:pPr>
              <w:spacing w:after="0" w:line="123" w:lineRule="exact"/>
              <w:rPr>
                <w:sz w:val="20"/>
                <w:szCs w:val="20"/>
                <w:color w:val="auto"/>
              </w:rPr>
            </w:pPr>
            <w:r>
              <w:rPr>
                <w:rFonts w:ascii="Arial" w:cs="Arial" w:eastAsia="Arial" w:hAnsi="Arial"/>
                <w:sz w:val="11"/>
                <w:szCs w:val="11"/>
                <w:color w:val="auto"/>
              </w:rPr>
              <w:t>Foreign currency forwards</w:t>
            </w:r>
          </w:p>
        </w:tc>
        <w:tc>
          <w:tcPr>
            <w:tcW w:w="4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310,699</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gridSpan w:val="3"/>
            <w:shd w:val="clear" w:color="auto" w:fill="CCEEFF"/>
          </w:tcPr>
          <w:p>
            <w:pPr>
              <w:jc w:val="right"/>
              <w:ind w:right="40"/>
              <w:spacing w:after="0" w:line="123" w:lineRule="exact"/>
              <w:rPr>
                <w:sz w:val="20"/>
                <w:szCs w:val="20"/>
                <w:color w:val="auto"/>
              </w:rPr>
            </w:pPr>
            <w:r>
              <w:rPr>
                <w:rFonts w:ascii="Arial" w:cs="Arial" w:eastAsia="Arial" w:hAnsi="Arial"/>
                <w:sz w:val="11"/>
                <w:szCs w:val="11"/>
                <w:color w:val="auto"/>
              </w:rPr>
              <w:t>111,613</w:t>
            </w:r>
          </w:p>
        </w:tc>
        <w:tc>
          <w:tcPr>
            <w:tcW w:w="180" w:type="dxa"/>
            <w:vAlign w:val="bottom"/>
            <w:shd w:val="clear" w:color="auto" w:fill="CCEEFF"/>
          </w:tcPr>
          <w:p>
            <w:pPr>
              <w:spacing w:after="0"/>
              <w:rPr>
                <w:sz w:val="10"/>
                <w:szCs w:val="10"/>
                <w:color w:val="auto"/>
              </w:rPr>
            </w:pPr>
          </w:p>
        </w:tc>
        <w:tc>
          <w:tcPr>
            <w:tcW w:w="540" w:type="dxa"/>
            <w:vAlign w:val="bottom"/>
            <w:gridSpan w:val="3"/>
            <w:shd w:val="clear" w:color="auto" w:fill="CCEEFF"/>
          </w:tcPr>
          <w:p>
            <w:pPr>
              <w:jc w:val="right"/>
              <w:ind w:right="40"/>
              <w:spacing w:after="0" w:line="123" w:lineRule="exact"/>
              <w:rPr>
                <w:sz w:val="20"/>
                <w:szCs w:val="20"/>
                <w:color w:val="auto"/>
              </w:rPr>
            </w:pPr>
            <w:r>
              <w:rPr>
                <w:rFonts w:ascii="Arial" w:cs="Arial" w:eastAsia="Arial" w:hAnsi="Arial"/>
                <w:sz w:val="11"/>
                <w:szCs w:val="11"/>
                <w:color w:val="auto"/>
              </w:rPr>
              <w:t>4,764</w:t>
            </w:r>
          </w:p>
        </w:tc>
        <w:tc>
          <w:tcPr>
            <w:tcW w:w="180" w:type="dxa"/>
            <w:vAlign w:val="bottom"/>
            <w:shd w:val="clear" w:color="auto" w:fill="CCEEFF"/>
          </w:tcPr>
          <w:p>
            <w:pPr>
              <w:spacing w:after="0"/>
              <w:rPr>
                <w:sz w:val="10"/>
                <w:szCs w:val="10"/>
                <w:color w:val="auto"/>
              </w:rPr>
            </w:pPr>
          </w:p>
        </w:tc>
        <w:tc>
          <w:tcPr>
            <w:tcW w:w="700" w:type="dxa"/>
            <w:vAlign w:val="bottom"/>
            <w:gridSpan w:val="3"/>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427,076</w:t>
            </w:r>
          </w:p>
        </w:tc>
        <w:tc>
          <w:tcPr>
            <w:tcW w:w="7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154,424</w:t>
            </w:r>
          </w:p>
        </w:tc>
        <w:tc>
          <w:tcPr>
            <w:tcW w:w="600" w:type="dxa"/>
            <w:vAlign w:val="bottom"/>
            <w:gridSpan w:val="2"/>
            <w:shd w:val="clear" w:color="auto" w:fill="CCEEFF"/>
          </w:tcPr>
          <w:p>
            <w:pPr>
              <w:jc w:val="right"/>
              <w:ind w:right="100"/>
              <w:spacing w:after="0" w:line="123" w:lineRule="exact"/>
              <w:rPr>
                <w:sz w:val="20"/>
                <w:szCs w:val="20"/>
                <w:color w:val="auto"/>
              </w:rPr>
            </w:pPr>
            <w:r>
              <w:rPr>
                <w:rFonts w:ascii="Arial" w:cs="Arial" w:eastAsia="Arial" w:hAnsi="Arial"/>
                <w:sz w:val="11"/>
                <w:szCs w:val="11"/>
                <w:color w:val="auto"/>
              </w:rPr>
              <w:t>89,739</w:t>
            </w:r>
          </w:p>
        </w:tc>
        <w:tc>
          <w:tcPr>
            <w:tcW w:w="62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2,797</w:t>
            </w:r>
          </w:p>
        </w:tc>
        <w:tc>
          <w:tcPr>
            <w:tcW w:w="2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246,960</w:t>
            </w:r>
          </w:p>
        </w:tc>
        <w:tc>
          <w:tcPr>
            <w:tcW w:w="80" w:type="dxa"/>
            <w:vAlign w:val="bottom"/>
            <w:shd w:val="clear" w:color="auto" w:fill="CCEEFF"/>
          </w:tcPr>
          <w:p>
            <w:pPr>
              <w:spacing w:after="0"/>
              <w:rPr>
                <w:sz w:val="10"/>
                <w:szCs w:val="10"/>
                <w:color w:val="auto"/>
              </w:rPr>
            </w:pPr>
          </w:p>
        </w:tc>
      </w:tr>
      <w:tr>
        <w:trPr>
          <w:trHeight w:val="123"/>
        </w:trPr>
        <w:tc>
          <w:tcPr>
            <w:tcW w:w="2820" w:type="dxa"/>
            <w:vAlign w:val="bottom"/>
            <w:gridSpan w:val="2"/>
          </w:tcPr>
          <w:p>
            <w:pPr>
              <w:spacing w:after="0" w:line="123" w:lineRule="exact"/>
              <w:rPr>
                <w:sz w:val="20"/>
                <w:szCs w:val="20"/>
                <w:color w:val="auto"/>
              </w:rPr>
            </w:pPr>
            <w:r>
              <w:rPr>
                <w:rFonts w:ascii="Arial" w:cs="Arial" w:eastAsia="Arial" w:hAnsi="Arial"/>
                <w:sz w:val="11"/>
                <w:szCs w:val="11"/>
                <w:color w:val="auto"/>
              </w:rPr>
              <w:t>Interest rate swaps</w:t>
            </w:r>
          </w:p>
        </w:tc>
        <w:tc>
          <w:tcPr>
            <w:tcW w:w="500" w:type="dxa"/>
            <w:vAlign w:val="bottom"/>
            <w:gridSpan w:val="2"/>
          </w:tcPr>
          <w:p>
            <w:pPr>
              <w:jc w:val="right"/>
              <w:ind w:right="60"/>
              <w:spacing w:after="0" w:line="123" w:lineRule="exact"/>
              <w:rPr>
                <w:sz w:val="20"/>
                <w:szCs w:val="20"/>
                <w:color w:val="auto"/>
              </w:rPr>
            </w:pPr>
            <w:r>
              <w:rPr>
                <w:rFonts w:ascii="Arial" w:cs="Arial" w:eastAsia="Arial" w:hAnsi="Arial"/>
                <w:sz w:val="11"/>
                <w:szCs w:val="11"/>
                <w:color w:val="auto"/>
              </w:rPr>
              <w:t>16,745</w:t>
            </w:r>
          </w:p>
        </w:tc>
        <w:tc>
          <w:tcPr>
            <w:tcW w:w="160" w:type="dxa"/>
            <w:vAlign w:val="bottom"/>
          </w:tcPr>
          <w:p>
            <w:pPr>
              <w:spacing w:after="0"/>
              <w:rPr>
                <w:sz w:val="10"/>
                <w:szCs w:val="10"/>
                <w:color w:val="auto"/>
              </w:rPr>
            </w:pPr>
          </w:p>
        </w:tc>
        <w:tc>
          <w:tcPr>
            <w:tcW w:w="540" w:type="dxa"/>
            <w:vAlign w:val="bottom"/>
            <w:gridSpan w:val="3"/>
          </w:tcPr>
          <w:p>
            <w:pPr>
              <w:jc w:val="right"/>
              <w:ind w:right="40"/>
              <w:spacing w:after="0" w:line="123" w:lineRule="exact"/>
              <w:rPr>
                <w:sz w:val="20"/>
                <w:szCs w:val="20"/>
                <w:color w:val="auto"/>
              </w:rPr>
            </w:pPr>
            <w:r>
              <w:rPr>
                <w:rFonts w:ascii="Arial" w:cs="Arial" w:eastAsia="Arial" w:hAnsi="Arial"/>
                <w:sz w:val="11"/>
                <w:szCs w:val="11"/>
                <w:color w:val="auto"/>
              </w:rPr>
              <w:t>20,908</w:t>
            </w:r>
          </w:p>
        </w:tc>
        <w:tc>
          <w:tcPr>
            <w:tcW w:w="180" w:type="dxa"/>
            <w:vAlign w:val="bottom"/>
          </w:tcPr>
          <w:p>
            <w:pPr>
              <w:spacing w:after="0"/>
              <w:rPr>
                <w:sz w:val="10"/>
                <w:szCs w:val="10"/>
                <w:color w:val="auto"/>
              </w:rPr>
            </w:pPr>
          </w:p>
        </w:tc>
        <w:tc>
          <w:tcPr>
            <w:tcW w:w="540" w:type="dxa"/>
            <w:vAlign w:val="bottom"/>
            <w:gridSpan w:val="3"/>
          </w:tcPr>
          <w:p>
            <w:pPr>
              <w:jc w:val="right"/>
              <w:ind w:right="40"/>
              <w:spacing w:after="0" w:line="123" w:lineRule="exact"/>
              <w:rPr>
                <w:sz w:val="20"/>
                <w:szCs w:val="20"/>
                <w:color w:val="auto"/>
              </w:rPr>
            </w:pPr>
            <w:r>
              <w:rPr>
                <w:rFonts w:ascii="Arial" w:cs="Arial" w:eastAsia="Arial" w:hAnsi="Arial"/>
                <w:sz w:val="11"/>
                <w:szCs w:val="11"/>
                <w:color w:val="auto"/>
              </w:rPr>
              <w:t>99,918</w:t>
            </w:r>
          </w:p>
        </w:tc>
        <w:tc>
          <w:tcPr>
            <w:tcW w:w="180" w:type="dxa"/>
            <w:vAlign w:val="bottom"/>
          </w:tcPr>
          <w:p>
            <w:pPr>
              <w:spacing w:after="0"/>
              <w:rPr>
                <w:sz w:val="10"/>
                <w:szCs w:val="10"/>
                <w:color w:val="auto"/>
              </w:rPr>
            </w:pPr>
          </w:p>
        </w:tc>
        <w:tc>
          <w:tcPr>
            <w:tcW w:w="700" w:type="dxa"/>
            <w:vAlign w:val="bottom"/>
            <w:gridSpan w:val="3"/>
          </w:tcPr>
          <w:p>
            <w:pPr>
              <w:jc w:val="right"/>
              <w:ind w:right="220"/>
              <w:spacing w:after="0" w:line="123" w:lineRule="exact"/>
              <w:rPr>
                <w:sz w:val="20"/>
                <w:szCs w:val="20"/>
                <w:color w:val="auto"/>
              </w:rPr>
            </w:pPr>
            <w:r>
              <w:rPr>
                <w:rFonts w:ascii="Arial" w:cs="Arial" w:eastAsia="Arial" w:hAnsi="Arial"/>
                <w:sz w:val="11"/>
                <w:szCs w:val="11"/>
                <w:color w:val="auto"/>
              </w:rPr>
              <w:t>59,901</w:t>
            </w:r>
          </w:p>
        </w:tc>
        <w:tc>
          <w:tcPr>
            <w:tcW w:w="72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671,976</w:t>
            </w:r>
          </w:p>
        </w:tc>
        <w:tc>
          <w:tcPr>
            <w:tcW w:w="8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869,448</w:t>
            </w:r>
          </w:p>
        </w:tc>
        <w:tc>
          <w:tcPr>
            <w:tcW w:w="7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7,705</w:t>
            </w:r>
          </w:p>
        </w:tc>
        <w:tc>
          <w:tcPr>
            <w:tcW w:w="600" w:type="dxa"/>
            <w:vAlign w:val="bottom"/>
            <w:gridSpan w:val="2"/>
          </w:tcPr>
          <w:p>
            <w:pPr>
              <w:jc w:val="right"/>
              <w:ind w:right="100"/>
              <w:spacing w:after="0" w:line="123" w:lineRule="exact"/>
              <w:rPr>
                <w:sz w:val="20"/>
                <w:szCs w:val="20"/>
                <w:color w:val="auto"/>
              </w:rPr>
            </w:pPr>
            <w:r>
              <w:rPr>
                <w:rFonts w:ascii="Arial" w:cs="Arial" w:eastAsia="Arial" w:hAnsi="Arial"/>
                <w:sz w:val="11"/>
                <w:szCs w:val="11"/>
                <w:color w:val="auto"/>
              </w:rPr>
              <w:t>13,837</w:t>
            </w:r>
          </w:p>
        </w:tc>
        <w:tc>
          <w:tcPr>
            <w:tcW w:w="840" w:type="dxa"/>
            <w:vAlign w:val="bottom"/>
            <w:gridSpan w:val="3"/>
          </w:tcPr>
          <w:p>
            <w:pPr>
              <w:jc w:val="right"/>
              <w:ind w:right="220"/>
              <w:spacing w:after="0" w:line="123" w:lineRule="exact"/>
              <w:rPr>
                <w:sz w:val="20"/>
                <w:szCs w:val="20"/>
                <w:color w:val="auto"/>
              </w:rPr>
            </w:pPr>
            <w:r>
              <w:rPr>
                <w:rFonts w:ascii="Arial" w:cs="Arial" w:eastAsia="Arial" w:hAnsi="Arial"/>
                <w:sz w:val="11"/>
                <w:szCs w:val="11"/>
                <w:color w:val="auto"/>
              </w:rPr>
              <w:t>46,840</w:t>
            </w:r>
          </w:p>
        </w:tc>
        <w:tc>
          <w:tcPr>
            <w:tcW w:w="66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18,477</w:t>
            </w:r>
          </w:p>
        </w:tc>
        <w:tc>
          <w:tcPr>
            <w:tcW w:w="7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264,079</w:t>
            </w:r>
          </w:p>
        </w:tc>
        <w:tc>
          <w:tcPr>
            <w:tcW w:w="52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350,938</w:t>
            </w:r>
          </w:p>
        </w:tc>
        <w:tc>
          <w:tcPr>
            <w:tcW w:w="80" w:type="dxa"/>
            <w:vAlign w:val="bottom"/>
          </w:tcPr>
          <w:p>
            <w:pPr>
              <w:spacing w:after="0"/>
              <w:rPr>
                <w:sz w:val="10"/>
                <w:szCs w:val="10"/>
                <w:color w:val="auto"/>
              </w:rPr>
            </w:pPr>
          </w:p>
        </w:tc>
      </w:tr>
      <w:tr>
        <w:trPr>
          <w:trHeight w:val="123"/>
        </w:trPr>
        <w:tc>
          <w:tcPr>
            <w:tcW w:w="2820" w:type="dxa"/>
            <w:vAlign w:val="bottom"/>
            <w:gridSpan w:val="2"/>
            <w:shd w:val="clear" w:color="auto" w:fill="CCEEFF"/>
          </w:tcPr>
          <w:p>
            <w:pPr>
              <w:spacing w:after="0" w:line="123" w:lineRule="exact"/>
              <w:rPr>
                <w:sz w:val="20"/>
                <w:szCs w:val="20"/>
                <w:color w:val="auto"/>
              </w:rPr>
            </w:pPr>
            <w:r>
              <w:rPr>
                <w:rFonts w:ascii="Arial" w:cs="Arial" w:eastAsia="Arial" w:hAnsi="Arial"/>
                <w:sz w:val="11"/>
                <w:szCs w:val="11"/>
                <w:color w:val="auto"/>
              </w:rPr>
              <w:t>Currency swaps</w:t>
            </w:r>
          </w:p>
        </w:tc>
        <w:tc>
          <w:tcPr>
            <w:tcW w:w="500" w:type="dxa"/>
            <w:vAlign w:val="bottom"/>
            <w:gridSpan w:val="2"/>
            <w:shd w:val="clear" w:color="auto" w:fill="CCEEFF"/>
          </w:tcPr>
          <w:p>
            <w:pPr>
              <w:jc w:val="right"/>
              <w:ind w:right="60"/>
              <w:spacing w:after="0" w:line="123" w:lineRule="exact"/>
              <w:rPr>
                <w:sz w:val="20"/>
                <w:szCs w:val="20"/>
                <w:color w:val="auto"/>
              </w:rPr>
            </w:pPr>
            <w:r>
              <w:rPr>
                <w:rFonts w:ascii="Arial" w:cs="Arial" w:eastAsia="Arial" w:hAnsi="Arial"/>
                <w:sz w:val="11"/>
                <w:szCs w:val="11"/>
                <w:color w:val="auto"/>
              </w:rPr>
              <w:t>34,887</w:t>
            </w:r>
          </w:p>
        </w:tc>
        <w:tc>
          <w:tcPr>
            <w:tcW w:w="160" w:type="dxa"/>
            <w:vAlign w:val="bottom"/>
            <w:shd w:val="clear" w:color="auto" w:fill="CCEEFF"/>
          </w:tcPr>
          <w:p>
            <w:pPr>
              <w:spacing w:after="0"/>
              <w:rPr>
                <w:sz w:val="10"/>
                <w:szCs w:val="10"/>
                <w:color w:val="auto"/>
              </w:rPr>
            </w:pPr>
          </w:p>
        </w:tc>
        <w:tc>
          <w:tcPr>
            <w:tcW w:w="540" w:type="dxa"/>
            <w:vAlign w:val="bottom"/>
            <w:gridSpan w:val="3"/>
            <w:shd w:val="clear" w:color="auto" w:fill="CCEEFF"/>
          </w:tcPr>
          <w:p>
            <w:pPr>
              <w:jc w:val="right"/>
              <w:ind w:right="40"/>
              <w:spacing w:after="0" w:line="123" w:lineRule="exact"/>
              <w:rPr>
                <w:sz w:val="20"/>
                <w:szCs w:val="20"/>
                <w:color w:val="auto"/>
              </w:rPr>
            </w:pPr>
            <w:r>
              <w:rPr>
                <w:rFonts w:ascii="Arial" w:cs="Arial" w:eastAsia="Arial" w:hAnsi="Arial"/>
                <w:sz w:val="11"/>
                <w:szCs w:val="11"/>
                <w:color w:val="auto"/>
              </w:rPr>
              <w:t>124,121</w:t>
            </w:r>
          </w:p>
        </w:tc>
        <w:tc>
          <w:tcPr>
            <w:tcW w:w="180" w:type="dxa"/>
            <w:vAlign w:val="bottom"/>
            <w:shd w:val="clear" w:color="auto" w:fill="CCEEFF"/>
          </w:tcPr>
          <w:p>
            <w:pPr>
              <w:spacing w:after="0"/>
              <w:rPr>
                <w:sz w:val="10"/>
                <w:szCs w:val="10"/>
                <w:color w:val="auto"/>
              </w:rPr>
            </w:pPr>
          </w:p>
        </w:tc>
        <w:tc>
          <w:tcPr>
            <w:tcW w:w="540" w:type="dxa"/>
            <w:vAlign w:val="bottom"/>
            <w:gridSpan w:val="3"/>
            <w:shd w:val="clear" w:color="auto" w:fill="CCEEFF"/>
          </w:tcPr>
          <w:p>
            <w:pPr>
              <w:jc w:val="right"/>
              <w:ind w:right="40"/>
              <w:spacing w:after="0" w:line="123" w:lineRule="exact"/>
              <w:rPr>
                <w:sz w:val="20"/>
                <w:szCs w:val="20"/>
                <w:color w:val="auto"/>
              </w:rPr>
            </w:pPr>
            <w:r>
              <w:rPr>
                <w:rFonts w:ascii="Arial" w:cs="Arial" w:eastAsia="Arial" w:hAnsi="Arial"/>
                <w:sz w:val="11"/>
                <w:szCs w:val="11"/>
                <w:color w:val="auto"/>
              </w:rPr>
              <w:t>97,233</w:t>
            </w:r>
          </w:p>
        </w:tc>
        <w:tc>
          <w:tcPr>
            <w:tcW w:w="180" w:type="dxa"/>
            <w:vAlign w:val="bottom"/>
            <w:shd w:val="clear" w:color="auto" w:fill="CCEEFF"/>
          </w:tcPr>
          <w:p>
            <w:pPr>
              <w:spacing w:after="0"/>
              <w:rPr>
                <w:sz w:val="10"/>
                <w:szCs w:val="10"/>
                <w:color w:val="auto"/>
              </w:rPr>
            </w:pPr>
          </w:p>
        </w:tc>
        <w:tc>
          <w:tcPr>
            <w:tcW w:w="700" w:type="dxa"/>
            <w:vAlign w:val="bottom"/>
            <w:gridSpan w:val="3"/>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42,093</w:t>
            </w:r>
          </w:p>
        </w:tc>
        <w:tc>
          <w:tcPr>
            <w:tcW w:w="72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39,320</w:t>
            </w:r>
          </w:p>
        </w:tc>
        <w:tc>
          <w:tcPr>
            <w:tcW w:w="8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337,654</w:t>
            </w:r>
          </w:p>
        </w:tc>
        <w:tc>
          <w:tcPr>
            <w:tcW w:w="7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41,729</w:t>
            </w:r>
          </w:p>
        </w:tc>
        <w:tc>
          <w:tcPr>
            <w:tcW w:w="600" w:type="dxa"/>
            <w:vAlign w:val="bottom"/>
            <w:gridSpan w:val="2"/>
            <w:shd w:val="clear" w:color="auto" w:fill="CCEEFF"/>
          </w:tcPr>
          <w:p>
            <w:pPr>
              <w:jc w:val="right"/>
              <w:ind w:right="100"/>
              <w:spacing w:after="0" w:line="123" w:lineRule="exact"/>
              <w:rPr>
                <w:sz w:val="20"/>
                <w:szCs w:val="20"/>
                <w:color w:val="auto"/>
              </w:rPr>
            </w:pPr>
            <w:r>
              <w:rPr>
                <w:rFonts w:ascii="Arial" w:cs="Arial" w:eastAsia="Arial" w:hAnsi="Arial"/>
                <w:sz w:val="11"/>
                <w:szCs w:val="11"/>
                <w:color w:val="auto"/>
              </w:rPr>
              <w:t>92,917</w:t>
            </w:r>
          </w:p>
        </w:tc>
        <w:tc>
          <w:tcPr>
            <w:tcW w:w="840" w:type="dxa"/>
            <w:vAlign w:val="bottom"/>
            <w:gridSpan w:val="3"/>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79,844</w:t>
            </w:r>
          </w:p>
        </w:tc>
        <w:tc>
          <w:tcPr>
            <w:tcW w:w="66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50,663</w:t>
            </w:r>
          </w:p>
        </w:tc>
        <w:tc>
          <w:tcPr>
            <w:tcW w:w="7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101,392</w:t>
            </w:r>
          </w:p>
        </w:tc>
        <w:tc>
          <w:tcPr>
            <w:tcW w:w="52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366,545</w:t>
            </w:r>
          </w:p>
        </w:tc>
        <w:tc>
          <w:tcPr>
            <w:tcW w:w="80" w:type="dxa"/>
            <w:vAlign w:val="bottom"/>
            <w:shd w:val="clear" w:color="auto" w:fill="CCEEFF"/>
          </w:tcPr>
          <w:p>
            <w:pPr>
              <w:spacing w:after="0"/>
              <w:rPr>
                <w:sz w:val="10"/>
                <w:szCs w:val="10"/>
                <w:color w:val="auto"/>
              </w:rPr>
            </w:pPr>
          </w:p>
        </w:tc>
      </w:tr>
      <w:tr>
        <w:trPr>
          <w:trHeight w:val="123"/>
        </w:trPr>
        <w:tc>
          <w:tcPr>
            <w:tcW w:w="2820" w:type="dxa"/>
            <w:vAlign w:val="bottom"/>
            <w:gridSpan w:val="2"/>
          </w:tcPr>
          <w:p>
            <w:pPr>
              <w:spacing w:after="0" w:line="123" w:lineRule="exact"/>
              <w:rPr>
                <w:sz w:val="20"/>
                <w:szCs w:val="20"/>
                <w:color w:val="auto"/>
              </w:rPr>
            </w:pPr>
            <w:r>
              <w:rPr>
                <w:rFonts w:ascii="Arial" w:cs="Arial" w:eastAsia="Arial" w:hAnsi="Arial"/>
                <w:sz w:val="11"/>
                <w:szCs w:val="11"/>
                <w:color w:val="auto"/>
              </w:rPr>
              <w:t>Foreign exchange options</w:t>
            </w:r>
          </w:p>
        </w:tc>
        <w:tc>
          <w:tcPr>
            <w:tcW w:w="500" w:type="dxa"/>
            <w:vAlign w:val="bottom"/>
            <w:gridSpan w:val="2"/>
          </w:tcPr>
          <w:p>
            <w:pPr>
              <w:jc w:val="right"/>
              <w:ind w:right="60"/>
              <w:spacing w:after="0" w:line="123" w:lineRule="exact"/>
              <w:rPr>
                <w:sz w:val="20"/>
                <w:szCs w:val="20"/>
                <w:color w:val="auto"/>
              </w:rPr>
            </w:pPr>
            <w:r>
              <w:rPr>
                <w:rFonts w:ascii="Arial" w:cs="Arial" w:eastAsia="Arial" w:hAnsi="Arial"/>
                <w:sz w:val="11"/>
                <w:szCs w:val="11"/>
                <w:color w:val="auto"/>
              </w:rPr>
              <w:t>11,509</w:t>
            </w:r>
          </w:p>
        </w:tc>
        <w:tc>
          <w:tcPr>
            <w:tcW w:w="160" w:type="dxa"/>
            <w:vAlign w:val="bottom"/>
          </w:tcPr>
          <w:p>
            <w:pPr>
              <w:spacing w:after="0"/>
              <w:rPr>
                <w:sz w:val="10"/>
                <w:szCs w:val="10"/>
                <w:color w:val="auto"/>
              </w:rPr>
            </w:pPr>
          </w:p>
        </w:tc>
        <w:tc>
          <w:tcPr>
            <w:tcW w:w="540" w:type="dxa"/>
            <w:vAlign w:val="bottom"/>
            <w:gridSpan w:val="3"/>
          </w:tcPr>
          <w:p>
            <w:pPr>
              <w:jc w:val="right"/>
              <w:ind w:right="40"/>
              <w:spacing w:after="0" w:line="123" w:lineRule="exact"/>
              <w:rPr>
                <w:sz w:val="20"/>
                <w:szCs w:val="20"/>
                <w:color w:val="auto"/>
              </w:rPr>
            </w:pPr>
            <w:r>
              <w:rPr>
                <w:rFonts w:ascii="Arial" w:cs="Arial" w:eastAsia="Arial" w:hAnsi="Arial"/>
                <w:sz w:val="11"/>
                <w:szCs w:val="11"/>
                <w:color w:val="auto"/>
              </w:rPr>
              <w:t>10,640</w:t>
            </w:r>
          </w:p>
        </w:tc>
        <w:tc>
          <w:tcPr>
            <w:tcW w:w="180" w:type="dxa"/>
            <w:vAlign w:val="bottom"/>
          </w:tcPr>
          <w:p>
            <w:pPr>
              <w:spacing w:after="0"/>
              <w:rPr>
                <w:sz w:val="10"/>
                <w:szCs w:val="10"/>
                <w:color w:val="auto"/>
              </w:rPr>
            </w:pPr>
          </w:p>
        </w:tc>
        <w:tc>
          <w:tcPr>
            <w:tcW w:w="540" w:type="dxa"/>
            <w:vAlign w:val="bottom"/>
            <w:gridSpan w:val="3"/>
          </w:tcPr>
          <w:p>
            <w:pPr>
              <w:jc w:val="right"/>
              <w:ind w:right="40"/>
              <w:spacing w:after="0" w:line="123"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00" w:type="dxa"/>
            <w:vAlign w:val="bottom"/>
            <w:gridSpan w:val="3"/>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22,149</w:t>
            </w:r>
          </w:p>
        </w:tc>
        <w:tc>
          <w:tcPr>
            <w:tcW w:w="7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836</w:t>
            </w:r>
          </w:p>
        </w:tc>
        <w:tc>
          <w:tcPr>
            <w:tcW w:w="500" w:type="dxa"/>
            <w:vAlign w:val="bottom"/>
          </w:tcPr>
          <w:p>
            <w:pPr>
              <w:jc w:val="right"/>
              <w:spacing w:after="0" w:line="123" w:lineRule="exact"/>
              <w:rPr>
                <w:sz w:val="20"/>
                <w:szCs w:val="20"/>
                <w:color w:val="auto"/>
              </w:rPr>
            </w:pPr>
            <w:r>
              <w:rPr>
                <w:rFonts w:ascii="Arial" w:cs="Arial" w:eastAsia="Arial" w:hAnsi="Arial"/>
                <w:sz w:val="11"/>
                <w:szCs w:val="11"/>
                <w:color w:val="auto"/>
              </w:rPr>
              <w:t>5,253</w:t>
            </w:r>
          </w:p>
        </w:tc>
        <w:tc>
          <w:tcPr>
            <w:tcW w:w="100" w:type="dxa"/>
            <w:vAlign w:val="bottom"/>
          </w:tcPr>
          <w:p>
            <w:pPr>
              <w:spacing w:after="0"/>
              <w:rPr>
                <w:sz w:val="10"/>
                <w:szCs w:val="10"/>
                <w:color w:val="auto"/>
              </w:rPr>
            </w:pPr>
          </w:p>
        </w:tc>
        <w:tc>
          <w:tcPr>
            <w:tcW w:w="840" w:type="dxa"/>
            <w:vAlign w:val="bottom"/>
            <w:gridSpan w:val="3"/>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6,089</w:t>
            </w:r>
          </w:p>
        </w:tc>
        <w:tc>
          <w:tcPr>
            <w:tcW w:w="80" w:type="dxa"/>
            <w:vAlign w:val="bottom"/>
          </w:tcPr>
          <w:p>
            <w:pPr>
              <w:spacing w:after="0"/>
              <w:rPr>
                <w:sz w:val="10"/>
                <w:szCs w:val="10"/>
                <w:color w:val="auto"/>
              </w:rPr>
            </w:pPr>
          </w:p>
        </w:tc>
      </w:tr>
      <w:tr>
        <w:trPr>
          <w:trHeight w:val="135"/>
        </w:trPr>
        <w:tc>
          <w:tcPr>
            <w:tcW w:w="28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Futures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56</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56</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139</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139</w:t>
            </w:r>
          </w:p>
        </w:tc>
        <w:tc>
          <w:tcPr>
            <w:tcW w:w="80" w:type="dxa"/>
            <w:vAlign w:val="bottom"/>
            <w:shd w:val="clear" w:color="auto" w:fill="CCEEFF"/>
          </w:tcPr>
          <w:p>
            <w:pPr>
              <w:spacing w:after="0"/>
              <w:rPr>
                <w:sz w:val="11"/>
                <w:szCs w:val="11"/>
                <w:color w:val="auto"/>
              </w:rPr>
            </w:pPr>
          </w:p>
        </w:tc>
      </w:tr>
      <w:tr>
        <w:trPr>
          <w:trHeight w:val="115"/>
        </w:trPr>
        <w:tc>
          <w:tcPr>
            <w:tcW w:w="2780" w:type="dxa"/>
            <w:vAlign w:val="bottom"/>
          </w:tcPr>
          <w:p>
            <w:pPr>
              <w:spacing w:after="0" w:line="115" w:lineRule="exact"/>
              <w:rPr>
                <w:sz w:val="20"/>
                <w:szCs w:val="20"/>
                <w:color w:val="auto"/>
              </w:rPr>
            </w:pPr>
            <w:r>
              <w:rPr>
                <w:rFonts w:ascii="Arial" w:cs="Arial" w:eastAsia="Arial" w:hAnsi="Arial"/>
                <w:sz w:val="11"/>
                <w:szCs w:val="11"/>
                <w:b w:val="1"/>
                <w:bCs w:val="1"/>
                <w:color w:val="auto"/>
              </w:rPr>
              <w:t>Total liabilities</w:t>
            </w:r>
          </w:p>
        </w:tc>
        <w:tc>
          <w:tcPr>
            <w:tcW w:w="4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373,840</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267,338</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201,915</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101,994</w:t>
            </w:r>
          </w:p>
        </w:tc>
        <w:tc>
          <w:tcPr>
            <w:tcW w:w="22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711,296</w:t>
            </w:r>
          </w:p>
        </w:tc>
        <w:tc>
          <w:tcPr>
            <w:tcW w:w="22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1,656,383</w:t>
            </w:r>
          </w:p>
        </w:tc>
        <w:tc>
          <w:tcPr>
            <w:tcW w:w="220" w:type="dxa"/>
            <w:vAlign w:val="bottom"/>
          </w:tcPr>
          <w:p>
            <w:pPr>
              <w:spacing w:after="0"/>
              <w:rPr>
                <w:sz w:val="10"/>
                <w:szCs w:val="10"/>
                <w:color w:val="auto"/>
              </w:rPr>
            </w:pPr>
          </w:p>
        </w:tc>
        <w:tc>
          <w:tcPr>
            <w:tcW w:w="480" w:type="dxa"/>
            <w:vAlign w:val="bottom"/>
            <w:tcBorders>
              <w:top w:val="single" w:sz="8" w:color="auto"/>
              <w:bottom w:val="single" w:sz="8" w:color="auto"/>
            </w:tcBorders>
          </w:tcPr>
          <w:p>
            <w:pPr>
              <w:ind w:left="120"/>
              <w:spacing w:after="0" w:line="115" w:lineRule="exact"/>
              <w:rPr>
                <w:sz w:val="20"/>
                <w:szCs w:val="20"/>
                <w:color w:val="auto"/>
              </w:rPr>
            </w:pPr>
            <w:r>
              <w:rPr>
                <w:rFonts w:ascii="Arial" w:cs="Arial" w:eastAsia="Arial" w:hAnsi="Arial"/>
                <w:sz w:val="11"/>
                <w:szCs w:val="11"/>
                <w:color w:val="auto"/>
                <w:w w:val="85"/>
              </w:rPr>
              <w:t>204,833</w:t>
            </w:r>
          </w:p>
        </w:tc>
        <w:tc>
          <w:tcPr>
            <w:tcW w:w="22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201,746</w:t>
            </w:r>
          </w:p>
        </w:tc>
        <w:tc>
          <w:tcPr>
            <w:tcW w:w="1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129,481</w:t>
            </w:r>
          </w:p>
        </w:tc>
        <w:tc>
          <w:tcPr>
            <w:tcW w:w="22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69,140</w:t>
            </w:r>
          </w:p>
        </w:tc>
        <w:tc>
          <w:tcPr>
            <w:tcW w:w="22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365,471</w:t>
            </w:r>
          </w:p>
        </w:tc>
        <w:tc>
          <w:tcPr>
            <w:tcW w:w="22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970,671</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49" w:name="page50"/>
    <w:bookmarkEnd w:id="49"/>
    <w:p>
      <w:pPr>
        <w:ind w:left="582" w:right="160" w:hanging="287"/>
        <w:spacing w:after="0" w:line="271" w:lineRule="auto"/>
        <w:tabs>
          <w:tab w:leader="none" w:pos="582" w:val="left"/>
        </w:tabs>
        <w:numPr>
          <w:ilvl w:val="0"/>
          <w:numId w:val="47"/>
        </w:numPr>
        <w:rPr>
          <w:rFonts w:ascii="Arial" w:cs="Arial" w:eastAsia="Arial" w:hAnsi="Arial"/>
          <w:sz w:val="16"/>
          <w:szCs w:val="16"/>
          <w:color w:val="auto"/>
        </w:rPr>
      </w:pPr>
      <w:r>
        <w:rPr>
          <w:rFonts w:ascii="Arial" w:cs="Arial" w:eastAsia="Arial" w:hAnsi="Arial"/>
          <w:sz w:val="16"/>
          <w:szCs w:val="16"/>
          <w:color w:val="auto"/>
        </w:rPr>
        <w:t>Transactions in process include deposits received, granted and collected loans, funds transferred and other similar types of transactions, which are made in the final days of the month and not reclassified to their final accounts in the interim condensed consolidated statement of financial position until the first days of the following month. The regularization of these transactions does not affect the Group’s net income.</w:t>
      </w:r>
    </w:p>
    <w:p>
      <w:pPr>
        <w:spacing w:after="0" w:line="162" w:lineRule="exact"/>
        <w:rPr>
          <w:rFonts w:ascii="Arial" w:cs="Arial" w:eastAsia="Arial" w:hAnsi="Arial"/>
          <w:sz w:val="16"/>
          <w:szCs w:val="16"/>
          <w:color w:val="auto"/>
        </w:rPr>
      </w:pPr>
    </w:p>
    <w:p>
      <w:pPr>
        <w:ind w:left="582" w:right="240" w:hanging="287"/>
        <w:spacing w:after="0" w:line="287" w:lineRule="auto"/>
        <w:tabs>
          <w:tab w:leader="none" w:pos="582" w:val="left"/>
        </w:tabs>
        <w:numPr>
          <w:ilvl w:val="0"/>
          <w:numId w:val="47"/>
        </w:numPr>
        <w:rPr>
          <w:rFonts w:ascii="Arial" w:cs="Arial" w:eastAsia="Arial" w:hAnsi="Arial"/>
          <w:sz w:val="16"/>
          <w:szCs w:val="16"/>
          <w:color w:val="auto"/>
        </w:rPr>
      </w:pPr>
      <w:r>
        <w:rPr>
          <w:rFonts w:ascii="Arial" w:cs="Arial" w:eastAsia="Arial" w:hAnsi="Arial"/>
          <w:sz w:val="16"/>
          <w:szCs w:val="16"/>
          <w:color w:val="auto"/>
        </w:rPr>
        <w:t>Credicorp’s principal associate is Entidad Prestadora de Salud (EPS), whose balance amounts to S/560.5 million and S/571.9 million as of March 31, 2020 and December 31, 2019, respectively.</w:t>
      </w:r>
    </w:p>
    <w:p>
      <w:pPr>
        <w:spacing w:after="0" w:line="149" w:lineRule="exact"/>
        <w:rPr>
          <w:rFonts w:ascii="Arial" w:cs="Arial" w:eastAsia="Arial" w:hAnsi="Arial"/>
          <w:sz w:val="16"/>
          <w:szCs w:val="16"/>
          <w:color w:val="auto"/>
        </w:rPr>
      </w:pPr>
    </w:p>
    <w:p>
      <w:pPr>
        <w:ind w:left="582" w:hanging="287"/>
        <w:spacing w:after="0"/>
        <w:tabs>
          <w:tab w:leader="none" w:pos="582"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Investment properties -</w:t>
      </w:r>
    </w:p>
    <w:p>
      <w:pPr>
        <w:spacing w:after="0" w:line="209" w:lineRule="exact"/>
        <w:rPr>
          <w:sz w:val="20"/>
          <w:szCs w:val="20"/>
          <w:color w:val="auto"/>
        </w:rPr>
      </w:pPr>
    </w:p>
    <w:tbl>
      <w:tblPr>
        <w:tblLayout w:type="fixed"/>
        <w:tblInd w:w="302" w:type="dxa"/>
        <w:tblCellMar>
          <w:top w:w="0" w:type="dxa"/>
          <w:left w:w="0" w:type="dxa"/>
          <w:bottom w:w="0" w:type="dxa"/>
          <w:right w:w="0" w:type="dxa"/>
        </w:tblCellMar>
      </w:tblPr>
      <w:tr>
        <w:trPr>
          <w:trHeight w:val="208"/>
        </w:trPr>
        <w:tc>
          <w:tcPr>
            <w:tcW w:w="5280" w:type="dxa"/>
            <w:vAlign w:val="bottom"/>
            <w:gridSpan w:val="2"/>
          </w:tcPr>
          <w:p>
            <w:pPr>
              <w:spacing w:after="0"/>
              <w:rPr>
                <w:sz w:val="20"/>
                <w:szCs w:val="20"/>
                <w:color w:val="auto"/>
              </w:rPr>
            </w:pPr>
            <w:r>
              <w:rPr>
                <w:rFonts w:ascii="Arial" w:cs="Arial" w:eastAsia="Arial" w:hAnsi="Arial"/>
                <w:sz w:val="16"/>
                <w:szCs w:val="16"/>
                <w:color w:val="auto"/>
              </w:rPr>
              <w:t>The movement of investment properties is as follows:</w:t>
            </w: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1"/>
              </w:rPr>
              <w:t>As of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w w:val="93"/>
              </w:rPr>
              <w:t>As of March 31, 2020</w:t>
            </w: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31, 2019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840" w:type="dxa"/>
            <w:vAlign w:val="bottom"/>
            <w:gridSpan w:val="5"/>
          </w:tcPr>
          <w:p>
            <w:pPr>
              <w:ind w:left="920"/>
              <w:spacing w:after="0"/>
              <w:rPr>
                <w:sz w:val="20"/>
                <w:szCs w:val="20"/>
                <w:color w:val="auto"/>
              </w:rPr>
            </w:pPr>
            <w:r>
              <w:rPr>
                <w:rFonts w:ascii="Arial" w:cs="Arial" w:eastAsia="Arial" w:hAnsi="Arial"/>
                <w:sz w:val="16"/>
                <w:szCs w:val="16"/>
                <w:b w:val="1"/>
                <w:bCs w:val="1"/>
                <w:color w:val="auto"/>
              </w:rPr>
              <w:t>Own assets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40" w:type="dxa"/>
            <w:vAlign w:val="bottom"/>
            <w:tcBorders>
              <w:top w:val="single" w:sz="8" w:color="auto"/>
            </w:tcBorders>
            <w:gridSpan w:val="2"/>
          </w:tcPr>
          <w:p>
            <w:pPr>
              <w:ind w:left="420"/>
              <w:spacing w:after="0"/>
              <w:rPr>
                <w:sz w:val="20"/>
                <w:szCs w:val="20"/>
                <w:color w:val="auto"/>
              </w:rPr>
            </w:pPr>
            <w:r>
              <w:rPr>
                <w:rFonts w:ascii="Arial" w:cs="Arial" w:eastAsia="Arial" w:hAnsi="Arial"/>
                <w:sz w:val="16"/>
                <w:szCs w:val="16"/>
                <w:b w:val="1"/>
                <w:bCs w:val="1"/>
                <w:color w:val="auto"/>
              </w:rPr>
              <w:t>Land</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Buildings</w:t>
            </w:r>
          </w:p>
        </w:tc>
        <w:tc>
          <w:tcPr>
            <w:tcW w:w="220" w:type="dxa"/>
            <w:vAlign w:val="bottom"/>
          </w:tcPr>
          <w:p>
            <w:pPr>
              <w:spacing w:after="0"/>
              <w:rPr>
                <w:sz w:val="17"/>
                <w:szCs w:val="17"/>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Total</w:t>
            </w:r>
          </w:p>
        </w:tc>
        <w:tc>
          <w:tcPr>
            <w:tcW w:w="12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200" w:type="dxa"/>
            <w:vAlign w:val="bottom"/>
            <w:tcBorders>
              <w:top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220" w:type="dxa"/>
            <w:vAlign w:val="bottom"/>
          </w:tcPr>
          <w:p>
            <w:pPr>
              <w:spacing w:after="0"/>
              <w:rPr>
                <w:sz w:val="16"/>
                <w:szCs w:val="16"/>
                <w:color w:val="auto"/>
              </w:rPr>
            </w:pPr>
          </w:p>
        </w:tc>
        <w:tc>
          <w:tcPr>
            <w:tcW w:w="1180" w:type="dxa"/>
            <w:vAlign w:val="bottom"/>
            <w:tcBorders>
              <w:top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6"/>
                <w:szCs w:val="16"/>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w:t>
            </w: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Balance at January 1</w:t>
            </w:r>
          </w:p>
        </w:tc>
        <w:tc>
          <w:tcPr>
            <w:tcW w:w="1200" w:type="dxa"/>
            <w:vAlign w:val="bottom"/>
          </w:tcPr>
          <w:p>
            <w:pPr>
              <w:jc w:val="right"/>
              <w:spacing w:after="0"/>
              <w:rPr>
                <w:sz w:val="20"/>
                <w:szCs w:val="20"/>
                <w:color w:val="auto"/>
              </w:rPr>
            </w:pPr>
            <w:r>
              <w:rPr>
                <w:rFonts w:ascii="Arial" w:cs="Arial" w:eastAsia="Arial" w:hAnsi="Arial"/>
                <w:sz w:val="16"/>
                <w:szCs w:val="16"/>
                <w:color w:val="auto"/>
              </w:rPr>
              <w:t>253,041</w:t>
            </w:r>
          </w:p>
        </w:tc>
        <w:tc>
          <w:tcPr>
            <w:tcW w:w="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238,325</w:t>
            </w:r>
          </w:p>
        </w:tc>
        <w:tc>
          <w:tcPr>
            <w:tcW w:w="22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491,366</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484,782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Additions (i)</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6,595</w:t>
            </w: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6,595</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33,321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Sales (ii)</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(26,775)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Disposals and others</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Ending Period</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253,188</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244,943</w:t>
            </w:r>
          </w:p>
        </w:tc>
        <w:tc>
          <w:tcPr>
            <w:tcW w:w="22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498,131</w:t>
            </w:r>
          </w:p>
        </w:tc>
        <w:tc>
          <w:tcPr>
            <w:tcW w:w="22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491,366</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b w:val="1"/>
                <w:bCs w:val="1"/>
                <w:color w:val="auto"/>
              </w:rPr>
              <w:t>Accumulated depreciation</w:t>
            </w: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39,027</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39,027</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43,488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Depreciation for the year</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1,682</w:t>
            </w:r>
          </w:p>
        </w:tc>
        <w:tc>
          <w:tcPr>
            <w:tcW w:w="22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1,682</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6,727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Sales (ii)</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(11,435)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Disposals and others</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6"/>
                <w:szCs w:val="16"/>
                <w:color w:val="auto"/>
              </w:rPr>
              <w:t>3</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3</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Ending Period</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40,712</w:t>
            </w:r>
          </w:p>
        </w:tc>
        <w:tc>
          <w:tcPr>
            <w:tcW w:w="2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40,712</w:t>
            </w:r>
          </w:p>
        </w:tc>
        <w:tc>
          <w:tcPr>
            <w:tcW w:w="2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39,027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Impairment losses (iii)</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22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22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carrying amount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252,499</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203,510</w:t>
            </w:r>
          </w:p>
        </w:tc>
        <w:tc>
          <w:tcPr>
            <w:tcW w:w="22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456,009</w:t>
            </w:r>
          </w:p>
        </w:tc>
        <w:tc>
          <w:tcPr>
            <w:tcW w:w="22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450,929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02"/>
        <w:spacing w:after="0"/>
        <w:rPr>
          <w:sz w:val="20"/>
          <w:szCs w:val="20"/>
          <w:color w:val="auto"/>
        </w:rPr>
      </w:pPr>
      <w:r>
        <w:rPr>
          <w:rFonts w:ascii="Arial" w:cs="Arial" w:eastAsia="Arial" w:hAnsi="Arial"/>
          <w:sz w:val="16"/>
          <w:szCs w:val="16"/>
          <w:color w:val="auto"/>
        </w:rPr>
        <w:t>Land and buildings are mainly used for office rental, which are free of all encumbrances.</w:t>
      </w:r>
    </w:p>
    <w:p>
      <w:pPr>
        <w:spacing w:after="0" w:line="209" w:lineRule="exact"/>
        <w:rPr>
          <w:sz w:val="20"/>
          <w:szCs w:val="20"/>
          <w:color w:val="auto"/>
        </w:rPr>
      </w:pPr>
    </w:p>
    <w:p>
      <w:pPr>
        <w:ind w:left="582" w:right="40" w:hanging="287"/>
        <w:spacing w:after="0" w:line="287" w:lineRule="auto"/>
        <w:tabs>
          <w:tab w:leader="none" w:pos="582"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 of March 31, 2020, in order to consolidate the real estate projects, the Group has made disbursements mainly for the improvements of the following buildings: one of them located in Trujillo for approximately S/3.8 million and the other one located in Arequipa for approximately S/1.5 million.</w:t>
      </w:r>
    </w:p>
    <w:p>
      <w:pPr>
        <w:spacing w:after="0" w:line="149" w:lineRule="exact"/>
        <w:rPr>
          <w:rFonts w:ascii="Arial" w:cs="Arial" w:eastAsia="Arial" w:hAnsi="Arial"/>
          <w:sz w:val="16"/>
          <w:szCs w:val="16"/>
          <w:color w:val="auto"/>
        </w:rPr>
      </w:pPr>
    </w:p>
    <w:p>
      <w:pPr>
        <w:ind w:left="582" w:right="160"/>
        <w:spacing w:after="0" w:line="271" w:lineRule="auto"/>
        <w:rPr>
          <w:rFonts w:ascii="Arial" w:cs="Arial" w:eastAsia="Arial" w:hAnsi="Arial"/>
          <w:sz w:val="16"/>
          <w:szCs w:val="16"/>
          <w:color w:val="auto"/>
        </w:rPr>
      </w:pPr>
      <w:r>
        <w:rPr>
          <w:rFonts w:ascii="Arial" w:cs="Arial" w:eastAsia="Arial" w:hAnsi="Arial"/>
          <w:sz w:val="16"/>
          <w:szCs w:val="16"/>
          <w:color w:val="auto"/>
        </w:rPr>
        <w:t>As of December 31, 2019, the most important additions corresponded to the acquisition of 13th floor of Panorama Building located in the district of Santiago de Surco for approximately S/10.1 million (S/1.3 million for land and S/8.8 million for building) and land located in the district of San Martín de Porres for approximately S/8.7 million.</w:t>
      </w:r>
    </w:p>
    <w:p>
      <w:pPr>
        <w:spacing w:after="0" w:line="162" w:lineRule="exact"/>
        <w:rPr>
          <w:rFonts w:ascii="Arial" w:cs="Arial" w:eastAsia="Arial" w:hAnsi="Arial"/>
          <w:sz w:val="16"/>
          <w:szCs w:val="16"/>
          <w:color w:val="auto"/>
        </w:rPr>
      </w:pPr>
    </w:p>
    <w:p>
      <w:pPr>
        <w:ind w:left="582" w:right="320" w:hanging="287"/>
        <w:spacing w:after="0" w:line="271" w:lineRule="auto"/>
        <w:tabs>
          <w:tab w:leader="none" w:pos="58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amount for the sales in the year 2019, is mainly made up of the sale of a property located in Camino Real 348, San Isidro, whose sale value was S/27.5 million (cost of disposal of the property amounted to S/6.3 million); and a property located in Manuel Maria Izaga Street, located in the province of Chiclayo, whose value was S/3.4 million (cost of disposal of the property amounted to S/4.2 million).</w:t>
      </w:r>
    </w:p>
    <w:p>
      <w:pPr>
        <w:spacing w:after="0" w:line="162" w:lineRule="exact"/>
        <w:rPr>
          <w:rFonts w:ascii="Arial" w:cs="Arial" w:eastAsia="Arial" w:hAnsi="Arial"/>
          <w:sz w:val="16"/>
          <w:szCs w:val="16"/>
          <w:color w:val="auto"/>
        </w:rPr>
      </w:pPr>
    </w:p>
    <w:p>
      <w:pPr>
        <w:ind w:left="582" w:right="100" w:hanging="287"/>
        <w:spacing w:after="0" w:line="287" w:lineRule="auto"/>
        <w:tabs>
          <w:tab w:leader="none" w:pos="58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Group’s Management has determined that the recoverable value of its investment properties is greater than their net carrying amount, with the exception of a property located in the city of Ica, for which an impairment of S/0.3 million was recorded during 2019.</w:t>
      </w:r>
    </w:p>
    <w:p>
      <w:pPr>
        <w:spacing w:after="0" w:line="150" w:lineRule="exact"/>
        <w:rPr>
          <w:sz w:val="20"/>
          <w:szCs w:val="20"/>
          <w:color w:val="auto"/>
        </w:rPr>
      </w:pPr>
    </w:p>
    <w:p>
      <w:pPr>
        <w:ind w:left="302" w:right="200"/>
        <w:spacing w:after="0" w:line="287" w:lineRule="auto"/>
        <w:rPr>
          <w:sz w:val="20"/>
          <w:szCs w:val="20"/>
          <w:color w:val="auto"/>
        </w:rPr>
      </w:pPr>
      <w:r>
        <w:rPr>
          <w:rFonts w:ascii="Arial" w:cs="Arial" w:eastAsia="Arial" w:hAnsi="Arial"/>
          <w:sz w:val="16"/>
          <w:szCs w:val="16"/>
          <w:color w:val="auto"/>
        </w:rPr>
        <w:t>As of March 31, 2020 and December 31, 2019, the market value of the property amounts to approximately S/978.3 million and S/937.8 million, respectively; which was determined through a valuation made by an independent appraiser.</w:t>
      </w:r>
    </w:p>
    <w:p>
      <w:pPr>
        <w:spacing w:after="0" w:line="150" w:lineRule="exact"/>
        <w:rPr>
          <w:sz w:val="20"/>
          <w:szCs w:val="20"/>
          <w:color w:val="auto"/>
        </w:rPr>
      </w:pPr>
    </w:p>
    <w:p>
      <w:pPr>
        <w:ind w:left="302" w:right="80" w:hanging="302"/>
        <w:spacing w:after="0" w:line="271" w:lineRule="auto"/>
        <w:tabs>
          <w:tab w:leader="none" w:pos="302"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 of March 31, 2020 the balances corresponds mainly to the payment in favor of Latam Airlines Group S.A. Sucursal Perú for US$188.9 million, equivalent in soles to S/649.2 million (US$202.0 million, equivalent in soles to S/669.4 million, as of December 31, 2019) on account of Latam Pass Miles that the Bank must acquire from January 2020.</w:t>
      </w:r>
    </w:p>
    <w:p>
      <w:pPr>
        <w:spacing w:after="0" w:line="162" w:lineRule="exact"/>
        <w:rPr>
          <w:rFonts w:ascii="Arial" w:cs="Arial" w:eastAsia="Arial" w:hAnsi="Arial"/>
          <w:sz w:val="16"/>
          <w:szCs w:val="16"/>
          <w:color w:val="auto"/>
        </w:rPr>
      </w:pPr>
    </w:p>
    <w:p>
      <w:pPr>
        <w:ind w:left="302" w:hanging="302"/>
        <w:spacing w:after="0" w:line="287" w:lineRule="auto"/>
        <w:tabs>
          <w:tab w:leader="none" w:pos="302"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 of March 31, 2020 and December 31, 2019, corresponds to accounts receivable and payable for the sale and purchase of financial investments negotiated during the last days of the month, which were settled during the first days of the following month.</w:t>
      </w:r>
    </w:p>
    <w:p>
      <w:pPr>
        <w:spacing w:after="0" w:line="149" w:lineRule="exact"/>
        <w:rPr>
          <w:rFonts w:ascii="Arial" w:cs="Arial" w:eastAsia="Arial" w:hAnsi="Arial"/>
          <w:sz w:val="16"/>
          <w:szCs w:val="16"/>
          <w:color w:val="auto"/>
        </w:rPr>
      </w:pPr>
    </w:p>
    <w:p>
      <w:pPr>
        <w:ind w:left="302" w:right="80" w:hanging="302"/>
        <w:spacing w:after="0" w:line="271" w:lineRule="auto"/>
        <w:tabs>
          <w:tab w:leader="none" w:pos="30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Board of Directors held in February 27, 2020, agreed to distribute dividends, net of the effect of treasury stock, for approximately S/2,392.8 million from the retain earnings. Said dividends were declared in soles and paid in U.S. Dollars May 8, 2020 using the weighted exchange rate of the professional market registered by the SBS at the close of business on May 6, 2020. See Note 18(e).</w:t>
      </w:r>
    </w:p>
    <w:p>
      <w:pPr>
        <w:spacing w:after="0" w:line="359" w:lineRule="exact"/>
        <w:rPr>
          <w:rFonts w:ascii="Arial" w:cs="Arial" w:eastAsia="Arial" w:hAnsi="Arial"/>
          <w:sz w:val="16"/>
          <w:szCs w:val="16"/>
          <w:color w:val="auto"/>
        </w:rPr>
      </w:pPr>
    </w:p>
    <w:p>
      <w:pPr>
        <w:ind w:left="5542" w:hanging="93"/>
        <w:spacing w:after="0"/>
        <w:tabs>
          <w:tab w:leader="none" w:pos="5542" w:val="left"/>
        </w:tabs>
        <w:numPr>
          <w:ilvl w:val="1"/>
          <w:numId w:val="49"/>
        </w:numPr>
        <w:rPr>
          <w:rFonts w:ascii="Arial" w:cs="Arial" w:eastAsia="Arial" w:hAnsi="Arial"/>
          <w:sz w:val="16"/>
          <w:szCs w:val="16"/>
          <w:color w:val="auto"/>
        </w:rPr>
      </w:pPr>
      <w:r>
        <w:rPr>
          <w:rFonts w:ascii="Arial" w:cs="Arial" w:eastAsia="Arial" w:hAnsi="Arial"/>
          <w:sz w:val="16"/>
          <w:szCs w:val="16"/>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39" w:right="339" w:bottom="1440" w:gutter="0" w:footer="0" w:header="0"/>
        </w:sectPr>
      </w:pPr>
    </w:p>
    <w:bookmarkStart w:id="50" w:name="page51"/>
    <w:bookmarkEnd w:id="50"/>
    <w:p>
      <w:pPr>
        <w:ind w:left="582" w:hanging="582"/>
        <w:spacing w:after="0"/>
        <w:tabs>
          <w:tab w:leader="none" w:pos="582"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DEPOSITS AND OBLIGATIONS</w:t>
      </w:r>
    </w:p>
    <w:p>
      <w:pPr>
        <w:spacing w:after="0" w:line="213" w:lineRule="exact"/>
        <w:rPr>
          <w:rFonts w:ascii="Arial" w:cs="Arial" w:eastAsia="Arial" w:hAnsi="Arial"/>
          <w:sz w:val="16"/>
          <w:szCs w:val="16"/>
          <w:b w:val="1"/>
          <w:bCs w:val="1"/>
          <w:color w:val="auto"/>
        </w:rPr>
      </w:pPr>
    </w:p>
    <w:p>
      <w:pPr>
        <w:ind w:left="502" w:hanging="207"/>
        <w:spacing w:after="0"/>
        <w:tabs>
          <w:tab w:leader="none" w:pos="502"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This item consists of the following:</w:t>
      </w:r>
    </w:p>
    <w:p>
      <w:pPr>
        <w:spacing w:after="0" w:line="205" w:lineRule="exact"/>
        <w:rPr>
          <w:sz w:val="20"/>
          <w:szCs w:val="20"/>
          <w:color w:val="auto"/>
        </w:rPr>
      </w:pPr>
    </w:p>
    <w:tbl>
      <w:tblPr>
        <w:tblLayout w:type="fixed"/>
        <w:tblInd w:w="342" w:type="dxa"/>
        <w:tblCellMar>
          <w:top w:w="0" w:type="dxa"/>
          <w:left w:w="0" w:type="dxa"/>
          <w:bottom w:w="0" w:type="dxa"/>
          <w:right w:w="0" w:type="dxa"/>
        </w:tblCellMar>
      </w:tblPr>
      <w:tr>
        <w:trPr>
          <w:trHeight w:val="197"/>
        </w:trPr>
        <w:tc>
          <w:tcPr>
            <w:tcW w:w="820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March 31,</w:t>
            </w: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December</w:t>
            </w:r>
          </w:p>
        </w:tc>
      </w:tr>
      <w:tr>
        <w:trPr>
          <w:trHeight w:val="212"/>
        </w:trPr>
        <w:tc>
          <w:tcPr>
            <w:tcW w:w="8200" w:type="dxa"/>
            <w:vAlign w:val="bottom"/>
          </w:tcPr>
          <w:p>
            <w:pPr>
              <w:spacing w:after="0"/>
              <w:rPr>
                <w:sz w:val="18"/>
                <w:szCs w:val="18"/>
                <w:color w:val="auto"/>
              </w:rPr>
            </w:pPr>
          </w:p>
        </w:tc>
        <w:tc>
          <w:tcPr>
            <w:tcW w:w="120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31, 2019</w:t>
            </w:r>
          </w:p>
        </w:tc>
        <w:tc>
          <w:tcPr>
            <w:tcW w:w="80" w:type="dxa"/>
            <w:vAlign w:val="bottom"/>
          </w:tcPr>
          <w:p>
            <w:pPr>
              <w:spacing w:after="0"/>
              <w:rPr>
                <w:sz w:val="18"/>
                <w:szCs w:val="18"/>
                <w:color w:val="auto"/>
              </w:rPr>
            </w:pPr>
          </w:p>
        </w:tc>
      </w:tr>
      <w:tr>
        <w:trPr>
          <w:trHeight w:val="190"/>
        </w:trPr>
        <w:tc>
          <w:tcPr>
            <w:tcW w:w="8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80" w:type="dxa"/>
            <w:vAlign w:val="bottom"/>
          </w:tcPr>
          <w:p>
            <w:pPr>
              <w:spacing w:after="0"/>
              <w:rPr>
                <w:sz w:val="16"/>
                <w:szCs w:val="16"/>
                <w:color w:val="auto"/>
              </w:rPr>
            </w:pPr>
          </w:p>
        </w:tc>
      </w:tr>
      <w:tr>
        <w:trPr>
          <w:trHeight w:val="197"/>
        </w:trPr>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Demand deposits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38,746,240</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34,213,188</w:t>
            </w:r>
          </w:p>
        </w:tc>
      </w:tr>
      <w:tr>
        <w:trPr>
          <w:trHeight w:val="197"/>
        </w:trPr>
        <w:tc>
          <w:tcPr>
            <w:tcW w:w="8200" w:type="dxa"/>
            <w:vAlign w:val="bottom"/>
          </w:tcPr>
          <w:p>
            <w:pPr>
              <w:spacing w:after="0"/>
              <w:rPr>
                <w:sz w:val="20"/>
                <w:szCs w:val="20"/>
                <w:color w:val="auto"/>
              </w:rPr>
            </w:pPr>
            <w:r>
              <w:rPr>
                <w:rFonts w:ascii="Arial" w:cs="Arial" w:eastAsia="Arial" w:hAnsi="Arial"/>
                <w:sz w:val="16"/>
                <w:szCs w:val="16"/>
                <w:color w:val="auto"/>
              </w:rPr>
              <w:t>Time deposits (c)</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33,954,557</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32,853,576</w:t>
            </w:r>
          </w:p>
        </w:tc>
      </w:tr>
      <w:tr>
        <w:trPr>
          <w:trHeight w:val="197"/>
        </w:trPr>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Saving deposits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37,872,955</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35,179,770</w:t>
            </w:r>
          </w:p>
        </w:tc>
      </w:tr>
      <w:tr>
        <w:trPr>
          <w:trHeight w:val="197"/>
        </w:trPr>
        <w:tc>
          <w:tcPr>
            <w:tcW w:w="8200" w:type="dxa"/>
            <w:vAlign w:val="bottom"/>
          </w:tcPr>
          <w:p>
            <w:pPr>
              <w:spacing w:after="0"/>
              <w:rPr>
                <w:sz w:val="20"/>
                <w:szCs w:val="20"/>
                <w:color w:val="auto"/>
              </w:rPr>
            </w:pPr>
            <w:r>
              <w:rPr>
                <w:rFonts w:ascii="Arial" w:cs="Arial" w:eastAsia="Arial" w:hAnsi="Arial"/>
                <w:sz w:val="16"/>
                <w:szCs w:val="16"/>
                <w:color w:val="auto"/>
              </w:rPr>
              <w:t>Severance indemnity deposits</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7,204,922</w:t>
            </w:r>
          </w:p>
        </w:tc>
        <w:tc>
          <w:tcPr>
            <w:tcW w:w="1200" w:type="dxa"/>
            <w:vAlign w:val="bottom"/>
          </w:tcPr>
          <w:p>
            <w:pPr>
              <w:jc w:val="right"/>
              <w:spacing w:after="0"/>
              <w:rPr>
                <w:sz w:val="20"/>
                <w:szCs w:val="20"/>
                <w:color w:val="auto"/>
              </w:rPr>
            </w:pPr>
            <w:r>
              <w:rPr>
                <w:rFonts w:ascii="Arial" w:cs="Arial" w:eastAsia="Arial" w:hAnsi="Arial"/>
                <w:sz w:val="16"/>
                <w:szCs w:val="16"/>
                <w:color w:val="auto"/>
              </w:rPr>
              <w:t>7,897,199</w:t>
            </w:r>
          </w:p>
        </w:tc>
        <w:tc>
          <w:tcPr>
            <w:tcW w:w="80" w:type="dxa"/>
            <w:vAlign w:val="bottom"/>
          </w:tcPr>
          <w:p>
            <w:pPr>
              <w:spacing w:after="0"/>
              <w:rPr>
                <w:sz w:val="17"/>
                <w:szCs w:val="17"/>
                <w:color w:val="auto"/>
              </w:rPr>
            </w:pPr>
          </w:p>
        </w:tc>
      </w:tr>
      <w:tr>
        <w:trPr>
          <w:trHeight w:val="209"/>
        </w:trPr>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Bank’s negotiable certificates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1,090,657</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1,180,461</w:t>
            </w:r>
          </w:p>
        </w:tc>
        <w:tc>
          <w:tcPr>
            <w:tcW w:w="80" w:type="dxa"/>
            <w:vAlign w:val="bottom"/>
            <w:shd w:val="clear" w:color="auto" w:fill="CCEEFF"/>
          </w:tcPr>
          <w:p>
            <w:pPr>
              <w:spacing w:after="0"/>
              <w:rPr>
                <w:sz w:val="18"/>
                <w:szCs w:val="18"/>
                <w:color w:val="auto"/>
              </w:rPr>
            </w:pPr>
          </w:p>
        </w:tc>
      </w:tr>
      <w:tr>
        <w:trPr>
          <w:trHeight w:val="189"/>
        </w:trPr>
        <w:tc>
          <w:tcPr>
            <w:tcW w:w="82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118,869,331</w:t>
            </w:r>
          </w:p>
        </w:tc>
        <w:tc>
          <w:tcPr>
            <w:tcW w:w="22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111,324,194</w:t>
            </w:r>
          </w:p>
        </w:tc>
        <w:tc>
          <w:tcPr>
            <w:tcW w:w="80" w:type="dxa"/>
            <w:vAlign w:val="bottom"/>
          </w:tcPr>
          <w:p>
            <w:pPr>
              <w:spacing w:after="0"/>
              <w:rPr>
                <w:sz w:val="16"/>
                <w:szCs w:val="16"/>
                <w:color w:val="auto"/>
              </w:rPr>
            </w:pPr>
          </w:p>
        </w:tc>
      </w:tr>
      <w:tr>
        <w:trPr>
          <w:trHeight w:val="209"/>
        </w:trPr>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Interest payable</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694,214</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681,191</w:t>
            </w:r>
          </w:p>
        </w:tc>
      </w:tr>
      <w:tr>
        <w:trPr>
          <w:trHeight w:val="200"/>
        </w:trPr>
        <w:tc>
          <w:tcPr>
            <w:tcW w:w="82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119,563,545</w:t>
            </w:r>
          </w:p>
        </w:tc>
        <w:tc>
          <w:tcPr>
            <w:tcW w:w="22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112,005,385</w:t>
            </w:r>
          </w:p>
        </w:tc>
        <w:tc>
          <w:tcPr>
            <w:tcW w:w="80" w:type="dxa"/>
            <w:vAlign w:val="bottom"/>
          </w:tcPr>
          <w:p>
            <w:pPr>
              <w:spacing w:after="0"/>
              <w:rPr>
                <w:sz w:val="17"/>
                <w:szCs w:val="17"/>
                <w:color w:val="auto"/>
              </w:rPr>
            </w:pPr>
          </w:p>
        </w:tc>
      </w:tr>
    </w:tbl>
    <w:p>
      <w:pPr>
        <w:spacing w:after="0" w:line="1" w:lineRule="exact"/>
        <w:rPr>
          <w:sz w:val="20"/>
          <w:szCs w:val="20"/>
          <w:color w:val="auto"/>
        </w:rPr>
      </w:pPr>
    </w:p>
    <w:p>
      <w:pPr>
        <w:ind w:left="302" w:right="140"/>
        <w:spacing w:after="0" w:line="271" w:lineRule="auto"/>
        <w:rPr>
          <w:sz w:val="20"/>
          <w:szCs w:val="20"/>
          <w:color w:val="auto"/>
        </w:rPr>
      </w:pPr>
      <w:r>
        <w:rPr>
          <w:rFonts w:ascii="Arial" w:cs="Arial" w:eastAsia="Arial" w:hAnsi="Arial"/>
          <w:sz w:val="16"/>
          <w:szCs w:val="16"/>
          <w:color w:val="auto"/>
        </w:rPr>
        <w:t>The Group has established a policy to remunerate demand deposits and savings accounts according to a growing interest rate scale, based on the average balance maintained in those accounts; on the other hand, according to its policy, balances that are lower than a specified amount for each type of account do not bear interest. Also, time deposits earn interest at market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5420995</wp:posOffset>
            </wp:positionH>
            <wp:positionV relativeFrom="paragraph">
              <wp:posOffset>-394970</wp:posOffset>
            </wp:positionV>
            <wp:extent cx="166116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61160" cy="7620"/>
                    </a:xfrm>
                    <a:prstGeom prst="rect">
                      <a:avLst/>
                    </a:prstGeom>
                    <a:noFill/>
                  </pic:spPr>
                </pic:pic>
              </a:graphicData>
            </a:graphic>
          </wp:anchor>
        </w:drawing>
      </w:r>
    </w:p>
    <w:p>
      <w:pPr>
        <w:spacing w:after="0" w:line="143" w:lineRule="exact"/>
        <w:rPr>
          <w:sz w:val="20"/>
          <w:szCs w:val="20"/>
          <w:color w:val="auto"/>
        </w:rPr>
      </w:pPr>
    </w:p>
    <w:p>
      <w:pPr>
        <w:ind w:left="302"/>
        <w:spacing w:after="0"/>
        <w:rPr>
          <w:sz w:val="20"/>
          <w:szCs w:val="20"/>
          <w:color w:val="auto"/>
        </w:rPr>
      </w:pPr>
      <w:r>
        <w:rPr>
          <w:rFonts w:ascii="Arial" w:cs="Arial" w:eastAsia="Arial" w:hAnsi="Arial"/>
          <w:sz w:val="16"/>
          <w:szCs w:val="16"/>
          <w:color w:val="auto"/>
        </w:rPr>
        <w:t>Interest rates are determined by the Group considering the interest rates prevailing in the market in which each of the Group’s subsidiaries operates.</w:t>
      </w:r>
    </w:p>
    <w:p>
      <w:pPr>
        <w:spacing w:after="0" w:line="209" w:lineRule="exact"/>
        <w:rPr>
          <w:sz w:val="20"/>
          <w:szCs w:val="20"/>
          <w:color w:val="auto"/>
        </w:rPr>
      </w:pPr>
    </w:p>
    <w:p>
      <w:pPr>
        <w:ind w:left="302"/>
        <w:spacing w:after="0"/>
        <w:rPr>
          <w:sz w:val="20"/>
          <w:szCs w:val="20"/>
          <w:color w:val="auto"/>
        </w:rPr>
      </w:pPr>
      <w:r>
        <w:rPr>
          <w:rFonts w:ascii="Arial" w:cs="Arial" w:eastAsia="Arial" w:hAnsi="Arial"/>
          <w:sz w:val="16"/>
          <w:szCs w:val="16"/>
          <w:color w:val="auto"/>
        </w:rPr>
        <w:t>b)  The amounts of non-interest-bearing and interest-bearing deposits and obligations are presented below:</w:t>
      </w:r>
    </w:p>
    <w:p>
      <w:pPr>
        <w:spacing w:after="0" w:line="205"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3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March 31,</w:t>
            </w: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December</w:t>
            </w:r>
          </w:p>
        </w:tc>
      </w:tr>
      <w:tr>
        <w:trPr>
          <w:trHeight w:val="212"/>
        </w:trPr>
        <w:tc>
          <w:tcPr>
            <w:tcW w:w="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60" w:type="dxa"/>
            <w:vAlign w:val="bottom"/>
            <w:gridSpan w:val="2"/>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200" w:type="dxa"/>
            <w:vAlign w:val="bottom"/>
          </w:tcPr>
          <w:p>
            <w:pPr>
              <w:jc w:val="right"/>
              <w:ind w:right="238"/>
              <w:spacing w:after="0"/>
              <w:rPr>
                <w:sz w:val="20"/>
                <w:szCs w:val="20"/>
                <w:color w:val="auto"/>
              </w:rPr>
            </w:pPr>
            <w:r>
              <w:rPr>
                <w:rFonts w:ascii="Arial" w:cs="Arial" w:eastAsia="Arial" w:hAnsi="Arial"/>
                <w:sz w:val="16"/>
                <w:szCs w:val="16"/>
                <w:b w:val="1"/>
                <w:bCs w:val="1"/>
                <w:color w:val="auto"/>
              </w:rPr>
              <w:t>31, 2019</w:t>
            </w:r>
          </w:p>
        </w:tc>
        <w:tc>
          <w:tcPr>
            <w:tcW w:w="80" w:type="dxa"/>
            <w:vAlign w:val="bottom"/>
          </w:tcPr>
          <w:p>
            <w:pPr>
              <w:spacing w:after="0"/>
              <w:rPr>
                <w:sz w:val="18"/>
                <w:szCs w:val="18"/>
                <w:color w:val="auto"/>
              </w:rPr>
            </w:pPr>
          </w:p>
        </w:tc>
      </w:tr>
      <w:tr>
        <w:trPr>
          <w:trHeight w:val="190"/>
        </w:trPr>
        <w:tc>
          <w:tcPr>
            <w:tcW w:w="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200" w:type="dxa"/>
            <w:vAlign w:val="bottom"/>
            <w:tcBorders>
              <w:top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6"/>
                <w:szCs w:val="16"/>
                <w:color w:val="auto"/>
              </w:rPr>
            </w:pPr>
          </w:p>
        </w:tc>
        <w:tc>
          <w:tcPr>
            <w:tcW w:w="1200" w:type="dxa"/>
            <w:vAlign w:val="bottom"/>
            <w:tcBorders>
              <w:top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6"/>
                <w:szCs w:val="16"/>
                <w:color w:val="auto"/>
              </w:rPr>
            </w:pPr>
          </w:p>
        </w:tc>
      </w:tr>
      <w:tr>
        <w:trPr>
          <w:trHeight w:val="197"/>
        </w:trPr>
        <w:tc>
          <w:tcPr>
            <w:tcW w:w="34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Non-interest-bearing -</w:t>
            </w:r>
          </w:p>
        </w:tc>
        <w:tc>
          <w:tcPr>
            <w:tcW w:w="48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3340" w:type="dxa"/>
            <w:vAlign w:val="bottom"/>
          </w:tcPr>
          <w:p>
            <w:pPr>
              <w:ind w:left="180"/>
              <w:spacing w:after="0"/>
              <w:rPr>
                <w:sz w:val="20"/>
                <w:szCs w:val="20"/>
                <w:color w:val="auto"/>
              </w:rPr>
            </w:pPr>
            <w:r>
              <w:rPr>
                <w:rFonts w:ascii="Arial" w:cs="Arial" w:eastAsia="Arial" w:hAnsi="Arial"/>
                <w:sz w:val="16"/>
                <w:szCs w:val="16"/>
                <w:color w:val="auto"/>
              </w:rPr>
              <w:t>In Peru</w:t>
            </w:r>
          </w:p>
        </w:tc>
        <w:tc>
          <w:tcPr>
            <w:tcW w:w="6280" w:type="dxa"/>
            <w:vAlign w:val="bottom"/>
            <w:gridSpan w:val="3"/>
          </w:tcPr>
          <w:p>
            <w:pPr>
              <w:jc w:val="right"/>
              <w:ind w:right="220"/>
              <w:spacing w:after="0"/>
              <w:rPr>
                <w:sz w:val="20"/>
                <w:szCs w:val="20"/>
                <w:color w:val="auto"/>
              </w:rPr>
            </w:pPr>
            <w:r>
              <w:rPr>
                <w:rFonts w:ascii="Arial" w:cs="Arial" w:eastAsia="Arial" w:hAnsi="Arial"/>
                <w:sz w:val="16"/>
                <w:szCs w:val="16"/>
                <w:color w:val="auto"/>
              </w:rPr>
              <w:t>35,407,187</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31,155,442</w:t>
            </w:r>
          </w:p>
        </w:tc>
      </w:tr>
      <w:tr>
        <w:trPr>
          <w:trHeight w:val="209"/>
        </w:trPr>
        <w:tc>
          <w:tcPr>
            <w:tcW w:w="34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 other countries</w:t>
            </w:r>
          </w:p>
        </w:tc>
        <w:tc>
          <w:tcPr>
            <w:tcW w:w="62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3,075,190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2,674,724</w:t>
            </w:r>
          </w:p>
        </w:tc>
        <w:tc>
          <w:tcPr>
            <w:tcW w:w="80" w:type="dxa"/>
            <w:vAlign w:val="bottom"/>
            <w:shd w:val="clear" w:color="auto" w:fill="CCEEFF"/>
          </w:tcPr>
          <w:p>
            <w:pPr>
              <w:spacing w:after="0"/>
              <w:rPr>
                <w:sz w:val="18"/>
                <w:szCs w:val="18"/>
                <w:color w:val="auto"/>
              </w:rPr>
            </w:pPr>
          </w:p>
        </w:tc>
      </w:tr>
      <w:tr>
        <w:trPr>
          <w:trHeight w:val="189"/>
        </w:trPr>
        <w:tc>
          <w:tcPr>
            <w:tcW w:w="340" w:type="dxa"/>
            <w:vAlign w:val="bottom"/>
          </w:tcPr>
          <w:p>
            <w:pPr>
              <w:spacing w:after="0"/>
              <w:rPr>
                <w:sz w:val="16"/>
                <w:szCs w:val="16"/>
                <w:color w:val="auto"/>
              </w:rPr>
            </w:pPr>
          </w:p>
        </w:tc>
        <w:tc>
          <w:tcPr>
            <w:tcW w:w="3340" w:type="dxa"/>
            <w:vAlign w:val="bottom"/>
            <w:tcBorders>
              <w:bottom w:val="single" w:sz="8" w:color="CCEEFF"/>
            </w:tcBorders>
          </w:tcPr>
          <w:p>
            <w:pPr>
              <w:spacing w:after="0"/>
              <w:rPr>
                <w:sz w:val="16"/>
                <w:szCs w:val="16"/>
                <w:color w:val="auto"/>
              </w:rPr>
            </w:pPr>
          </w:p>
        </w:tc>
        <w:tc>
          <w:tcPr>
            <w:tcW w:w="486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38,482,377</w:t>
            </w:r>
          </w:p>
        </w:tc>
        <w:tc>
          <w:tcPr>
            <w:tcW w:w="22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33,830,166</w:t>
            </w:r>
          </w:p>
        </w:tc>
        <w:tc>
          <w:tcPr>
            <w:tcW w:w="80" w:type="dxa"/>
            <w:vAlign w:val="bottom"/>
            <w:tcBorders>
              <w:bottom w:val="single" w:sz="8" w:color="CCEEFF"/>
            </w:tcBorders>
          </w:tcPr>
          <w:p>
            <w:pPr>
              <w:spacing w:after="0"/>
              <w:rPr>
                <w:sz w:val="16"/>
                <w:szCs w:val="16"/>
                <w:color w:val="auto"/>
              </w:rPr>
            </w:pPr>
          </w:p>
        </w:tc>
      </w:tr>
      <w:tr>
        <w:trPr>
          <w:trHeight w:val="189"/>
        </w:trPr>
        <w:tc>
          <w:tcPr>
            <w:tcW w:w="340" w:type="dxa"/>
            <w:vAlign w:val="bottom"/>
          </w:tcPr>
          <w:p>
            <w:pPr>
              <w:spacing w:after="0"/>
              <w:rPr>
                <w:sz w:val="16"/>
                <w:szCs w:val="16"/>
                <w:color w:val="auto"/>
              </w:rPr>
            </w:pPr>
          </w:p>
        </w:tc>
        <w:tc>
          <w:tcPr>
            <w:tcW w:w="3340" w:type="dxa"/>
            <w:vAlign w:val="bottom"/>
            <w:shd w:val="clear" w:color="auto" w:fill="CCEEFF"/>
          </w:tcPr>
          <w:p>
            <w:pPr>
              <w:spacing w:after="0"/>
              <w:rPr>
                <w:sz w:val="16"/>
                <w:szCs w:val="16"/>
                <w:color w:val="auto"/>
              </w:rPr>
            </w:pPr>
          </w:p>
        </w:tc>
        <w:tc>
          <w:tcPr>
            <w:tcW w:w="48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7"/>
        </w:trPr>
        <w:tc>
          <w:tcPr>
            <w:tcW w:w="34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6"/>
                <w:szCs w:val="16"/>
                <w:b w:val="1"/>
                <w:bCs w:val="1"/>
                <w:color w:val="auto"/>
              </w:rPr>
              <w:t>Interest-bearing -</w:t>
            </w:r>
          </w:p>
        </w:tc>
        <w:tc>
          <w:tcPr>
            <w:tcW w:w="4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 Peru</w:t>
            </w:r>
          </w:p>
        </w:tc>
        <w:tc>
          <w:tcPr>
            <w:tcW w:w="62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71,224,757</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68,899,966</w:t>
            </w:r>
          </w:p>
        </w:tc>
      </w:tr>
      <w:tr>
        <w:trPr>
          <w:trHeight w:val="208"/>
        </w:trPr>
        <w:tc>
          <w:tcPr>
            <w:tcW w:w="34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Arial" w:cs="Arial" w:eastAsia="Arial" w:hAnsi="Arial"/>
                <w:sz w:val="16"/>
                <w:szCs w:val="16"/>
                <w:color w:val="auto"/>
              </w:rPr>
              <w:t>In other countries</w:t>
            </w:r>
          </w:p>
        </w:tc>
        <w:tc>
          <w:tcPr>
            <w:tcW w:w="6280" w:type="dxa"/>
            <w:vAlign w:val="bottom"/>
            <w:gridSpan w:val="3"/>
          </w:tcPr>
          <w:p>
            <w:pPr>
              <w:jc w:val="right"/>
              <w:ind w:right="220"/>
              <w:spacing w:after="0"/>
              <w:rPr>
                <w:sz w:val="20"/>
                <w:szCs w:val="20"/>
                <w:color w:val="auto"/>
              </w:rPr>
            </w:pPr>
            <w:r>
              <w:rPr>
                <w:rFonts w:ascii="Arial" w:cs="Arial" w:eastAsia="Arial" w:hAnsi="Arial"/>
                <w:sz w:val="16"/>
                <w:szCs w:val="16"/>
                <w:color w:val="auto"/>
              </w:rPr>
              <w:t>9,162,197</w:t>
            </w:r>
          </w:p>
        </w:tc>
        <w:tc>
          <w:tcPr>
            <w:tcW w:w="1200" w:type="dxa"/>
            <w:vAlign w:val="bottom"/>
          </w:tcPr>
          <w:p>
            <w:pPr>
              <w:jc w:val="right"/>
              <w:spacing w:after="0"/>
              <w:rPr>
                <w:sz w:val="20"/>
                <w:szCs w:val="20"/>
                <w:color w:val="auto"/>
              </w:rPr>
            </w:pPr>
            <w:r>
              <w:rPr>
                <w:rFonts w:ascii="Arial" w:cs="Arial" w:eastAsia="Arial" w:hAnsi="Arial"/>
                <w:sz w:val="16"/>
                <w:szCs w:val="16"/>
                <w:color w:val="auto"/>
              </w:rPr>
              <w:t>8,594,062</w:t>
            </w:r>
          </w:p>
        </w:tc>
        <w:tc>
          <w:tcPr>
            <w:tcW w:w="80" w:type="dxa"/>
            <w:vAlign w:val="bottom"/>
          </w:tcPr>
          <w:p>
            <w:pPr>
              <w:spacing w:after="0"/>
              <w:rPr>
                <w:sz w:val="18"/>
                <w:szCs w:val="18"/>
                <w:color w:val="auto"/>
              </w:rPr>
            </w:pPr>
          </w:p>
        </w:tc>
      </w:tr>
      <w:tr>
        <w:trPr>
          <w:trHeight w:val="189"/>
        </w:trPr>
        <w:tc>
          <w:tcPr>
            <w:tcW w:w="340" w:type="dxa"/>
            <w:vAlign w:val="bottom"/>
          </w:tcPr>
          <w:p>
            <w:pPr>
              <w:spacing w:after="0"/>
              <w:rPr>
                <w:sz w:val="16"/>
                <w:szCs w:val="16"/>
                <w:color w:val="auto"/>
              </w:rPr>
            </w:pPr>
          </w:p>
        </w:tc>
        <w:tc>
          <w:tcPr>
            <w:tcW w:w="3340" w:type="dxa"/>
            <w:vAlign w:val="bottom"/>
            <w:tcBorders>
              <w:top w:val="single" w:sz="8" w:color="CCEEFF"/>
            </w:tcBorders>
            <w:shd w:val="clear" w:color="auto" w:fill="CCEEFF"/>
          </w:tcPr>
          <w:p>
            <w:pPr>
              <w:spacing w:after="0"/>
              <w:rPr>
                <w:sz w:val="16"/>
                <w:szCs w:val="16"/>
                <w:color w:val="auto"/>
              </w:rPr>
            </w:pPr>
          </w:p>
        </w:tc>
        <w:tc>
          <w:tcPr>
            <w:tcW w:w="48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80,386,954</w:t>
            </w: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77,494,028</w:t>
            </w:r>
          </w:p>
        </w:tc>
        <w:tc>
          <w:tcPr>
            <w:tcW w:w="80" w:type="dxa"/>
            <w:vAlign w:val="bottom"/>
            <w:tcBorders>
              <w:top w:val="single" w:sz="8" w:color="CCEEFF"/>
            </w:tcBorders>
            <w:shd w:val="clear" w:color="auto" w:fill="CCEEFF"/>
          </w:tcPr>
          <w:p>
            <w:pPr>
              <w:spacing w:after="0"/>
              <w:rPr>
                <w:sz w:val="16"/>
                <w:szCs w:val="16"/>
                <w:color w:val="auto"/>
              </w:rPr>
            </w:pPr>
          </w:p>
        </w:tc>
      </w:tr>
      <w:tr>
        <w:trPr>
          <w:trHeight w:val="189"/>
        </w:trPr>
        <w:tc>
          <w:tcPr>
            <w:tcW w:w="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3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62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118,869,331</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111,324,194</w:t>
            </w:r>
          </w:p>
        </w:tc>
      </w:tr>
      <w:tr>
        <w:trPr>
          <w:trHeight w:val="581"/>
        </w:trPr>
        <w:tc>
          <w:tcPr>
            <w:tcW w:w="3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jc w:val="right"/>
              <w:ind w:right="2658"/>
              <w:spacing w:after="0"/>
              <w:rPr>
                <w:sz w:val="20"/>
                <w:szCs w:val="20"/>
                <w:color w:val="auto"/>
              </w:rPr>
            </w:pPr>
            <w:r>
              <w:rPr>
                <w:rFonts w:ascii="Arial" w:cs="Arial" w:eastAsia="Arial" w:hAnsi="Arial"/>
                <w:sz w:val="16"/>
                <w:szCs w:val="16"/>
                <w:color w:val="auto"/>
              </w:rPr>
              <w:t>-45-</w:t>
            </w:r>
          </w:p>
        </w:tc>
        <w:tc>
          <w:tcPr>
            <w:tcW w:w="12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2"/>
          </w:cols>
          <w:pgMar w:left="318" w:top="1032" w:right="3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240" w:type="dxa"/>
            <w:vAlign w:val="bottom"/>
            <w:gridSpan w:val="2"/>
          </w:tcPr>
          <w:p>
            <w:pPr>
              <w:spacing w:after="0"/>
              <w:rPr>
                <w:sz w:val="20"/>
                <w:szCs w:val="20"/>
                <w:color w:val="auto"/>
              </w:rPr>
            </w:pPr>
            <w:r>
              <w:rPr>
                <w:rFonts w:ascii="Arial" w:cs="Arial" w:eastAsia="Arial" w:hAnsi="Arial"/>
                <w:sz w:val="16"/>
                <w:szCs w:val="16"/>
                <w:color w:val="auto"/>
              </w:rPr>
              <w:t>c) The balance of time deposits classified by maturity is as follows: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78"/>
        </w:trPr>
        <w:tc>
          <w:tcPr>
            <w:tcW w:w="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March 31,</w:t>
            </w: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As of December</w:t>
            </w:r>
          </w:p>
        </w:tc>
      </w:tr>
      <w:tr>
        <w:trPr>
          <w:trHeight w:val="212"/>
        </w:trPr>
        <w:tc>
          <w:tcPr>
            <w:tcW w:w="4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20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31, 2019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0"/>
        </w:trPr>
        <w:tc>
          <w:tcPr>
            <w:tcW w:w="4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80" w:type="dxa"/>
            <w:vAlign w:val="bottom"/>
            <w:gridSpan w:val="2"/>
          </w:tcPr>
          <w:p>
            <w:pPr>
              <w:spacing w:after="0"/>
              <w:rPr>
                <w:sz w:val="16"/>
                <w:szCs w:val="16"/>
                <w:color w:val="auto"/>
              </w:rPr>
            </w:pPr>
          </w:p>
        </w:tc>
      </w:tr>
      <w:tr>
        <w:trPr>
          <w:trHeight w:val="197"/>
        </w:trPr>
        <w:tc>
          <w:tcPr>
            <w:tcW w:w="40" w:type="dxa"/>
            <w:vAlign w:val="bottom"/>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Up to 3 months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14,909,932</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14,674,773</w:t>
            </w:r>
          </w:p>
        </w:tc>
        <w:tc>
          <w:tcPr>
            <w:tcW w:w="60" w:type="dxa"/>
            <w:vAlign w:val="bottom"/>
            <w:shd w:val="clear" w:color="auto" w:fill="CCEEFF"/>
          </w:tcPr>
          <w:p>
            <w:pPr>
              <w:spacing w:after="0"/>
              <w:rPr>
                <w:sz w:val="17"/>
                <w:szCs w:val="17"/>
                <w:color w:val="auto"/>
              </w:rPr>
            </w:pPr>
          </w:p>
        </w:tc>
      </w:tr>
      <w:tr>
        <w:trPr>
          <w:trHeight w:val="197"/>
        </w:trPr>
        <w:tc>
          <w:tcPr>
            <w:tcW w:w="4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6"/>
                <w:szCs w:val="16"/>
                <w:color w:val="auto"/>
              </w:rPr>
              <w:t>From 3 months to 1 year</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9,526,978</w:t>
            </w:r>
          </w:p>
        </w:tc>
        <w:tc>
          <w:tcPr>
            <w:tcW w:w="1200" w:type="dxa"/>
            <w:vAlign w:val="bottom"/>
          </w:tcPr>
          <w:p>
            <w:pPr>
              <w:jc w:val="right"/>
              <w:spacing w:after="0"/>
              <w:rPr>
                <w:sz w:val="20"/>
                <w:szCs w:val="20"/>
                <w:color w:val="auto"/>
              </w:rPr>
            </w:pPr>
            <w:r>
              <w:rPr>
                <w:rFonts w:ascii="Arial" w:cs="Arial" w:eastAsia="Arial" w:hAnsi="Arial"/>
                <w:sz w:val="16"/>
                <w:szCs w:val="16"/>
                <w:color w:val="auto"/>
              </w:rPr>
              <w:t>8,975,269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40" w:type="dxa"/>
            <w:vAlign w:val="bottom"/>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From 1 to 3 years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6,004,161</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6,096,891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7"/>
        </w:trPr>
        <w:tc>
          <w:tcPr>
            <w:tcW w:w="4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6"/>
                <w:szCs w:val="16"/>
                <w:color w:val="auto"/>
              </w:rPr>
              <w:t>From 3 to 5 years</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795,182</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819,446</w:t>
            </w:r>
          </w:p>
        </w:tc>
        <w:tc>
          <w:tcPr>
            <w:tcW w:w="60" w:type="dxa"/>
            <w:vAlign w:val="bottom"/>
          </w:tcPr>
          <w:p>
            <w:pPr>
              <w:spacing w:after="0"/>
              <w:rPr>
                <w:sz w:val="17"/>
                <w:szCs w:val="17"/>
                <w:color w:val="auto"/>
              </w:rPr>
            </w:pPr>
          </w:p>
        </w:tc>
      </w:tr>
      <w:tr>
        <w:trPr>
          <w:trHeight w:val="209"/>
        </w:trPr>
        <w:tc>
          <w:tcPr>
            <w:tcW w:w="4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More than 5 years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2,718,304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2,287,197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1"/>
        </w:trPr>
        <w:tc>
          <w:tcPr>
            <w:tcW w:w="4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33,954,557</w:t>
            </w:r>
          </w:p>
        </w:tc>
        <w:tc>
          <w:tcPr>
            <w:tcW w:w="2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32,853,576</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184" w:lineRule="exact"/>
        <w:rPr>
          <w:sz w:val="20"/>
          <w:szCs w:val="20"/>
          <w:color w:val="auto"/>
        </w:rPr>
      </w:pPr>
    </w:p>
    <w:p>
      <w:pPr>
        <w:ind w:right="920"/>
        <w:spacing w:after="0" w:line="287" w:lineRule="auto"/>
        <w:rPr>
          <w:sz w:val="20"/>
          <w:szCs w:val="20"/>
          <w:color w:val="auto"/>
        </w:rPr>
      </w:pPr>
      <w:r>
        <w:rPr>
          <w:rFonts w:ascii="Arial" w:cs="Arial" w:eastAsia="Arial" w:hAnsi="Arial"/>
          <w:sz w:val="16"/>
          <w:szCs w:val="16"/>
          <w:color w:val="auto"/>
        </w:rPr>
        <w:t>In Management’s opinion the Group’s deposits and obligations are diversified with no significant concentrations as of March 31, 2020 and December 31, 2019.</w:t>
      </w:r>
    </w:p>
    <w:p>
      <w:pPr>
        <w:spacing w:after="0" w:line="150" w:lineRule="exact"/>
        <w:rPr>
          <w:sz w:val="20"/>
          <w:szCs w:val="20"/>
          <w:color w:val="auto"/>
        </w:rPr>
      </w:pPr>
    </w:p>
    <w:p>
      <w:pPr>
        <w:ind w:right="900"/>
        <w:spacing w:after="0" w:line="271" w:lineRule="auto"/>
        <w:rPr>
          <w:sz w:val="20"/>
          <w:szCs w:val="20"/>
          <w:color w:val="auto"/>
        </w:rPr>
      </w:pPr>
      <w:r>
        <w:rPr>
          <w:rFonts w:ascii="Arial" w:cs="Arial" w:eastAsia="Arial" w:hAnsi="Arial"/>
          <w:sz w:val="16"/>
          <w:szCs w:val="16"/>
          <w:color w:val="auto"/>
        </w:rPr>
        <w:t>As of March 31, 2020 and December 31, 2019, of the total balance of deposits and obligations, approximately S/35,356.0 million and S/35,511.9 million, respectively, are secured by the Peruvian “Fondo de Seguro de Depósitos” (Deposit Insurance Fund). At said dates, maximum amount of coverage per depositor recognized by “Fondo de Seguro de Depósitos” totaled S/100,123 and S/100,661, respectively.</w:t>
      </w:r>
    </w:p>
    <w:p>
      <w:pPr>
        <w:spacing w:after="0" w:line="359"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15875</wp:posOffset>
            </wp:positionV>
            <wp:extent cx="714438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940"/>
          </w:cols>
          <w:pgMar w:left="620" w:top="839"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2"/>
        </w:trPr>
        <w:tc>
          <w:tcPr>
            <w:tcW w:w="220" w:type="dxa"/>
            <w:vAlign w:val="bottom"/>
          </w:tcPr>
          <w:p>
            <w:pPr>
              <w:jc w:val="right"/>
              <w:spacing w:after="0"/>
              <w:rPr>
                <w:sz w:val="20"/>
                <w:szCs w:val="20"/>
                <w:color w:val="auto"/>
              </w:rPr>
            </w:pPr>
            <w:r>
              <w:rPr>
                <w:rFonts w:ascii="Arial" w:cs="Arial" w:eastAsia="Arial" w:hAnsi="Arial"/>
                <w:sz w:val="16"/>
                <w:szCs w:val="16"/>
                <w:b w:val="1"/>
                <w:bCs w:val="1"/>
                <w:color w:val="auto"/>
                <w:w w:val="78"/>
              </w:rPr>
              <w:t>15</w:t>
            </w:r>
          </w:p>
        </w:tc>
        <w:tc>
          <w:tcPr>
            <w:tcW w:w="12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6"/>
                <w:szCs w:val="16"/>
                <w:b w:val="1"/>
                <w:bCs w:val="1"/>
                <w:color w:val="auto"/>
              </w:rPr>
              <w:t>DUE TO BANKS AND CORRESPONDENTS</w:t>
            </w:r>
          </w:p>
        </w:tc>
        <w:tc>
          <w:tcPr>
            <w:tcW w:w="3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93"/>
        </w:trPr>
        <w:tc>
          <w:tcPr>
            <w:tcW w:w="220" w:type="dxa"/>
            <w:vAlign w:val="bottom"/>
          </w:tcPr>
          <w:p>
            <w:pPr>
              <w:spacing w:after="0"/>
              <w:rPr>
                <w:sz w:val="24"/>
                <w:szCs w:val="24"/>
                <w:color w:val="auto"/>
              </w:rPr>
            </w:pPr>
          </w:p>
        </w:tc>
        <w:tc>
          <w:tcPr>
            <w:tcW w:w="4460" w:type="dxa"/>
            <w:vAlign w:val="bottom"/>
            <w:gridSpan w:val="2"/>
          </w:tcPr>
          <w:p>
            <w:pPr>
              <w:ind w:left="80"/>
              <w:spacing w:after="0"/>
              <w:rPr>
                <w:sz w:val="20"/>
                <w:szCs w:val="20"/>
                <w:color w:val="auto"/>
              </w:rPr>
            </w:pPr>
            <w:r>
              <w:rPr>
                <w:rFonts w:ascii="Arial" w:cs="Arial" w:eastAsia="Arial" w:hAnsi="Arial"/>
                <w:sz w:val="16"/>
                <w:szCs w:val="16"/>
                <w:color w:val="auto"/>
              </w:rPr>
              <w:t>a) This item consists of the following:</w:t>
            </w:r>
          </w:p>
        </w:tc>
        <w:tc>
          <w:tcPr>
            <w:tcW w:w="3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March 31,</w:t>
            </w: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December</w:t>
            </w:r>
          </w:p>
        </w:tc>
      </w:tr>
      <w:tr>
        <w:trPr>
          <w:trHeight w:val="212"/>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060" w:type="dxa"/>
            <w:vAlign w:val="bottom"/>
            <w:gridSpan w:val="2"/>
          </w:tcPr>
          <w:p>
            <w:pPr>
              <w:jc w:val="center"/>
              <w:ind w:left="3778"/>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3"/>
              </w:rPr>
              <w:t>31,2019</w:t>
            </w:r>
          </w:p>
        </w:tc>
        <w:tc>
          <w:tcPr>
            <w:tcW w:w="80" w:type="dxa"/>
            <w:vAlign w:val="bottom"/>
          </w:tcPr>
          <w:p>
            <w:pPr>
              <w:spacing w:after="0"/>
              <w:rPr>
                <w:sz w:val="18"/>
                <w:szCs w:val="18"/>
                <w:color w:val="auto"/>
              </w:rPr>
            </w:pPr>
          </w:p>
        </w:tc>
      </w:tr>
      <w:tr>
        <w:trPr>
          <w:trHeight w:val="190"/>
        </w:trPr>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6"/>
                <w:szCs w:val="16"/>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80" w:type="dxa"/>
            <w:vAlign w:val="bottom"/>
          </w:tcPr>
          <w:p>
            <w:pPr>
              <w:spacing w:after="0"/>
              <w:rPr>
                <w:sz w:val="16"/>
                <w:szCs w:val="16"/>
                <w:color w:val="auto"/>
              </w:rPr>
            </w:pP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International funds and others (b)</w:t>
            </w:r>
          </w:p>
        </w:tc>
        <w:tc>
          <w:tcPr>
            <w:tcW w:w="52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6,738,811</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5,654,014</w:t>
            </w:r>
          </w:p>
        </w:tc>
        <w:tc>
          <w:tcPr>
            <w:tcW w:w="80" w:type="dxa"/>
            <w:vAlign w:val="bottom"/>
            <w:shd w:val="clear" w:color="auto" w:fill="CCEEFF"/>
          </w:tcPr>
          <w:p>
            <w:pPr>
              <w:spacing w:after="0"/>
              <w:rPr>
                <w:sz w:val="17"/>
                <w:szCs w:val="17"/>
                <w:color w:val="auto"/>
              </w:rPr>
            </w:pP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Promotional credit lines (c)</w:t>
            </w:r>
          </w:p>
        </w:tc>
        <w:tc>
          <w:tcPr>
            <w:tcW w:w="5280" w:type="dxa"/>
            <w:vAlign w:val="bottom"/>
            <w:gridSpan w:val="3"/>
          </w:tcPr>
          <w:p>
            <w:pPr>
              <w:jc w:val="right"/>
              <w:ind w:right="220"/>
              <w:spacing w:after="0"/>
              <w:rPr>
                <w:sz w:val="20"/>
                <w:szCs w:val="20"/>
                <w:color w:val="auto"/>
              </w:rPr>
            </w:pPr>
            <w:r>
              <w:rPr>
                <w:rFonts w:ascii="Arial" w:cs="Arial" w:eastAsia="Arial" w:hAnsi="Arial"/>
                <w:sz w:val="16"/>
                <w:szCs w:val="16"/>
                <w:color w:val="auto"/>
              </w:rPr>
              <w:t>3,056,167</w:t>
            </w:r>
          </w:p>
        </w:tc>
        <w:tc>
          <w:tcPr>
            <w:tcW w:w="1200" w:type="dxa"/>
            <w:vAlign w:val="bottom"/>
          </w:tcPr>
          <w:p>
            <w:pPr>
              <w:jc w:val="right"/>
              <w:spacing w:after="0"/>
              <w:rPr>
                <w:sz w:val="20"/>
                <w:szCs w:val="20"/>
                <w:color w:val="auto"/>
              </w:rPr>
            </w:pPr>
            <w:r>
              <w:rPr>
                <w:rFonts w:ascii="Arial" w:cs="Arial" w:eastAsia="Arial" w:hAnsi="Arial"/>
                <w:sz w:val="16"/>
                <w:szCs w:val="16"/>
                <w:color w:val="auto"/>
              </w:rPr>
              <w:t>2,938,981</w:t>
            </w:r>
          </w:p>
        </w:tc>
        <w:tc>
          <w:tcPr>
            <w:tcW w:w="80" w:type="dxa"/>
            <w:vAlign w:val="bottom"/>
          </w:tcPr>
          <w:p>
            <w:pPr>
              <w:spacing w:after="0"/>
              <w:rPr>
                <w:sz w:val="17"/>
                <w:szCs w:val="17"/>
                <w:color w:val="auto"/>
              </w:rPr>
            </w:pPr>
          </w:p>
        </w:tc>
      </w:tr>
      <w:tr>
        <w:trPr>
          <w:trHeight w:val="209"/>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Inter-bank funds</w:t>
            </w:r>
          </w:p>
        </w:tc>
        <w:tc>
          <w:tcPr>
            <w:tcW w:w="52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205,000</w:t>
            </w:r>
          </w:p>
        </w:tc>
      </w:tr>
      <w:tr>
        <w:trPr>
          <w:trHeight w:val="189"/>
        </w:trPr>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9,794,978</w:t>
            </w:r>
          </w:p>
        </w:tc>
        <w:tc>
          <w:tcPr>
            <w:tcW w:w="22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8,797,995</w:t>
            </w:r>
          </w:p>
        </w:tc>
        <w:tc>
          <w:tcPr>
            <w:tcW w:w="80" w:type="dxa"/>
            <w:vAlign w:val="bottom"/>
          </w:tcPr>
          <w:p>
            <w:pPr>
              <w:spacing w:after="0"/>
              <w:rPr>
                <w:sz w:val="16"/>
                <w:szCs w:val="16"/>
                <w:color w:val="auto"/>
              </w:rPr>
            </w:pPr>
          </w:p>
        </w:tc>
      </w:tr>
      <w:tr>
        <w:trPr>
          <w:trHeight w:val="209"/>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Interest payable</w:t>
            </w:r>
          </w:p>
        </w:tc>
        <w:tc>
          <w:tcPr>
            <w:tcW w:w="52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59,652</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43,737</w:t>
            </w:r>
          </w:p>
        </w:tc>
      </w:tr>
      <w:tr>
        <w:trPr>
          <w:trHeight w:val="200"/>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386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9,854,630</w:t>
            </w:r>
          </w:p>
        </w:tc>
        <w:tc>
          <w:tcPr>
            <w:tcW w:w="2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8,841,732</w:t>
            </w:r>
          </w:p>
        </w:tc>
        <w:tc>
          <w:tcPr>
            <w:tcW w:w="80" w:type="dxa"/>
            <w:vAlign w:val="bottom"/>
          </w:tcPr>
          <w:p>
            <w:pPr>
              <w:spacing w:after="0"/>
              <w:rPr>
                <w:sz w:val="17"/>
                <w:szCs w:val="17"/>
                <w:color w:val="auto"/>
              </w:rPr>
            </w:pPr>
          </w:p>
        </w:tc>
      </w:tr>
      <w:tr>
        <w:trPr>
          <w:trHeight w:val="385"/>
        </w:trPr>
        <w:tc>
          <w:tcPr>
            <w:tcW w:w="220" w:type="dxa"/>
            <w:vAlign w:val="bottom"/>
          </w:tcPr>
          <w:p>
            <w:pPr>
              <w:spacing w:after="0"/>
              <w:rPr>
                <w:sz w:val="24"/>
                <w:szCs w:val="24"/>
                <w:color w:val="auto"/>
              </w:rPr>
            </w:pPr>
          </w:p>
        </w:tc>
        <w:tc>
          <w:tcPr>
            <w:tcW w:w="4460" w:type="dxa"/>
            <w:vAlign w:val="bottom"/>
            <w:gridSpan w:val="2"/>
          </w:tcPr>
          <w:p>
            <w:pPr>
              <w:ind w:left="80"/>
              <w:spacing w:after="0"/>
              <w:rPr>
                <w:sz w:val="20"/>
                <w:szCs w:val="20"/>
                <w:color w:val="auto"/>
              </w:rPr>
            </w:pPr>
            <w:r>
              <w:rPr>
                <w:rFonts w:ascii="Arial" w:cs="Arial" w:eastAsia="Arial" w:hAnsi="Arial"/>
                <w:sz w:val="16"/>
                <w:szCs w:val="16"/>
                <w:color w:val="auto"/>
              </w:rPr>
              <w:t>b) This item consists of the following:</w:t>
            </w:r>
          </w:p>
        </w:tc>
        <w:tc>
          <w:tcPr>
            <w:tcW w:w="3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March 31,</w:t>
            </w: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December</w:t>
            </w:r>
          </w:p>
        </w:tc>
      </w:tr>
      <w:tr>
        <w:trPr>
          <w:trHeight w:val="212"/>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060" w:type="dxa"/>
            <w:vAlign w:val="bottom"/>
            <w:gridSpan w:val="2"/>
          </w:tcPr>
          <w:p>
            <w:pPr>
              <w:jc w:val="center"/>
              <w:ind w:left="3778"/>
              <w:spacing w:after="0"/>
              <w:rPr>
                <w:sz w:val="20"/>
                <w:szCs w:val="20"/>
                <w:color w:val="auto"/>
              </w:rPr>
            </w:pPr>
            <w:r>
              <w:rPr>
                <w:rFonts w:ascii="Arial" w:cs="Arial" w:eastAsia="Arial" w:hAnsi="Arial"/>
                <w:sz w:val="16"/>
                <w:szCs w:val="16"/>
                <w:b w:val="1"/>
                <w:bCs w:val="1"/>
                <w:color w:val="auto"/>
                <w:w w:val="89"/>
              </w:rPr>
              <w:t>2020</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3"/>
              </w:rPr>
              <w:t>31, 2019</w:t>
            </w:r>
          </w:p>
        </w:tc>
        <w:tc>
          <w:tcPr>
            <w:tcW w:w="80" w:type="dxa"/>
            <w:vAlign w:val="bottom"/>
          </w:tcPr>
          <w:p>
            <w:pPr>
              <w:spacing w:after="0"/>
              <w:rPr>
                <w:sz w:val="18"/>
                <w:szCs w:val="18"/>
                <w:color w:val="auto"/>
              </w:rPr>
            </w:pPr>
          </w:p>
        </w:tc>
      </w:tr>
      <w:tr>
        <w:trPr>
          <w:trHeight w:val="190"/>
        </w:trPr>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6"/>
                <w:szCs w:val="16"/>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80" w:type="dxa"/>
            <w:vAlign w:val="bottom"/>
          </w:tcPr>
          <w:p>
            <w:pPr>
              <w:spacing w:after="0"/>
              <w:rPr>
                <w:sz w:val="16"/>
                <w:szCs w:val="16"/>
                <w:color w:val="auto"/>
              </w:rPr>
            </w:pP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Bank of America, N.A.</w:t>
            </w:r>
          </w:p>
        </w:tc>
        <w:tc>
          <w:tcPr>
            <w:tcW w:w="52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1,044,825</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994,200</w:t>
            </w: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Citibank N.A.</w:t>
            </w:r>
          </w:p>
        </w:tc>
        <w:tc>
          <w:tcPr>
            <w:tcW w:w="5280" w:type="dxa"/>
            <w:vAlign w:val="bottom"/>
            <w:gridSpan w:val="3"/>
          </w:tcPr>
          <w:p>
            <w:pPr>
              <w:jc w:val="right"/>
              <w:ind w:right="220"/>
              <w:spacing w:after="0"/>
              <w:rPr>
                <w:sz w:val="20"/>
                <w:szCs w:val="20"/>
                <w:color w:val="auto"/>
              </w:rPr>
            </w:pPr>
            <w:r>
              <w:rPr>
                <w:rFonts w:ascii="Arial" w:cs="Arial" w:eastAsia="Arial" w:hAnsi="Arial"/>
                <w:sz w:val="16"/>
                <w:szCs w:val="16"/>
                <w:color w:val="auto"/>
              </w:rPr>
              <w:t>1,031,100</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662,800</w:t>
            </w: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Sumitomo Mitsui Banking Corporation</w:t>
            </w:r>
          </w:p>
        </w:tc>
        <w:tc>
          <w:tcPr>
            <w:tcW w:w="52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683,963</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984,258</w:t>
            </w: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Wells Fargo Bank, N.A.</w:t>
            </w:r>
          </w:p>
        </w:tc>
        <w:tc>
          <w:tcPr>
            <w:tcW w:w="5280" w:type="dxa"/>
            <w:vAlign w:val="bottom"/>
            <w:gridSpan w:val="3"/>
          </w:tcPr>
          <w:p>
            <w:pPr>
              <w:jc w:val="right"/>
              <w:ind w:right="220"/>
              <w:spacing w:after="0"/>
              <w:rPr>
                <w:sz w:val="20"/>
                <w:szCs w:val="20"/>
                <w:color w:val="auto"/>
              </w:rPr>
            </w:pPr>
            <w:r>
              <w:rPr>
                <w:rFonts w:ascii="Arial" w:cs="Arial" w:eastAsia="Arial" w:hAnsi="Arial"/>
                <w:sz w:val="16"/>
                <w:szCs w:val="16"/>
                <w:color w:val="auto"/>
              </w:rPr>
              <w:t>653,030</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730,074</w:t>
            </w: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Bank of New York Mellon</w:t>
            </w:r>
          </w:p>
        </w:tc>
        <w:tc>
          <w:tcPr>
            <w:tcW w:w="52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515,551</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331,400</w:t>
            </w: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Corporación Andina de Fomento - CAF</w:t>
            </w:r>
          </w:p>
        </w:tc>
        <w:tc>
          <w:tcPr>
            <w:tcW w:w="5280" w:type="dxa"/>
            <w:vAlign w:val="bottom"/>
            <w:gridSpan w:val="3"/>
          </w:tcPr>
          <w:p>
            <w:pPr>
              <w:jc w:val="right"/>
              <w:ind w:right="220"/>
              <w:spacing w:after="0"/>
              <w:rPr>
                <w:sz w:val="20"/>
                <w:szCs w:val="20"/>
                <w:color w:val="auto"/>
              </w:rPr>
            </w:pPr>
            <w:r>
              <w:rPr>
                <w:rFonts w:ascii="Arial" w:cs="Arial" w:eastAsia="Arial" w:hAnsi="Arial"/>
                <w:sz w:val="16"/>
                <w:szCs w:val="16"/>
                <w:color w:val="auto"/>
              </w:rPr>
              <w:t>343,700</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662,800</w:t>
            </w: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Corporación Financiera de Desarrollo (COFIDE)</w:t>
            </w:r>
          </w:p>
        </w:tc>
        <w:tc>
          <w:tcPr>
            <w:tcW w:w="52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298,331</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406,710</w:t>
            </w: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Banco de la Nación</w:t>
            </w:r>
          </w:p>
        </w:tc>
        <w:tc>
          <w:tcPr>
            <w:tcW w:w="5280" w:type="dxa"/>
            <w:vAlign w:val="bottom"/>
            <w:gridSpan w:val="3"/>
          </w:tcPr>
          <w:p>
            <w:pPr>
              <w:jc w:val="right"/>
              <w:ind w:right="220"/>
              <w:spacing w:after="0"/>
              <w:rPr>
                <w:sz w:val="20"/>
                <w:szCs w:val="20"/>
                <w:color w:val="auto"/>
              </w:rPr>
            </w:pPr>
            <w:r>
              <w:rPr>
                <w:rFonts w:ascii="Arial" w:cs="Arial" w:eastAsia="Arial" w:hAnsi="Arial"/>
                <w:sz w:val="16"/>
                <w:szCs w:val="16"/>
                <w:color w:val="auto"/>
              </w:rPr>
              <w:t>260,000</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Brown Brothers Harriman</w:t>
            </w:r>
          </w:p>
        </w:tc>
        <w:tc>
          <w:tcPr>
            <w:tcW w:w="52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210,010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Pershing Usd - Rfi</w:t>
            </w:r>
          </w:p>
        </w:tc>
        <w:tc>
          <w:tcPr>
            <w:tcW w:w="5280" w:type="dxa"/>
            <w:vAlign w:val="bottom"/>
            <w:gridSpan w:val="3"/>
          </w:tcPr>
          <w:p>
            <w:pPr>
              <w:jc w:val="right"/>
              <w:ind w:right="220"/>
              <w:spacing w:after="0"/>
              <w:rPr>
                <w:sz w:val="20"/>
                <w:szCs w:val="20"/>
                <w:color w:val="auto"/>
              </w:rPr>
            </w:pPr>
            <w:r>
              <w:rPr>
                <w:rFonts w:ascii="Arial" w:cs="Arial" w:eastAsia="Arial" w:hAnsi="Arial"/>
                <w:sz w:val="16"/>
                <w:szCs w:val="16"/>
                <w:color w:val="auto"/>
              </w:rPr>
              <w:t>183,860</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Standard Chartered Bank</w:t>
            </w:r>
          </w:p>
        </w:tc>
        <w:tc>
          <w:tcPr>
            <w:tcW w:w="52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183,104</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86,827</w:t>
            </w: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JP Morgan Chase Bank, National Association</w:t>
            </w:r>
          </w:p>
        </w:tc>
        <w:tc>
          <w:tcPr>
            <w:tcW w:w="5280" w:type="dxa"/>
            <w:vAlign w:val="bottom"/>
            <w:gridSpan w:val="3"/>
          </w:tcPr>
          <w:p>
            <w:pPr>
              <w:jc w:val="right"/>
              <w:ind w:right="220"/>
              <w:spacing w:after="0"/>
              <w:rPr>
                <w:sz w:val="20"/>
                <w:szCs w:val="20"/>
                <w:color w:val="auto"/>
              </w:rPr>
            </w:pPr>
            <w:r>
              <w:rPr>
                <w:rFonts w:ascii="Arial" w:cs="Arial" w:eastAsia="Arial" w:hAnsi="Arial"/>
                <w:sz w:val="16"/>
                <w:szCs w:val="16"/>
                <w:color w:val="auto"/>
              </w:rPr>
              <w:t>171,850</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Wachovia Bank N.A.</w:t>
            </w:r>
          </w:p>
        </w:tc>
        <w:tc>
          <w:tcPr>
            <w:tcW w:w="52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103,110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Caja Municipal de Ahorro y Crédito de Arequipa S.A.</w:t>
            </w:r>
          </w:p>
        </w:tc>
        <w:tc>
          <w:tcPr>
            <w:tcW w:w="5280" w:type="dxa"/>
            <w:vAlign w:val="bottom"/>
            <w:gridSpan w:val="3"/>
          </w:tcPr>
          <w:p>
            <w:pPr>
              <w:jc w:val="right"/>
              <w:ind w:right="220"/>
              <w:spacing w:after="0"/>
              <w:rPr>
                <w:sz w:val="20"/>
                <w:szCs w:val="20"/>
                <w:color w:val="auto"/>
              </w:rPr>
            </w:pPr>
            <w:r>
              <w:rPr>
                <w:rFonts w:ascii="Arial" w:cs="Arial" w:eastAsia="Arial" w:hAnsi="Arial"/>
                <w:sz w:val="16"/>
                <w:szCs w:val="16"/>
                <w:color w:val="auto"/>
              </w:rPr>
              <w:t>100,000</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140,000</w:t>
            </w: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Scotiabank Perú S.A.A.</w:t>
            </w:r>
          </w:p>
        </w:tc>
        <w:tc>
          <w:tcPr>
            <w:tcW w:w="52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100,000</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100,000</w:t>
            </w: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Banco Internacional del Perú S.A.A. (Interbank)</w:t>
            </w:r>
          </w:p>
        </w:tc>
        <w:tc>
          <w:tcPr>
            <w:tcW w:w="5280" w:type="dxa"/>
            <w:vAlign w:val="bottom"/>
            <w:gridSpan w:val="3"/>
          </w:tcPr>
          <w:p>
            <w:pPr>
              <w:jc w:val="right"/>
              <w:ind w:right="220"/>
              <w:spacing w:after="0"/>
              <w:rPr>
                <w:sz w:val="20"/>
                <w:szCs w:val="20"/>
                <w:color w:val="auto"/>
              </w:rPr>
            </w:pPr>
            <w:r>
              <w:rPr>
                <w:rFonts w:ascii="Arial" w:cs="Arial" w:eastAsia="Arial" w:hAnsi="Arial"/>
                <w:sz w:val="16"/>
                <w:szCs w:val="16"/>
                <w:color w:val="auto"/>
              </w:rPr>
              <w:t>110,000</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50,000</w:t>
            </w: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Banco BBVA Perú</w:t>
            </w:r>
          </w:p>
        </w:tc>
        <w:tc>
          <w:tcPr>
            <w:tcW w:w="52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100,500</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85,000</w:t>
            </w: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Bofa - Casa De Valores C1</w:t>
            </w:r>
          </w:p>
        </w:tc>
        <w:tc>
          <w:tcPr>
            <w:tcW w:w="5280" w:type="dxa"/>
            <w:vAlign w:val="bottom"/>
            <w:gridSpan w:val="3"/>
          </w:tcPr>
          <w:p>
            <w:pPr>
              <w:jc w:val="right"/>
              <w:ind w:right="220"/>
              <w:spacing w:after="0"/>
              <w:rPr>
                <w:sz w:val="20"/>
                <w:szCs w:val="20"/>
                <w:color w:val="auto"/>
              </w:rPr>
            </w:pPr>
            <w:r>
              <w:rPr>
                <w:rFonts w:ascii="Arial" w:cs="Arial" w:eastAsia="Arial" w:hAnsi="Arial"/>
                <w:sz w:val="16"/>
                <w:szCs w:val="16"/>
                <w:color w:val="auto"/>
              </w:rPr>
              <w:t>69,133</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Banco de Occidente</w:t>
            </w:r>
          </w:p>
        </w:tc>
        <w:tc>
          <w:tcPr>
            <w:tcW w:w="52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68,553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Bancoldex</w:t>
            </w:r>
          </w:p>
        </w:tc>
        <w:tc>
          <w:tcPr>
            <w:tcW w:w="5280" w:type="dxa"/>
            <w:vAlign w:val="bottom"/>
            <w:gridSpan w:val="3"/>
          </w:tcPr>
          <w:p>
            <w:pPr>
              <w:jc w:val="right"/>
              <w:ind w:right="220"/>
              <w:spacing w:after="0"/>
              <w:rPr>
                <w:sz w:val="20"/>
                <w:szCs w:val="20"/>
                <w:color w:val="auto"/>
              </w:rPr>
            </w:pPr>
            <w:r>
              <w:rPr>
                <w:rFonts w:ascii="Arial" w:cs="Arial" w:eastAsia="Arial" w:hAnsi="Arial"/>
                <w:sz w:val="16"/>
                <w:szCs w:val="16"/>
                <w:color w:val="auto"/>
              </w:rPr>
              <w:t>58,430</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Banco ICBC</w:t>
            </w:r>
          </w:p>
        </w:tc>
        <w:tc>
          <w:tcPr>
            <w:tcW w:w="52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55,000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r>
      <w:tr>
        <w:trPr>
          <w:trHeight w:val="197"/>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International Finance Corporation (IFC)</w:t>
            </w:r>
          </w:p>
        </w:tc>
        <w:tc>
          <w:tcPr>
            <w:tcW w:w="5280" w:type="dxa"/>
            <w:vAlign w:val="bottom"/>
            <w:gridSpan w:val="3"/>
          </w:tcPr>
          <w:p>
            <w:pPr>
              <w:jc w:val="right"/>
              <w:ind w:right="220"/>
              <w:spacing w:after="0"/>
              <w:rPr>
                <w:sz w:val="20"/>
                <w:szCs w:val="20"/>
                <w:color w:val="auto"/>
              </w:rPr>
            </w:pPr>
            <w:r>
              <w:rPr>
                <w:rFonts w:ascii="Arial" w:cs="Arial" w:eastAsia="Arial" w:hAnsi="Arial"/>
                <w:sz w:val="16"/>
                <w:szCs w:val="16"/>
                <w:color w:val="auto"/>
              </w:rPr>
              <w:t>4,022</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91,558</w:t>
            </w:r>
          </w:p>
        </w:tc>
      </w:tr>
      <w:tr>
        <w:trPr>
          <w:trHeight w:val="209"/>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Others less than S/52.5 million</w:t>
            </w:r>
          </w:p>
        </w:tc>
        <w:tc>
          <w:tcPr>
            <w:tcW w:w="52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390,739</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328,387</w:t>
            </w:r>
          </w:p>
        </w:tc>
      </w:tr>
      <w:tr>
        <w:trPr>
          <w:trHeight w:val="200"/>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386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6,738,811</w:t>
            </w:r>
          </w:p>
        </w:tc>
        <w:tc>
          <w:tcPr>
            <w:tcW w:w="2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5,654,014</w:t>
            </w:r>
          </w:p>
        </w:tc>
        <w:tc>
          <w:tcPr>
            <w:tcW w:w="80" w:type="dxa"/>
            <w:vAlign w:val="bottom"/>
          </w:tcPr>
          <w:p>
            <w:pPr>
              <w:spacing w:after="0"/>
              <w:rPr>
                <w:sz w:val="17"/>
                <w:szCs w:val="17"/>
                <w:color w:val="auto"/>
              </w:rPr>
            </w:pPr>
          </w:p>
        </w:tc>
      </w:tr>
      <w:tr>
        <w:trPr>
          <w:trHeight w:val="582"/>
        </w:trPr>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right"/>
              <w:ind w:right="2658"/>
              <w:spacing w:after="0"/>
              <w:rPr>
                <w:sz w:val="20"/>
                <w:szCs w:val="20"/>
                <w:color w:val="auto"/>
              </w:rPr>
            </w:pPr>
            <w:r>
              <w:rPr>
                <w:rFonts w:ascii="Arial" w:cs="Arial" w:eastAsia="Arial" w:hAnsi="Arial"/>
                <w:sz w:val="16"/>
                <w:szCs w:val="16"/>
                <w:color w:val="auto"/>
              </w:rPr>
              <w:t>-47-</w:t>
            </w: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5" w:right="339" w:bottom="1440" w:gutter="0" w:footer="0" w:header="0"/>
        </w:sectPr>
      </w:pPr>
    </w:p>
    <w:bookmarkStart w:id="53" w:name="page54"/>
    <w:bookmarkEnd w:id="53"/>
    <w:p>
      <w:pPr>
        <w:jc w:val="both"/>
        <w:ind w:right="540"/>
        <w:spacing w:after="0" w:line="327" w:lineRule="auto"/>
        <w:rPr>
          <w:sz w:val="20"/>
          <w:szCs w:val="20"/>
          <w:color w:val="auto"/>
        </w:rPr>
      </w:pPr>
      <w:r>
        <w:rPr>
          <w:rFonts w:ascii="Arial" w:cs="Arial" w:eastAsia="Arial" w:hAnsi="Arial"/>
          <w:sz w:val="14"/>
          <w:szCs w:val="14"/>
          <w:color w:val="auto"/>
        </w:rPr>
        <w:t>As of March 31, 2020, the loans have maturities between April 2020 and March 2032 (between January 2020 and March 2032, as of December 31, 2019) and accrue interest in foreign currency at rates that fluctuate between 0.50 percent and 9.63 percent and accrue interest in soles at rates that fluctuate between 3.10 percent and 3.90 percent (between 0.50 percent and 9.65 percent and between 3.17 percent and 8.67 percent, respectively as of December 31, 2019).</w:t>
      </w:r>
    </w:p>
    <w:p>
      <w:pPr>
        <w:spacing w:after="0" w:line="128" w:lineRule="exact"/>
        <w:rPr>
          <w:sz w:val="20"/>
          <w:szCs w:val="20"/>
          <w:color w:val="auto"/>
        </w:rPr>
      </w:pPr>
    </w:p>
    <w:p>
      <w:pPr>
        <w:ind w:right="300" w:firstLine="7"/>
        <w:spacing w:after="0" w:line="262" w:lineRule="auto"/>
        <w:tabs>
          <w:tab w:leader="none" w:pos="291"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Promotional credit lines represent loans granted by Corporación Financiera de Desarrollo and Fondo de Cooperación para el Desarrollo Social (COFIDE and FONCODES for their Spanish acronyms, respectively) to promote the development of Peru, they mature between April 2020 and July 2029 and bear annual interest in soles at rates that fluctuate between 4.20 percent and 7.60 percent and interest in foreign currency at 7.75 percent as of March 31, 2020 (between January 2020 and July 2029 and with annual interest in soles at rates that fluctuate between 4.20 percent and 7.60 percent and interest in foreign currency at 7.75 percent as of December 31, 2019). These credit lines are secured by a loan portfolio totaling S/3,056.2 million and S/2,939.0 million, as of March 31, 2020 and December 31, 2019, respectively.</w:t>
      </w:r>
    </w:p>
    <w:p>
      <w:pPr>
        <w:spacing w:after="0" w:line="170" w:lineRule="exact"/>
        <w:rPr>
          <w:rFonts w:ascii="Arial" w:cs="Arial" w:eastAsia="Arial" w:hAnsi="Arial"/>
          <w:sz w:val="16"/>
          <w:szCs w:val="16"/>
          <w:color w:val="auto"/>
        </w:rPr>
      </w:pPr>
    </w:p>
    <w:p>
      <w:pPr>
        <w:ind w:right="380" w:firstLine="7"/>
        <w:spacing w:after="0" w:line="287" w:lineRule="auto"/>
        <w:tabs>
          <w:tab w:leader="none" w:pos="297"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following table presents the maturities of due to banks and correspondents as of March 31, 2020 and December 31, 2019 based on the period remaining to maturity: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0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March 31,</w:t>
            </w: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December</w:t>
            </w:r>
          </w:p>
        </w:tc>
      </w:tr>
      <w:tr>
        <w:trPr>
          <w:trHeight w:val="212"/>
        </w:trPr>
        <w:tc>
          <w:tcPr>
            <w:tcW w:w="8200" w:type="dxa"/>
            <w:vAlign w:val="bottom"/>
          </w:tcPr>
          <w:p>
            <w:pPr>
              <w:spacing w:after="0"/>
              <w:rPr>
                <w:sz w:val="18"/>
                <w:szCs w:val="18"/>
                <w:color w:val="auto"/>
              </w:rPr>
            </w:pPr>
          </w:p>
        </w:tc>
        <w:tc>
          <w:tcPr>
            <w:tcW w:w="120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31, 2019</w:t>
            </w:r>
          </w:p>
        </w:tc>
        <w:tc>
          <w:tcPr>
            <w:tcW w:w="80" w:type="dxa"/>
            <w:vAlign w:val="bottom"/>
          </w:tcPr>
          <w:p>
            <w:pPr>
              <w:spacing w:after="0"/>
              <w:rPr>
                <w:sz w:val="18"/>
                <w:szCs w:val="18"/>
                <w:color w:val="auto"/>
              </w:rPr>
            </w:pPr>
          </w:p>
        </w:tc>
      </w:tr>
      <w:tr>
        <w:trPr>
          <w:trHeight w:val="190"/>
        </w:trPr>
        <w:tc>
          <w:tcPr>
            <w:tcW w:w="8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80" w:type="dxa"/>
            <w:vAlign w:val="bottom"/>
          </w:tcPr>
          <w:p>
            <w:pPr>
              <w:spacing w:after="0"/>
              <w:rPr>
                <w:sz w:val="16"/>
                <w:szCs w:val="16"/>
                <w:color w:val="auto"/>
              </w:rPr>
            </w:pPr>
          </w:p>
        </w:tc>
      </w:tr>
      <w:tr>
        <w:trPr>
          <w:trHeight w:val="197"/>
        </w:trPr>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Up to 3 months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3,416,750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2,062,121</w:t>
            </w:r>
          </w:p>
        </w:tc>
        <w:tc>
          <w:tcPr>
            <w:tcW w:w="80" w:type="dxa"/>
            <w:vAlign w:val="bottom"/>
            <w:shd w:val="clear" w:color="auto" w:fill="CCEEFF"/>
          </w:tcPr>
          <w:p>
            <w:pPr>
              <w:spacing w:after="0"/>
              <w:rPr>
                <w:sz w:val="17"/>
                <w:szCs w:val="17"/>
                <w:color w:val="auto"/>
              </w:rPr>
            </w:pPr>
          </w:p>
        </w:tc>
      </w:tr>
      <w:tr>
        <w:trPr>
          <w:trHeight w:val="197"/>
        </w:trPr>
        <w:tc>
          <w:tcPr>
            <w:tcW w:w="8200" w:type="dxa"/>
            <w:vAlign w:val="bottom"/>
          </w:tcPr>
          <w:p>
            <w:pPr>
              <w:spacing w:after="0"/>
              <w:rPr>
                <w:sz w:val="20"/>
                <w:szCs w:val="20"/>
                <w:color w:val="auto"/>
              </w:rPr>
            </w:pPr>
            <w:r>
              <w:rPr>
                <w:rFonts w:ascii="Arial" w:cs="Arial" w:eastAsia="Arial" w:hAnsi="Arial"/>
                <w:sz w:val="16"/>
                <w:szCs w:val="16"/>
                <w:color w:val="auto"/>
              </w:rPr>
              <w:t>From 3 months to 1 year</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3,035,700</w:t>
            </w:r>
          </w:p>
        </w:tc>
        <w:tc>
          <w:tcPr>
            <w:tcW w:w="1200" w:type="dxa"/>
            <w:vAlign w:val="bottom"/>
          </w:tcPr>
          <w:p>
            <w:pPr>
              <w:jc w:val="right"/>
              <w:spacing w:after="0"/>
              <w:rPr>
                <w:sz w:val="20"/>
                <w:szCs w:val="20"/>
                <w:color w:val="auto"/>
              </w:rPr>
            </w:pPr>
            <w:r>
              <w:rPr>
                <w:rFonts w:ascii="Arial" w:cs="Arial" w:eastAsia="Arial" w:hAnsi="Arial"/>
                <w:sz w:val="16"/>
                <w:szCs w:val="16"/>
                <w:color w:val="auto"/>
              </w:rPr>
              <w:t>3,693,328</w:t>
            </w:r>
          </w:p>
        </w:tc>
        <w:tc>
          <w:tcPr>
            <w:tcW w:w="80" w:type="dxa"/>
            <w:vAlign w:val="bottom"/>
          </w:tcPr>
          <w:p>
            <w:pPr>
              <w:spacing w:after="0"/>
              <w:rPr>
                <w:sz w:val="17"/>
                <w:szCs w:val="17"/>
                <w:color w:val="auto"/>
              </w:rPr>
            </w:pPr>
          </w:p>
        </w:tc>
      </w:tr>
      <w:tr>
        <w:trPr>
          <w:trHeight w:val="197"/>
        </w:trPr>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From 1 to 3 years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796,272</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559,511</w:t>
            </w:r>
          </w:p>
        </w:tc>
      </w:tr>
      <w:tr>
        <w:trPr>
          <w:trHeight w:val="197"/>
        </w:trPr>
        <w:tc>
          <w:tcPr>
            <w:tcW w:w="8200" w:type="dxa"/>
            <w:vAlign w:val="bottom"/>
          </w:tcPr>
          <w:p>
            <w:pPr>
              <w:spacing w:after="0"/>
              <w:rPr>
                <w:sz w:val="20"/>
                <w:szCs w:val="20"/>
                <w:color w:val="auto"/>
              </w:rPr>
            </w:pPr>
            <w:r>
              <w:rPr>
                <w:rFonts w:ascii="Arial" w:cs="Arial" w:eastAsia="Arial" w:hAnsi="Arial"/>
                <w:sz w:val="16"/>
                <w:szCs w:val="16"/>
                <w:color w:val="auto"/>
              </w:rPr>
              <w:t>From 3 to 5 years</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604,233</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614,265</w:t>
            </w:r>
          </w:p>
        </w:tc>
      </w:tr>
      <w:tr>
        <w:trPr>
          <w:trHeight w:val="209"/>
        </w:trPr>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More than 5 years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1,942,023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1,868,770</w:t>
            </w:r>
          </w:p>
        </w:tc>
        <w:tc>
          <w:tcPr>
            <w:tcW w:w="80" w:type="dxa"/>
            <w:vAlign w:val="bottom"/>
            <w:shd w:val="clear" w:color="auto" w:fill="CCEEFF"/>
          </w:tcPr>
          <w:p>
            <w:pPr>
              <w:spacing w:after="0"/>
              <w:rPr>
                <w:sz w:val="18"/>
                <w:szCs w:val="18"/>
                <w:color w:val="auto"/>
              </w:rPr>
            </w:pPr>
          </w:p>
        </w:tc>
      </w:tr>
      <w:tr>
        <w:trPr>
          <w:trHeight w:val="201"/>
        </w:trPr>
        <w:tc>
          <w:tcPr>
            <w:tcW w:w="82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9,794,978</w:t>
            </w:r>
          </w:p>
        </w:tc>
        <w:tc>
          <w:tcPr>
            <w:tcW w:w="2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8,797,995</w:t>
            </w:r>
          </w:p>
        </w:tc>
        <w:tc>
          <w:tcPr>
            <w:tcW w:w="80" w:type="dxa"/>
            <w:vAlign w:val="bottom"/>
          </w:tcPr>
          <w:p>
            <w:pPr>
              <w:spacing w:after="0"/>
              <w:rPr>
                <w:sz w:val="17"/>
                <w:szCs w:val="17"/>
                <w:color w:val="auto"/>
              </w:rPr>
            </w:pPr>
          </w:p>
        </w:tc>
      </w:tr>
    </w:tbl>
    <w:p>
      <w:pPr>
        <w:spacing w:after="0" w:line="184" w:lineRule="exact"/>
        <w:rPr>
          <w:sz w:val="20"/>
          <w:szCs w:val="20"/>
          <w:color w:val="auto"/>
        </w:rPr>
      </w:pPr>
    </w:p>
    <w:p>
      <w:pPr>
        <w:ind w:right="760" w:firstLine="7"/>
        <w:spacing w:after="0" w:line="287" w:lineRule="auto"/>
        <w:tabs>
          <w:tab w:leader="none" w:pos="25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As of March 31, 2020 and December 31, 2019, lines of credit granted by various local and foreign financial institutions, to be used for future operating activities total S/9,795.0 million and S/8,593.0 million, respectively.</w:t>
      </w:r>
    </w:p>
    <w:p>
      <w:pPr>
        <w:spacing w:after="0" w:line="149" w:lineRule="exact"/>
        <w:rPr>
          <w:rFonts w:ascii="Arial" w:cs="Arial" w:eastAsia="Arial" w:hAnsi="Arial"/>
          <w:sz w:val="16"/>
          <w:szCs w:val="16"/>
          <w:color w:val="auto"/>
        </w:rPr>
      </w:pPr>
    </w:p>
    <w:p>
      <w:pPr>
        <w:ind w:right="360" w:firstLine="7"/>
        <w:spacing w:after="0" w:line="362" w:lineRule="auto"/>
        <w:tabs>
          <w:tab w:leader="none" w:pos="2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Certain debts to banks and correspondents include standard covenants addressing observance of financial ratios, the use of the funds and other administrative matters; which, in Management’s opinion, do not limit the Group’s operations and have been complied with at the date of the consolidated financial statements.</w:t>
      </w:r>
    </w:p>
    <w:p>
      <w:pPr>
        <w:spacing w:after="0" w:line="300" w:lineRule="exact"/>
        <w:rPr>
          <w:rFonts w:ascii="Arial" w:cs="Arial" w:eastAsia="Arial" w:hAnsi="Arial"/>
          <w:sz w:val="14"/>
          <w:szCs w:val="14"/>
          <w:color w:val="auto"/>
        </w:rPr>
      </w:pPr>
    </w:p>
    <w:p>
      <w:pPr>
        <w:ind w:left="5200" w:hanging="93"/>
        <w:spacing w:after="0"/>
        <w:tabs>
          <w:tab w:leader="none" w:pos="52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15875</wp:posOffset>
            </wp:positionV>
            <wp:extent cx="714438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900"/>
          </w:cols>
          <w:pgMar w:left="660" w:top="839" w:right="339" w:bottom="1440" w:gutter="0" w:footer="0" w:header="0"/>
        </w:sectPr>
      </w:pPr>
    </w:p>
    <w:bookmarkStart w:id="54" w:name="page55"/>
    <w:bookmarkEnd w:id="54"/>
    <w:p>
      <w:pPr>
        <w:ind w:left="582" w:hanging="582"/>
        <w:spacing w:after="0"/>
        <w:tabs>
          <w:tab w:leader="none" w:pos="582"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TECHNICAL RESERVES FOR INSURANCE CLAIMS AND PREMIUMS</w:t>
      </w:r>
    </w:p>
    <w:p>
      <w:pPr>
        <w:spacing w:after="0" w:line="213" w:lineRule="exact"/>
        <w:rPr>
          <w:rFonts w:ascii="Arial" w:cs="Arial" w:eastAsia="Arial" w:hAnsi="Arial"/>
          <w:sz w:val="16"/>
          <w:szCs w:val="16"/>
          <w:b w:val="1"/>
          <w:bCs w:val="1"/>
          <w:color w:val="auto"/>
        </w:rPr>
      </w:pPr>
    </w:p>
    <w:p>
      <w:pPr>
        <w:ind w:left="462" w:hanging="167"/>
        <w:spacing w:after="0"/>
        <w:tabs>
          <w:tab w:leader="none" w:pos="462"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This item consists of the following:</w:t>
      </w:r>
    </w:p>
    <w:p>
      <w:pPr>
        <w:spacing w:after="0" w:line="217" w:lineRule="exact"/>
        <w:rPr>
          <w:sz w:val="20"/>
          <w:szCs w:val="20"/>
          <w:color w:val="auto"/>
        </w:rPr>
      </w:pPr>
    </w:p>
    <w:tbl>
      <w:tblPr>
        <w:tblLayout w:type="fixed"/>
        <w:tblInd w:w="342" w:type="dxa"/>
        <w:tblCellMar>
          <w:top w:w="0" w:type="dxa"/>
          <w:left w:w="0" w:type="dxa"/>
          <w:bottom w:w="0" w:type="dxa"/>
          <w:right w:w="0" w:type="dxa"/>
        </w:tblCellMar>
      </w:tblPr>
      <w:tr>
        <w:trPr>
          <w:trHeight w:val="212"/>
        </w:trPr>
        <w:tc>
          <w:tcPr>
            <w:tcW w:w="67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6"/>
                <w:szCs w:val="16"/>
                <w:b w:val="1"/>
                <w:bCs w:val="1"/>
                <w:color w:val="auto"/>
                <w:w w:val="93"/>
              </w:rPr>
              <w:t>As of March 31, 2020</w:t>
            </w: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r>
        <w:trPr>
          <w:trHeight w:val="173"/>
        </w:trPr>
        <w:tc>
          <w:tcPr>
            <w:tcW w:w="6780" w:type="dxa"/>
            <w:vAlign w:val="bottom"/>
          </w:tcPr>
          <w:p>
            <w:pPr>
              <w:spacing w:after="0"/>
              <w:rPr>
                <w:sz w:val="15"/>
                <w:szCs w:val="15"/>
                <w:color w:val="auto"/>
              </w:rPr>
            </w:pPr>
          </w:p>
        </w:tc>
        <w:tc>
          <w:tcPr>
            <w:tcW w:w="120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89"/>
              </w:rPr>
              <w:t>Technical</w:t>
            </w:r>
          </w:p>
        </w:tc>
        <w:tc>
          <w:tcPr>
            <w:tcW w:w="220" w:type="dxa"/>
            <w:vAlign w:val="bottom"/>
          </w:tcPr>
          <w:p>
            <w:pPr>
              <w:spacing w:after="0"/>
              <w:rPr>
                <w:sz w:val="15"/>
                <w:szCs w:val="15"/>
                <w:color w:val="auto"/>
              </w:rPr>
            </w:pPr>
          </w:p>
        </w:tc>
        <w:tc>
          <w:tcPr>
            <w:tcW w:w="1640" w:type="dxa"/>
            <w:vAlign w:val="bottom"/>
            <w:gridSpan w:val="3"/>
          </w:tcPr>
          <w:p>
            <w:pPr>
              <w:jc w:val="center"/>
              <w:ind w:right="440"/>
              <w:spacing w:after="0" w:line="173" w:lineRule="exact"/>
              <w:rPr>
                <w:sz w:val="20"/>
                <w:szCs w:val="20"/>
                <w:color w:val="auto"/>
              </w:rPr>
            </w:pPr>
            <w:r>
              <w:rPr>
                <w:rFonts w:ascii="Arial" w:cs="Arial" w:eastAsia="Arial" w:hAnsi="Arial"/>
                <w:sz w:val="16"/>
                <w:szCs w:val="16"/>
                <w:b w:val="1"/>
                <w:bCs w:val="1"/>
                <w:color w:val="auto"/>
                <w:w w:val="92"/>
              </w:rPr>
              <w:t>Technical</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7"/>
        </w:trPr>
        <w:tc>
          <w:tcPr>
            <w:tcW w:w="67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reserves for</w:t>
            </w:r>
          </w:p>
        </w:tc>
        <w:tc>
          <w:tcPr>
            <w:tcW w:w="220" w:type="dxa"/>
            <w:vAlign w:val="bottom"/>
          </w:tcPr>
          <w:p>
            <w:pPr>
              <w:spacing w:after="0"/>
              <w:rPr>
                <w:sz w:val="17"/>
                <w:szCs w:val="17"/>
                <w:color w:val="auto"/>
              </w:rPr>
            </w:pPr>
          </w:p>
        </w:tc>
        <w:tc>
          <w:tcPr>
            <w:tcW w:w="16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9"/>
              </w:rPr>
              <w:t>reserves for</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67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claims</w:t>
            </w:r>
          </w:p>
        </w:tc>
        <w:tc>
          <w:tcPr>
            <w:tcW w:w="220" w:type="dxa"/>
            <w:vAlign w:val="bottom"/>
          </w:tcPr>
          <w:p>
            <w:pPr>
              <w:spacing w:after="0"/>
              <w:rPr>
                <w:sz w:val="18"/>
                <w:szCs w:val="18"/>
                <w:color w:val="auto"/>
              </w:rPr>
            </w:pPr>
          </w:p>
        </w:tc>
        <w:tc>
          <w:tcPr>
            <w:tcW w:w="16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6"/>
              </w:rPr>
              <w:t>premiums (*)</w:t>
            </w: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w:t>
            </w:r>
          </w:p>
        </w:tc>
      </w:tr>
      <w:tr>
        <w:trPr>
          <w:trHeight w:val="190"/>
        </w:trPr>
        <w:tc>
          <w:tcPr>
            <w:tcW w:w="6780" w:type="dxa"/>
            <w:vAlign w:val="bottom"/>
          </w:tcPr>
          <w:p>
            <w:pPr>
              <w:spacing w:after="0"/>
              <w:rPr>
                <w:sz w:val="16"/>
                <w:szCs w:val="16"/>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220" w:type="dxa"/>
            <w:vAlign w:val="bottom"/>
          </w:tcPr>
          <w:p>
            <w:pPr>
              <w:spacing w:after="0"/>
              <w:rPr>
                <w:sz w:val="16"/>
                <w:szCs w:val="16"/>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38"/>
              <w:spacing w:after="0"/>
              <w:rPr>
                <w:sz w:val="20"/>
                <w:szCs w:val="20"/>
                <w:color w:val="auto"/>
              </w:rPr>
            </w:pPr>
            <w:r>
              <w:rPr>
                <w:rFonts w:ascii="Arial" w:cs="Arial" w:eastAsia="Arial" w:hAnsi="Arial"/>
                <w:sz w:val="16"/>
                <w:szCs w:val="16"/>
                <w:b w:val="1"/>
                <w:bCs w:val="1"/>
                <w:color w:val="auto"/>
                <w:w w:val="91"/>
              </w:rPr>
              <w:t>S/(000)</w:t>
            </w:r>
          </w:p>
        </w:tc>
        <w:tc>
          <w:tcPr>
            <w:tcW w:w="80" w:type="dxa"/>
            <w:vAlign w:val="bottom"/>
          </w:tcPr>
          <w:p>
            <w:pPr>
              <w:spacing w:after="0"/>
              <w:rPr>
                <w:sz w:val="16"/>
                <w:szCs w:val="16"/>
                <w:color w:val="auto"/>
              </w:rPr>
            </w:pPr>
          </w:p>
        </w:tc>
      </w:tr>
      <w:tr>
        <w:trPr>
          <w:trHeight w:val="197"/>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Life insurance</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956,564</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7,524,137</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8,480,701</w:t>
            </w:r>
          </w:p>
        </w:tc>
        <w:tc>
          <w:tcPr>
            <w:tcW w:w="80" w:type="dxa"/>
            <w:vAlign w:val="bottom"/>
            <w:shd w:val="clear" w:color="auto" w:fill="CCEEFF"/>
          </w:tcPr>
          <w:p>
            <w:pPr>
              <w:spacing w:after="0"/>
              <w:rPr>
                <w:sz w:val="17"/>
                <w:szCs w:val="17"/>
                <w:color w:val="auto"/>
              </w:rPr>
            </w:pPr>
          </w:p>
        </w:tc>
      </w:tr>
      <w:tr>
        <w:trPr>
          <w:trHeight w:val="197"/>
        </w:trPr>
        <w:tc>
          <w:tcPr>
            <w:tcW w:w="6780" w:type="dxa"/>
            <w:vAlign w:val="bottom"/>
          </w:tcPr>
          <w:p>
            <w:pPr>
              <w:spacing w:after="0"/>
              <w:rPr>
                <w:sz w:val="20"/>
                <w:szCs w:val="20"/>
                <w:color w:val="auto"/>
              </w:rPr>
            </w:pPr>
            <w:r>
              <w:rPr>
                <w:rFonts w:ascii="Arial" w:cs="Arial" w:eastAsia="Arial" w:hAnsi="Arial"/>
                <w:sz w:val="16"/>
                <w:szCs w:val="16"/>
                <w:color w:val="auto"/>
              </w:rPr>
              <w:t>General insurance</w:t>
            </w:r>
          </w:p>
        </w:tc>
        <w:tc>
          <w:tcPr>
            <w:tcW w:w="1200" w:type="dxa"/>
            <w:vAlign w:val="bottom"/>
          </w:tcPr>
          <w:p>
            <w:pPr>
              <w:jc w:val="right"/>
              <w:spacing w:after="0"/>
              <w:rPr>
                <w:sz w:val="20"/>
                <w:szCs w:val="20"/>
                <w:color w:val="auto"/>
              </w:rPr>
            </w:pPr>
            <w:r>
              <w:rPr>
                <w:rFonts w:ascii="Arial" w:cs="Arial" w:eastAsia="Arial" w:hAnsi="Arial"/>
                <w:sz w:val="16"/>
                <w:szCs w:val="16"/>
                <w:color w:val="auto"/>
              </w:rPr>
              <w:t>599,840</w:t>
            </w:r>
          </w:p>
        </w:tc>
        <w:tc>
          <w:tcPr>
            <w:tcW w:w="1640" w:type="dxa"/>
            <w:vAlign w:val="bottom"/>
            <w:gridSpan w:val="3"/>
          </w:tcPr>
          <w:p>
            <w:pPr>
              <w:jc w:val="right"/>
              <w:ind w:right="220"/>
              <w:spacing w:after="0"/>
              <w:rPr>
                <w:sz w:val="20"/>
                <w:szCs w:val="20"/>
                <w:color w:val="auto"/>
              </w:rPr>
            </w:pPr>
            <w:r>
              <w:rPr>
                <w:rFonts w:ascii="Arial" w:cs="Arial" w:eastAsia="Arial" w:hAnsi="Arial"/>
                <w:sz w:val="16"/>
                <w:szCs w:val="16"/>
                <w:color w:val="auto"/>
              </w:rPr>
              <w:t>633,859</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1,233,699</w:t>
            </w:r>
          </w:p>
        </w:tc>
        <w:tc>
          <w:tcPr>
            <w:tcW w:w="80" w:type="dxa"/>
            <w:vAlign w:val="bottom"/>
          </w:tcPr>
          <w:p>
            <w:pPr>
              <w:spacing w:after="0"/>
              <w:rPr>
                <w:sz w:val="17"/>
                <w:szCs w:val="17"/>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Health insurance</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81,387</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180,158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261,545</w:t>
            </w:r>
          </w:p>
        </w:tc>
      </w:tr>
      <w:tr>
        <w:trPr>
          <w:trHeight w:val="201"/>
        </w:trPr>
        <w:tc>
          <w:tcPr>
            <w:tcW w:w="67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1,637,791</w:t>
            </w:r>
          </w:p>
        </w:tc>
        <w:tc>
          <w:tcPr>
            <w:tcW w:w="2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8,338,154</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9,975,945</w:t>
            </w:r>
          </w:p>
        </w:tc>
        <w:tc>
          <w:tcPr>
            <w:tcW w:w="80" w:type="dxa"/>
            <w:vAlign w:val="bottom"/>
          </w:tcPr>
          <w:p>
            <w:pPr>
              <w:spacing w:after="0"/>
              <w:rPr>
                <w:sz w:val="17"/>
                <w:szCs w:val="17"/>
                <w:color w:val="auto"/>
              </w:rPr>
            </w:pPr>
          </w:p>
        </w:tc>
      </w:tr>
      <w:tr>
        <w:trPr>
          <w:trHeight w:val="398"/>
        </w:trPr>
        <w:tc>
          <w:tcPr>
            <w:tcW w:w="67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6"/>
                <w:szCs w:val="16"/>
                <w:b w:val="1"/>
                <w:bCs w:val="1"/>
                <w:color w:val="auto"/>
                <w:w w:val="91"/>
              </w:rPr>
              <w:t>As of December 31, 2019</w:t>
            </w: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73"/>
        </w:trPr>
        <w:tc>
          <w:tcPr>
            <w:tcW w:w="6780" w:type="dxa"/>
            <w:vAlign w:val="bottom"/>
          </w:tcPr>
          <w:p>
            <w:pPr>
              <w:spacing w:after="0"/>
              <w:rPr>
                <w:sz w:val="15"/>
                <w:szCs w:val="15"/>
                <w:color w:val="auto"/>
              </w:rPr>
            </w:pPr>
          </w:p>
        </w:tc>
        <w:tc>
          <w:tcPr>
            <w:tcW w:w="120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89"/>
              </w:rPr>
              <w:t>Technical</w:t>
            </w:r>
          </w:p>
        </w:tc>
        <w:tc>
          <w:tcPr>
            <w:tcW w:w="220" w:type="dxa"/>
            <w:vAlign w:val="bottom"/>
          </w:tcPr>
          <w:p>
            <w:pPr>
              <w:spacing w:after="0"/>
              <w:rPr>
                <w:sz w:val="15"/>
                <w:szCs w:val="15"/>
                <w:color w:val="auto"/>
              </w:rPr>
            </w:pPr>
          </w:p>
        </w:tc>
        <w:tc>
          <w:tcPr>
            <w:tcW w:w="1640" w:type="dxa"/>
            <w:vAlign w:val="bottom"/>
            <w:gridSpan w:val="3"/>
          </w:tcPr>
          <w:p>
            <w:pPr>
              <w:jc w:val="center"/>
              <w:ind w:right="440"/>
              <w:spacing w:after="0" w:line="173" w:lineRule="exact"/>
              <w:rPr>
                <w:sz w:val="20"/>
                <w:szCs w:val="20"/>
                <w:color w:val="auto"/>
              </w:rPr>
            </w:pPr>
            <w:r>
              <w:rPr>
                <w:rFonts w:ascii="Arial" w:cs="Arial" w:eastAsia="Arial" w:hAnsi="Arial"/>
                <w:sz w:val="16"/>
                <w:szCs w:val="16"/>
                <w:b w:val="1"/>
                <w:bCs w:val="1"/>
                <w:color w:val="auto"/>
                <w:w w:val="92"/>
              </w:rPr>
              <w:t>Technical</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7"/>
        </w:trPr>
        <w:tc>
          <w:tcPr>
            <w:tcW w:w="67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reserves for</w:t>
            </w:r>
          </w:p>
        </w:tc>
        <w:tc>
          <w:tcPr>
            <w:tcW w:w="220" w:type="dxa"/>
            <w:vAlign w:val="bottom"/>
          </w:tcPr>
          <w:p>
            <w:pPr>
              <w:spacing w:after="0"/>
              <w:rPr>
                <w:sz w:val="17"/>
                <w:szCs w:val="17"/>
                <w:color w:val="auto"/>
              </w:rPr>
            </w:pPr>
          </w:p>
        </w:tc>
        <w:tc>
          <w:tcPr>
            <w:tcW w:w="16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9"/>
              </w:rPr>
              <w:t>reserves for</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67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claims</w:t>
            </w:r>
          </w:p>
        </w:tc>
        <w:tc>
          <w:tcPr>
            <w:tcW w:w="220" w:type="dxa"/>
            <w:vAlign w:val="bottom"/>
          </w:tcPr>
          <w:p>
            <w:pPr>
              <w:spacing w:after="0"/>
              <w:rPr>
                <w:sz w:val="18"/>
                <w:szCs w:val="18"/>
                <w:color w:val="auto"/>
              </w:rPr>
            </w:pPr>
          </w:p>
        </w:tc>
        <w:tc>
          <w:tcPr>
            <w:tcW w:w="16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6"/>
              </w:rPr>
              <w:t>premiums (*)</w:t>
            </w: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w:t>
            </w:r>
          </w:p>
        </w:tc>
      </w:tr>
      <w:tr>
        <w:trPr>
          <w:trHeight w:val="190"/>
        </w:trPr>
        <w:tc>
          <w:tcPr>
            <w:tcW w:w="6780" w:type="dxa"/>
            <w:vAlign w:val="bottom"/>
          </w:tcPr>
          <w:p>
            <w:pPr>
              <w:spacing w:after="0"/>
              <w:rPr>
                <w:sz w:val="16"/>
                <w:szCs w:val="16"/>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220" w:type="dxa"/>
            <w:vAlign w:val="bottom"/>
          </w:tcPr>
          <w:p>
            <w:pPr>
              <w:spacing w:after="0"/>
              <w:rPr>
                <w:sz w:val="16"/>
                <w:szCs w:val="16"/>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38"/>
              <w:spacing w:after="0"/>
              <w:rPr>
                <w:sz w:val="20"/>
                <w:szCs w:val="20"/>
                <w:color w:val="auto"/>
              </w:rPr>
            </w:pPr>
            <w:r>
              <w:rPr>
                <w:rFonts w:ascii="Arial" w:cs="Arial" w:eastAsia="Arial" w:hAnsi="Arial"/>
                <w:sz w:val="16"/>
                <w:szCs w:val="16"/>
                <w:b w:val="1"/>
                <w:bCs w:val="1"/>
                <w:color w:val="auto"/>
                <w:w w:val="91"/>
              </w:rPr>
              <w:t>S/(000)</w:t>
            </w:r>
          </w:p>
        </w:tc>
        <w:tc>
          <w:tcPr>
            <w:tcW w:w="80" w:type="dxa"/>
            <w:vAlign w:val="bottom"/>
          </w:tcPr>
          <w:p>
            <w:pPr>
              <w:spacing w:after="0"/>
              <w:rPr>
                <w:sz w:val="16"/>
                <w:szCs w:val="16"/>
                <w:color w:val="auto"/>
              </w:rPr>
            </w:pPr>
          </w:p>
        </w:tc>
      </w:tr>
      <w:tr>
        <w:trPr>
          <w:trHeight w:val="197"/>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Life insurance</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908,362</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7,548,684</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8,457,046</w:t>
            </w:r>
          </w:p>
        </w:tc>
        <w:tc>
          <w:tcPr>
            <w:tcW w:w="80" w:type="dxa"/>
            <w:vAlign w:val="bottom"/>
            <w:shd w:val="clear" w:color="auto" w:fill="CCEEFF"/>
          </w:tcPr>
          <w:p>
            <w:pPr>
              <w:spacing w:after="0"/>
              <w:rPr>
                <w:sz w:val="17"/>
                <w:szCs w:val="17"/>
                <w:color w:val="auto"/>
              </w:rPr>
            </w:pPr>
          </w:p>
        </w:tc>
      </w:tr>
      <w:tr>
        <w:trPr>
          <w:trHeight w:val="197"/>
        </w:trPr>
        <w:tc>
          <w:tcPr>
            <w:tcW w:w="6780" w:type="dxa"/>
            <w:vAlign w:val="bottom"/>
          </w:tcPr>
          <w:p>
            <w:pPr>
              <w:spacing w:after="0"/>
              <w:rPr>
                <w:sz w:val="20"/>
                <w:szCs w:val="20"/>
                <w:color w:val="auto"/>
              </w:rPr>
            </w:pPr>
            <w:r>
              <w:rPr>
                <w:rFonts w:ascii="Arial" w:cs="Arial" w:eastAsia="Arial" w:hAnsi="Arial"/>
                <w:sz w:val="16"/>
                <w:szCs w:val="16"/>
                <w:color w:val="auto"/>
              </w:rPr>
              <w:t>General insurance</w:t>
            </w:r>
          </w:p>
        </w:tc>
        <w:tc>
          <w:tcPr>
            <w:tcW w:w="1200" w:type="dxa"/>
            <w:vAlign w:val="bottom"/>
          </w:tcPr>
          <w:p>
            <w:pPr>
              <w:jc w:val="right"/>
              <w:spacing w:after="0"/>
              <w:rPr>
                <w:sz w:val="20"/>
                <w:szCs w:val="20"/>
                <w:color w:val="auto"/>
              </w:rPr>
            </w:pPr>
            <w:r>
              <w:rPr>
                <w:rFonts w:ascii="Arial" w:cs="Arial" w:eastAsia="Arial" w:hAnsi="Arial"/>
                <w:sz w:val="16"/>
                <w:szCs w:val="16"/>
                <w:color w:val="auto"/>
              </w:rPr>
              <w:t>590,588</w:t>
            </w:r>
          </w:p>
        </w:tc>
        <w:tc>
          <w:tcPr>
            <w:tcW w:w="1640" w:type="dxa"/>
            <w:vAlign w:val="bottom"/>
            <w:gridSpan w:val="3"/>
          </w:tcPr>
          <w:p>
            <w:pPr>
              <w:jc w:val="right"/>
              <w:ind w:right="220"/>
              <w:spacing w:after="0"/>
              <w:rPr>
                <w:sz w:val="20"/>
                <w:szCs w:val="20"/>
                <w:color w:val="auto"/>
              </w:rPr>
            </w:pPr>
            <w:r>
              <w:rPr>
                <w:rFonts w:ascii="Arial" w:cs="Arial" w:eastAsia="Arial" w:hAnsi="Arial"/>
                <w:sz w:val="16"/>
                <w:szCs w:val="16"/>
                <w:color w:val="auto"/>
              </w:rPr>
              <w:t>651,129</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1,241,717</w:t>
            </w:r>
          </w:p>
        </w:tc>
        <w:tc>
          <w:tcPr>
            <w:tcW w:w="80" w:type="dxa"/>
            <w:vAlign w:val="bottom"/>
          </w:tcPr>
          <w:p>
            <w:pPr>
              <w:spacing w:after="0"/>
              <w:rPr>
                <w:sz w:val="17"/>
                <w:szCs w:val="17"/>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Health insurance</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77,278</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174,192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251,470</w:t>
            </w:r>
          </w:p>
        </w:tc>
      </w:tr>
      <w:tr>
        <w:trPr>
          <w:trHeight w:val="201"/>
        </w:trPr>
        <w:tc>
          <w:tcPr>
            <w:tcW w:w="67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1,576,228</w:t>
            </w:r>
          </w:p>
        </w:tc>
        <w:tc>
          <w:tcPr>
            <w:tcW w:w="2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8,374,005</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9,950,233</w:t>
            </w:r>
          </w:p>
        </w:tc>
        <w:tc>
          <w:tcPr>
            <w:tcW w:w="80" w:type="dxa"/>
            <w:vAlign w:val="bottom"/>
          </w:tcPr>
          <w:p>
            <w:pPr>
              <w:spacing w:after="0"/>
              <w:rPr>
                <w:sz w:val="17"/>
                <w:szCs w:val="17"/>
                <w:color w:val="auto"/>
              </w:rPr>
            </w:pPr>
          </w:p>
        </w:tc>
      </w:tr>
    </w:tbl>
    <w:p>
      <w:pPr>
        <w:spacing w:after="0" w:line="184" w:lineRule="exact"/>
        <w:rPr>
          <w:sz w:val="20"/>
          <w:szCs w:val="20"/>
          <w:color w:val="auto"/>
        </w:rPr>
      </w:pPr>
    </w:p>
    <w:p>
      <w:pPr>
        <w:ind w:left="582" w:right="220" w:hanging="289"/>
        <w:spacing w:after="0" w:line="287" w:lineRule="auto"/>
        <w:tabs>
          <w:tab w:leader="none" w:pos="525"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 of March 31, 2020, the life insurance technical reserves include the mathematical reserves of income amounting to S/5,939.0 million (S/5,961.0 million as of December 31, 2019).</w:t>
      </w:r>
    </w:p>
    <w:p>
      <w:pPr>
        <w:spacing w:after="0" w:line="150" w:lineRule="exact"/>
        <w:rPr>
          <w:sz w:val="20"/>
          <w:szCs w:val="20"/>
          <w:color w:val="auto"/>
        </w:rPr>
      </w:pPr>
    </w:p>
    <w:p>
      <w:pPr>
        <w:ind w:left="302" w:right="600"/>
        <w:spacing w:after="0" w:line="287" w:lineRule="auto"/>
        <w:rPr>
          <w:sz w:val="20"/>
          <w:szCs w:val="20"/>
          <w:color w:val="auto"/>
        </w:rPr>
      </w:pPr>
      <w:r>
        <w:rPr>
          <w:rFonts w:ascii="Arial" w:cs="Arial" w:eastAsia="Arial" w:hAnsi="Arial"/>
          <w:sz w:val="16"/>
          <w:szCs w:val="16"/>
          <w:color w:val="auto"/>
        </w:rPr>
        <w:t>Insurance claims reserves represent reported claims and an estimate for incurred but non reported claims (IBNR). Reported claims are adjusted on the basis of technical reports received from independent adjusters.</w:t>
      </w:r>
    </w:p>
    <w:p>
      <w:pPr>
        <w:spacing w:after="0" w:line="150" w:lineRule="exact"/>
        <w:rPr>
          <w:sz w:val="20"/>
          <w:szCs w:val="20"/>
          <w:color w:val="auto"/>
        </w:rPr>
      </w:pPr>
    </w:p>
    <w:p>
      <w:pPr>
        <w:ind w:left="302" w:right="100"/>
        <w:spacing w:after="0" w:line="287" w:lineRule="auto"/>
        <w:rPr>
          <w:sz w:val="20"/>
          <w:szCs w:val="20"/>
          <w:color w:val="auto"/>
        </w:rPr>
      </w:pPr>
      <w:r>
        <w:rPr>
          <w:rFonts w:ascii="Arial" w:cs="Arial" w:eastAsia="Arial" w:hAnsi="Arial"/>
          <w:sz w:val="16"/>
          <w:szCs w:val="16"/>
          <w:color w:val="auto"/>
        </w:rPr>
        <w:t>Insurance claims to be paid by reinsurers and co-insurers represents ceded claims, which are presented in “Accounts receivable from reinsurers and coinsurers” of the interim condensed consolidated statement of financial position, See note 9(b).</w:t>
      </w:r>
    </w:p>
    <w:p>
      <w:pPr>
        <w:spacing w:after="0" w:line="150" w:lineRule="exact"/>
        <w:rPr>
          <w:sz w:val="20"/>
          <w:szCs w:val="20"/>
          <w:color w:val="auto"/>
        </w:rPr>
      </w:pPr>
    </w:p>
    <w:p>
      <w:pPr>
        <w:ind w:left="302" w:right="120"/>
        <w:spacing w:after="0" w:line="287" w:lineRule="auto"/>
        <w:rPr>
          <w:sz w:val="20"/>
          <w:szCs w:val="20"/>
          <w:color w:val="auto"/>
        </w:rPr>
      </w:pPr>
      <w:r>
        <w:rPr>
          <w:rFonts w:ascii="Arial" w:cs="Arial" w:eastAsia="Arial" w:hAnsi="Arial"/>
          <w:sz w:val="16"/>
          <w:szCs w:val="16"/>
          <w:color w:val="auto"/>
        </w:rPr>
        <w:t>As of March 31, 2020, the reserves for direct claims include reserves for IBNR for life, general and health insurance for an amount of S/414.8 million, S/26.8 million and S/69.5 million, respectively (S/393.4 million, S/24.3 million and S/63.5 million, respectively, as of December 31, 2019).</w:t>
      </w:r>
    </w:p>
    <w:p>
      <w:pPr>
        <w:spacing w:after="0" w:line="150" w:lineRule="exact"/>
        <w:rPr>
          <w:sz w:val="20"/>
          <w:szCs w:val="20"/>
          <w:color w:val="auto"/>
        </w:rPr>
      </w:pPr>
    </w:p>
    <w:p>
      <w:pPr>
        <w:ind w:left="302" w:right="220"/>
        <w:spacing w:after="0" w:line="298" w:lineRule="auto"/>
        <w:rPr>
          <w:sz w:val="20"/>
          <w:szCs w:val="20"/>
          <w:color w:val="auto"/>
        </w:rPr>
      </w:pPr>
      <w:r>
        <w:rPr>
          <w:rFonts w:ascii="Arial" w:cs="Arial" w:eastAsia="Arial" w:hAnsi="Arial"/>
          <w:sz w:val="15"/>
          <w:szCs w:val="15"/>
          <w:color w:val="auto"/>
        </w:rPr>
        <w:t>As of March 31, 2020, and in previous years, the differences between the estimates for the incurred and non-reported claims and the settled and pending liquidation claims have not been significant. In the case of general risks and health, retrospective analysis indicates that the amounts accrued are adequate and Management believes that the estimated IBNR reserve is sufficient to cover any liability as of March 31, 2020 and December 31, 2019.</w:t>
      </w:r>
    </w:p>
    <w:p>
      <w:pPr>
        <w:spacing w:after="0" w:line="144" w:lineRule="exact"/>
        <w:rPr>
          <w:sz w:val="20"/>
          <w:szCs w:val="20"/>
          <w:color w:val="auto"/>
        </w:rPr>
      </w:pPr>
    </w:p>
    <w:p>
      <w:pPr>
        <w:ind w:left="302" w:right="240"/>
        <w:spacing w:after="0" w:line="322" w:lineRule="auto"/>
        <w:rPr>
          <w:sz w:val="20"/>
          <w:szCs w:val="20"/>
          <w:color w:val="auto"/>
        </w:rPr>
      </w:pPr>
      <w:r>
        <w:rPr>
          <w:rFonts w:ascii="Arial" w:cs="Arial" w:eastAsia="Arial" w:hAnsi="Arial"/>
          <w:sz w:val="15"/>
          <w:szCs w:val="15"/>
          <w:color w:val="auto"/>
        </w:rPr>
        <w:t>Technical reserves include reserves for obligations for future benefits under insurance of life and personal accidents in force; and the unearned premium reserves in respect of the portion of premiums written that is allocable to the unexpired portion of the related policy periods of related coverage.</w:t>
      </w:r>
    </w:p>
    <w:p>
      <w:pPr>
        <w:spacing w:after="0" w:line="32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35"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2"/>
        </w:trPr>
        <w:tc>
          <w:tcPr>
            <w:tcW w:w="220" w:type="dxa"/>
            <w:vAlign w:val="bottom"/>
            <w:gridSpan w:val="2"/>
          </w:tcPr>
          <w:p>
            <w:pPr>
              <w:spacing w:after="0"/>
              <w:rPr>
                <w:sz w:val="20"/>
                <w:szCs w:val="20"/>
                <w:color w:val="auto"/>
              </w:rPr>
            </w:pPr>
            <w:r>
              <w:rPr>
                <w:rFonts w:ascii="Arial" w:cs="Arial" w:eastAsia="Arial" w:hAnsi="Arial"/>
                <w:sz w:val="16"/>
                <w:szCs w:val="16"/>
                <w:b w:val="1"/>
                <w:bCs w:val="1"/>
                <w:color w:val="auto"/>
              </w:rPr>
              <w:t>17</w:t>
            </w:r>
          </w:p>
        </w:tc>
        <w:tc>
          <w:tcPr>
            <w:tcW w:w="2820" w:type="dxa"/>
            <w:vAlign w:val="bottom"/>
          </w:tcPr>
          <w:p>
            <w:pPr>
              <w:ind w:left="300"/>
              <w:spacing w:after="0"/>
              <w:rPr>
                <w:sz w:val="20"/>
                <w:szCs w:val="20"/>
                <w:color w:val="auto"/>
              </w:rPr>
            </w:pPr>
            <w:r>
              <w:rPr>
                <w:rFonts w:ascii="Arial" w:cs="Arial" w:eastAsia="Arial" w:hAnsi="Arial"/>
                <w:sz w:val="16"/>
                <w:szCs w:val="16"/>
                <w:b w:val="1"/>
                <w:bCs w:val="1"/>
                <w:color w:val="auto"/>
              </w:rPr>
              <w:t>BONDS AND NOTES ISSUED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tcPr>
          <w:p>
            <w:pPr>
              <w:ind w:left="80"/>
              <w:spacing w:after="0"/>
              <w:rPr>
                <w:sz w:val="20"/>
                <w:szCs w:val="20"/>
                <w:color w:val="auto"/>
              </w:rPr>
            </w:pPr>
            <w:r>
              <w:rPr>
                <w:rFonts w:ascii="Arial" w:cs="Arial" w:eastAsia="Arial" w:hAnsi="Arial"/>
                <w:sz w:val="16"/>
                <w:szCs w:val="16"/>
                <w:color w:val="auto"/>
              </w:rPr>
              <w:t>a) This item consists of the following:</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5"/>
              </w:rPr>
              <w:t>Annual</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3"/>
              </w:rPr>
              <w:t>As of March 31, 2020</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4"/>
          </w:tcPr>
          <w:p>
            <w:pPr>
              <w:spacing w:after="0"/>
              <w:rPr>
                <w:sz w:val="20"/>
                <w:szCs w:val="20"/>
                <w:color w:val="auto"/>
              </w:rPr>
            </w:pPr>
            <w:r>
              <w:rPr>
                <w:rFonts w:ascii="Arial" w:cs="Arial" w:eastAsia="Arial" w:hAnsi="Arial"/>
                <w:sz w:val="16"/>
                <w:szCs w:val="16"/>
                <w:b w:val="1"/>
                <w:bCs w:val="1"/>
                <w:color w:val="auto"/>
              </w:rPr>
              <w:t>As of December 31, 2019</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interest</w:t>
            </w:r>
          </w:p>
        </w:tc>
        <w:tc>
          <w:tcPr>
            <w:tcW w:w="1000" w:type="dxa"/>
            <w:vAlign w:val="bottom"/>
            <w:gridSpan w:val="2"/>
          </w:tcPr>
          <w:p>
            <w:pPr>
              <w:ind w:left="180"/>
              <w:spacing w:after="0"/>
              <w:rPr>
                <w:sz w:val="20"/>
                <w:szCs w:val="20"/>
                <w:color w:val="auto"/>
              </w:rPr>
            </w:pPr>
            <w:r>
              <w:rPr>
                <w:rFonts w:ascii="Arial" w:cs="Arial" w:eastAsia="Arial" w:hAnsi="Arial"/>
                <w:sz w:val="16"/>
                <w:szCs w:val="16"/>
                <w:b w:val="1"/>
                <w:bCs w:val="1"/>
                <w:color w:val="auto"/>
              </w:rPr>
              <w:t>Interest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Issued</w:t>
            </w:r>
          </w:p>
        </w:tc>
        <w:tc>
          <w:tcPr>
            <w:tcW w:w="10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Carrying</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Issued</w:t>
            </w:r>
          </w:p>
        </w:tc>
        <w:tc>
          <w:tcPr>
            <w:tcW w:w="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rate</w:t>
            </w: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payment</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Maturity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amount</w:t>
            </w:r>
          </w:p>
        </w:tc>
        <w:tc>
          <w:tcPr>
            <w:tcW w:w="10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amount</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Maturity</w:t>
            </w: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amount</w:t>
            </w:r>
          </w:p>
        </w:tc>
        <w:tc>
          <w:tcPr>
            <w:tcW w:w="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amount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(000)</w:t>
            </w:r>
          </w:p>
        </w:tc>
        <w:tc>
          <w:tcPr>
            <w:tcW w:w="22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(000)</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September</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b w:val="1"/>
                <w:bCs w:val="1"/>
                <w:color w:val="auto"/>
              </w:rPr>
              <w:t>Senior notes - BCP (i)</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From 2.70 to</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2020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2020 /</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gridSpan w:val="2"/>
            <w:vMerge w:val="continue"/>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Semi-annual</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January 2025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1"/>
              </w:rPr>
              <w:t>US$1,074,628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3,599,045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January 2025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1"/>
              </w:rPr>
              <w:t>US$1,074,628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3,464,199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Senior notes - BCP (ii)</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4.25</w:t>
            </w:r>
          </w:p>
        </w:tc>
        <w:tc>
          <w:tcPr>
            <w:tcW w:w="10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6"/>
                <w:szCs w:val="16"/>
                <w:color w:val="auto"/>
              </w:rPr>
              <w:t>Semi-annual</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April 2023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US$716,301</w:t>
            </w:r>
          </w:p>
        </w:tc>
        <w:tc>
          <w:tcPr>
            <w:tcW w:w="780" w:type="dxa"/>
            <w:vAlign w:val="bottom"/>
          </w:tcPr>
          <w:p>
            <w:pPr>
              <w:jc w:val="right"/>
              <w:spacing w:after="0"/>
              <w:rPr>
                <w:sz w:val="20"/>
                <w:szCs w:val="20"/>
                <w:color w:val="auto"/>
              </w:rPr>
            </w:pPr>
            <w:r>
              <w:rPr>
                <w:rFonts w:ascii="Arial" w:cs="Arial" w:eastAsia="Arial" w:hAnsi="Arial"/>
                <w:sz w:val="16"/>
                <w:szCs w:val="16"/>
                <w:color w:val="auto"/>
              </w:rPr>
              <w:t>2,410,715</w:t>
            </w:r>
          </w:p>
        </w:tc>
        <w:tc>
          <w:tcPr>
            <w:tcW w:w="2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April 2023</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US$716,301</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2,318,975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October</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October</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2020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2020 /</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b w:val="1"/>
                <w:bCs w:val="1"/>
                <w:color w:val="auto"/>
              </w:rPr>
              <w:t>Senior notes - BCP (iii)</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From 4.65 to</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September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gridSpan w:val="2"/>
            <w:vMerge w:val="continue"/>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Semi-annual</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S/2,900,000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2,869,747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S/2,900,000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2,872,355</w:t>
            </w:r>
          </w:p>
        </w:tc>
        <w:tc>
          <w:tcPr>
            <w:tcW w:w="0" w:type="dxa"/>
            <w:vAlign w:val="bottom"/>
          </w:tcPr>
          <w:p>
            <w:pPr>
              <w:spacing w:after="0"/>
              <w:rPr>
                <w:sz w:val="1"/>
                <w:szCs w:val="1"/>
                <w:color w:val="auto"/>
              </w:rPr>
            </w:pPr>
          </w:p>
        </w:tc>
      </w:tr>
      <w:tr>
        <w:trPr>
          <w:trHeight w:val="184"/>
        </w:trPr>
        <w:tc>
          <w:tcPr>
            <w:tcW w:w="30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Senior notes - BCP (iv)</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Libor 3M +</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40" w:type="dxa"/>
            <w:vAlign w:val="bottom"/>
            <w:gridSpan w:val="3"/>
            <w:vMerge w:val="continue"/>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100 pb</w:t>
            </w:r>
          </w:p>
        </w:tc>
        <w:tc>
          <w:tcPr>
            <w:tcW w:w="1000" w:type="dxa"/>
            <w:vAlign w:val="bottom"/>
            <w:gridSpan w:val="2"/>
          </w:tcPr>
          <w:p>
            <w:pPr>
              <w:spacing w:after="0"/>
              <w:rPr>
                <w:sz w:val="20"/>
                <w:szCs w:val="20"/>
                <w:color w:val="auto"/>
              </w:rPr>
            </w:pPr>
            <w:r>
              <w:rPr>
                <w:rFonts w:ascii="Arial" w:cs="Arial" w:eastAsia="Arial" w:hAnsi="Arial"/>
                <w:sz w:val="16"/>
                <w:szCs w:val="16"/>
                <w:color w:val="auto"/>
              </w:rPr>
              <w:t>Quarterly</w:t>
            </w:r>
          </w:p>
        </w:tc>
        <w:tc>
          <w:tcPr>
            <w:tcW w:w="880" w:type="dxa"/>
            <w:vAlign w:val="bottom"/>
          </w:tcPr>
          <w:p>
            <w:pPr>
              <w:jc w:val="center"/>
              <w:spacing w:after="0"/>
              <w:rPr>
                <w:sz w:val="20"/>
                <w:szCs w:val="20"/>
                <w:color w:val="auto"/>
              </w:rPr>
            </w:pPr>
            <w:r>
              <w:rPr>
                <w:rFonts w:ascii="Arial" w:cs="Arial" w:eastAsia="Arial" w:hAnsi="Arial"/>
                <w:sz w:val="16"/>
                <w:szCs w:val="16"/>
                <w:color w:val="auto"/>
                <w:w w:val="94"/>
              </w:rPr>
              <w:t>March 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US$70,000</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240,376</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March 2021</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US$70,000</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231,738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Senior notes - BCP (v)</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0.42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Semi-annual</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August 2021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5,000,000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159,082</w:t>
            </w: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August 2021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¥5,000,000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151,888</w:t>
            </w:r>
          </w:p>
        </w:tc>
        <w:tc>
          <w:tcPr>
            <w:tcW w:w="0" w:type="dxa"/>
            <w:vAlign w:val="bottom"/>
          </w:tcPr>
          <w:p>
            <w:pPr>
              <w:spacing w:after="0"/>
              <w:rPr>
                <w:sz w:val="1"/>
                <w:szCs w:val="1"/>
                <w:color w:val="auto"/>
              </w:rPr>
            </w:pPr>
          </w:p>
        </w:tc>
      </w:tr>
      <w:tr>
        <w:trPr>
          <w:trHeight w:val="184"/>
        </w:trPr>
        <w:tc>
          <w:tcPr>
            <w:tcW w:w="30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Senior notes - BCP</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Libor 3M +</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40" w:type="dxa"/>
            <w:vAlign w:val="bottom"/>
            <w:gridSpan w:val="3"/>
            <w:vMerge w:val="continue"/>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0.55</w:t>
            </w: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6"/>
                <w:szCs w:val="16"/>
                <w:color w:val="auto"/>
              </w:rPr>
              <w:t>Quarterly</w:t>
            </w:r>
          </w:p>
        </w:tc>
        <w:tc>
          <w:tcPr>
            <w:tcW w:w="880" w:type="dxa"/>
            <w:vAlign w:val="bottom"/>
          </w:tcPr>
          <w:p>
            <w:pPr>
              <w:jc w:val="center"/>
              <w:spacing w:after="0"/>
              <w:rPr>
                <w:sz w:val="20"/>
                <w:szCs w:val="20"/>
                <w:color w:val="auto"/>
              </w:rPr>
            </w:pPr>
            <w:r>
              <w:rPr>
                <w:rFonts w:ascii="Arial" w:cs="Arial" w:eastAsia="Arial" w:hAnsi="Arial"/>
                <w:sz w:val="16"/>
                <w:szCs w:val="16"/>
                <w:color w:val="auto"/>
                <w:w w:val="94"/>
              </w:rPr>
              <w:t>March 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US$30,000</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102,883</w:t>
            </w:r>
          </w:p>
        </w:tc>
        <w:tc>
          <w:tcPr>
            <w:tcW w:w="88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20" w:type="dxa"/>
            <w:vAlign w:val="bottom"/>
            <w:gridSpan w:val="2"/>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MMT 100 - Secured notes- CCR Inc. (vi)</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2012 Series C Floating rate certificates</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4.75</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Monthly</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July 2022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US$315,000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360,886</w:t>
            </w: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July 2022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US$315,000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385,253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Corporate bonds -</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Fourth program</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December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December</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4"/>
              </w:rPr>
              <w:t>2021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78"/>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From 5.31 to</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November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November</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40" w:type="dxa"/>
            <w:vAlign w:val="bottom"/>
            <w:gridSpan w:val="3"/>
          </w:tcPr>
          <w:p>
            <w:pPr>
              <w:spacing w:after="0"/>
              <w:rPr>
                <w:sz w:val="20"/>
                <w:szCs w:val="20"/>
                <w:color w:val="auto"/>
              </w:rPr>
            </w:pPr>
            <w:r>
              <w:rPr>
                <w:rFonts w:ascii="Arial" w:cs="Arial" w:eastAsia="Arial" w:hAnsi="Arial"/>
                <w:sz w:val="16"/>
                <w:szCs w:val="16"/>
                <w:color w:val="auto"/>
              </w:rPr>
              <w:t>Tenth issuance (Series A, B and C) - BCP</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7.25</w:t>
            </w: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6"/>
                <w:szCs w:val="16"/>
                <w:color w:val="auto"/>
              </w:rPr>
              <w:t>Semi-annual</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S/550,000</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528,087</w:t>
            </w:r>
          </w:p>
        </w:tc>
        <w:tc>
          <w:tcPr>
            <w:tcW w:w="880" w:type="dxa"/>
            <w:vAlign w:val="bottom"/>
          </w:tcPr>
          <w:p>
            <w:pPr>
              <w:jc w:val="right"/>
              <w:ind w:right="198"/>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S/550,000</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527,868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20" w:type="dxa"/>
            <w:vAlign w:val="bottom"/>
            <w:gridSpan w:val="2"/>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020" w:type="dxa"/>
            <w:vAlign w:val="bottom"/>
            <w:gridSpan w:val="2"/>
          </w:tcPr>
          <w:p>
            <w:pPr>
              <w:spacing w:after="0"/>
              <w:rPr>
                <w:sz w:val="20"/>
                <w:szCs w:val="20"/>
                <w:color w:val="auto"/>
              </w:rPr>
            </w:pPr>
            <w:r>
              <w:rPr>
                <w:rFonts w:ascii="Arial" w:cs="Arial" w:eastAsia="Arial" w:hAnsi="Arial"/>
                <w:sz w:val="16"/>
                <w:szCs w:val="16"/>
                <w:b w:val="1"/>
                <w:bCs w:val="1"/>
                <w:color w:val="auto"/>
              </w:rPr>
              <w:t>Fifth program</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issuance (Series D) - BCP</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5.91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Semi-annual</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January 2020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S/182,410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182,061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Third issuance (Series A) - BCP</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4.59</w:t>
            </w:r>
          </w:p>
        </w:tc>
        <w:tc>
          <w:tcPr>
            <w:tcW w:w="10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6"/>
                <w:szCs w:val="16"/>
                <w:color w:val="auto"/>
              </w:rPr>
              <w:t>Semi-annual</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July 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S/70,770</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63,496</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July 2021</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S/70,770</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63,430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October</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October</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Third issuance (Series B) - BCP</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Semi-annual</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S/42,200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29,056</w:t>
            </w:r>
          </w:p>
        </w:tc>
        <w:tc>
          <w:tcPr>
            <w:tcW w:w="8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S/42,200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29,183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Arial" w:cs="Arial" w:eastAsia="Arial" w:hAnsi="Arial"/>
                <w:sz w:val="16"/>
                <w:szCs w:val="16"/>
                <w:color w:val="auto"/>
              </w:rPr>
              <w:t>Third issuance (Series C) - BCP</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4.25</w:t>
            </w:r>
          </w:p>
        </w:tc>
        <w:tc>
          <w:tcPr>
            <w:tcW w:w="10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6"/>
                <w:szCs w:val="16"/>
                <w:color w:val="auto"/>
              </w:rPr>
              <w:t>Semi-annual</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July 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S/109,310</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108,851</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July 2022</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S/109,310</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108,821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Third issuance (Series D) - BCP</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3.88</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Semi-annual</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August 2022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S/42,660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42,366</w:t>
            </w: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August 2022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S/42,660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42,337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771,856</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953,700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35" w:right="3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Annual</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4"/>
          </w:tcPr>
          <w:p>
            <w:pPr>
              <w:ind w:left="200"/>
              <w:spacing w:after="0"/>
              <w:rPr>
                <w:sz w:val="20"/>
                <w:szCs w:val="20"/>
                <w:color w:val="auto"/>
              </w:rPr>
            </w:pPr>
            <w:r>
              <w:rPr>
                <w:rFonts w:ascii="Arial" w:cs="Arial" w:eastAsia="Arial" w:hAnsi="Arial"/>
                <w:sz w:val="16"/>
                <w:szCs w:val="16"/>
                <w:b w:val="1"/>
                <w:bCs w:val="1"/>
                <w:color w:val="auto"/>
              </w:rPr>
              <w:t>As of March 31, 2020</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4"/>
          </w:tcPr>
          <w:p>
            <w:pPr>
              <w:ind w:left="80"/>
              <w:spacing w:after="0"/>
              <w:rPr>
                <w:sz w:val="20"/>
                <w:szCs w:val="20"/>
                <w:color w:val="auto"/>
              </w:rPr>
            </w:pPr>
            <w:r>
              <w:rPr>
                <w:rFonts w:ascii="Arial" w:cs="Arial" w:eastAsia="Arial" w:hAnsi="Arial"/>
                <w:sz w:val="16"/>
                <w:szCs w:val="16"/>
                <w:b w:val="1"/>
                <w:bCs w:val="1"/>
                <w:color w:val="auto"/>
              </w:rPr>
              <w:t>As of December 31, 2019</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interest</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3"/>
              </w:rPr>
              <w:t>Interest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Issued</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Carrying</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Issued</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Carrying</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rate</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payment</w:t>
            </w:r>
          </w:p>
        </w:tc>
        <w:tc>
          <w:tcPr>
            <w:tcW w:w="12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Maturity</w:t>
            </w: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amount</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amount</w:t>
            </w:r>
          </w:p>
        </w:tc>
        <w:tc>
          <w:tcPr>
            <w:tcW w:w="10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Maturity</w:t>
            </w: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amount</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amount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(000)</w:t>
            </w:r>
          </w:p>
        </w:tc>
        <w:tc>
          <w:tcPr>
            <w:tcW w:w="100" w:type="dxa"/>
            <w:vAlign w:val="bottom"/>
          </w:tcPr>
          <w:p>
            <w:pPr>
              <w:spacing w:after="0"/>
              <w:rPr>
                <w:sz w:val="16"/>
                <w:szCs w:val="16"/>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120" w:type="dxa"/>
            <w:vAlign w:val="bottom"/>
          </w:tcPr>
          <w:p>
            <w:pPr>
              <w:spacing w:after="0"/>
              <w:rPr>
                <w:sz w:val="16"/>
                <w:szCs w:val="16"/>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Subordinated bonds - BCP (vii)</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6.13</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97"/>
              </w:rPr>
              <w:t>Semi-annual</w:t>
            </w:r>
          </w:p>
        </w:tc>
        <w:tc>
          <w:tcPr>
            <w:tcW w:w="11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April 2027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US$720,000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2,472,234</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April 2027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US$720,000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2,383,860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8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Subordinated bonds - BCP (viii)</w:t>
            </w: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September</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September</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6.88</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97"/>
              </w:rPr>
              <w:t>Semi-annual</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2026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US$476,120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1,600,491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US$476,120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1,549,702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Subordinated bonds -</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b w:val="1"/>
                <w:bCs w:val="1"/>
                <w:color w:val="auto"/>
              </w:rPr>
              <w:t>First program</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First issuance (Series A) - BCP</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6.22</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97"/>
              </w:rPr>
              <w:t>Semi-annual</w:t>
            </w:r>
          </w:p>
        </w:tc>
        <w:tc>
          <w:tcPr>
            <w:tcW w:w="11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May 2027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S/15,000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15,000</w:t>
            </w:r>
          </w:p>
        </w:tc>
        <w:tc>
          <w:tcPr>
            <w:tcW w:w="1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May 2027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S/15,000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gridSpan w:val="3"/>
          </w:tcPr>
          <w:p>
            <w:pPr>
              <w:ind w:left="120"/>
              <w:spacing w:after="0"/>
              <w:rPr>
                <w:sz w:val="20"/>
                <w:szCs w:val="20"/>
                <w:color w:val="auto"/>
              </w:rPr>
            </w:pPr>
            <w:r>
              <w:rPr>
                <w:rFonts w:ascii="Arial" w:cs="Arial" w:eastAsia="Arial" w:hAnsi="Arial"/>
                <w:sz w:val="16"/>
                <w:szCs w:val="16"/>
                <w:color w:val="auto"/>
              </w:rPr>
              <w:t>November</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6"/>
                <w:szCs w:val="16"/>
                <w:color w:val="auto"/>
              </w:rPr>
              <w:t>November</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0" w:type="dxa"/>
            <w:vAlign w:val="bottom"/>
            <w:gridSpan w:val="2"/>
          </w:tcPr>
          <w:p>
            <w:pPr>
              <w:spacing w:after="0"/>
              <w:rPr>
                <w:sz w:val="20"/>
                <w:szCs w:val="20"/>
                <w:color w:val="auto"/>
              </w:rPr>
            </w:pPr>
            <w:r>
              <w:rPr>
                <w:rFonts w:ascii="Arial" w:cs="Arial" w:eastAsia="Arial" w:hAnsi="Arial"/>
                <w:sz w:val="16"/>
                <w:szCs w:val="16"/>
                <w:color w:val="auto"/>
              </w:rPr>
              <w:t>First issuance (Series A) - Pacífico Seguros</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6.97</w:t>
            </w:r>
          </w:p>
        </w:tc>
        <w:tc>
          <w:tcPr>
            <w:tcW w:w="1000" w:type="dxa"/>
            <w:vAlign w:val="bottom"/>
            <w:gridSpan w:val="2"/>
          </w:tcPr>
          <w:p>
            <w:pPr>
              <w:ind w:left="100"/>
              <w:spacing w:after="0"/>
              <w:rPr>
                <w:sz w:val="20"/>
                <w:szCs w:val="20"/>
                <w:color w:val="auto"/>
              </w:rPr>
            </w:pPr>
            <w:r>
              <w:rPr>
                <w:rFonts w:ascii="Arial" w:cs="Arial" w:eastAsia="Arial" w:hAnsi="Arial"/>
                <w:sz w:val="16"/>
                <w:szCs w:val="16"/>
                <w:color w:val="auto"/>
              </w:rPr>
              <w:t>Quarterly</w:t>
            </w:r>
          </w:p>
        </w:tc>
        <w:tc>
          <w:tcPr>
            <w:tcW w:w="1020" w:type="dxa"/>
            <w:vAlign w:val="bottom"/>
            <w:gridSpan w:val="2"/>
          </w:tcPr>
          <w:p>
            <w:pPr>
              <w:ind w:left="120"/>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US$60,000</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206,220</w:t>
            </w:r>
          </w:p>
        </w:tc>
        <w:tc>
          <w:tcPr>
            <w:tcW w:w="900" w:type="dxa"/>
            <w:vAlign w:val="bottom"/>
          </w:tcPr>
          <w:p>
            <w:pPr>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US$60,000</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198,840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b w:val="1"/>
                <w:bCs w:val="1"/>
                <w:color w:val="auto"/>
              </w:rPr>
              <w:t>Second program</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First issuance (Series A) - Mibanco</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8.50</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97"/>
              </w:rPr>
              <w:t>Semi-annual</w:t>
            </w:r>
          </w:p>
        </w:tc>
        <w:tc>
          <w:tcPr>
            <w:tcW w:w="11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May 2026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S/100,000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100,000</w:t>
            </w:r>
          </w:p>
        </w:tc>
        <w:tc>
          <w:tcPr>
            <w:tcW w:w="1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May 2026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S/100,000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99,934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First issuance (Series B) - Mibanco</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7.22</w:t>
            </w:r>
          </w:p>
        </w:tc>
        <w:tc>
          <w:tcPr>
            <w:tcW w:w="1000" w:type="dxa"/>
            <w:vAlign w:val="bottom"/>
            <w:gridSpan w:val="2"/>
          </w:tcPr>
          <w:p>
            <w:pPr>
              <w:ind w:left="100"/>
              <w:spacing w:after="0"/>
              <w:rPr>
                <w:sz w:val="20"/>
                <w:szCs w:val="20"/>
                <w:color w:val="auto"/>
              </w:rPr>
            </w:pPr>
            <w:r>
              <w:rPr>
                <w:rFonts w:ascii="Arial" w:cs="Arial" w:eastAsia="Arial" w:hAnsi="Arial"/>
                <w:sz w:val="16"/>
                <w:szCs w:val="16"/>
                <w:color w:val="auto"/>
                <w:w w:val="97"/>
              </w:rPr>
              <w:t>Semi-annual</w:t>
            </w:r>
          </w:p>
        </w:tc>
        <w:tc>
          <w:tcPr>
            <w:tcW w:w="1120" w:type="dxa"/>
            <w:vAlign w:val="bottom"/>
            <w:gridSpan w:val="3"/>
          </w:tcPr>
          <w:p>
            <w:pPr>
              <w:ind w:left="120"/>
              <w:spacing w:after="0"/>
              <w:rPr>
                <w:sz w:val="20"/>
                <w:szCs w:val="20"/>
                <w:color w:val="auto"/>
              </w:rPr>
            </w:pPr>
            <w:r>
              <w:rPr>
                <w:rFonts w:ascii="Arial" w:cs="Arial" w:eastAsia="Arial" w:hAnsi="Arial"/>
                <w:sz w:val="16"/>
                <w:szCs w:val="16"/>
                <w:color w:val="auto"/>
              </w:rPr>
              <w:t>June 2027</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S/30,000</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30,000</w:t>
            </w:r>
          </w:p>
        </w:tc>
        <w:tc>
          <w:tcPr>
            <w:tcW w:w="1000" w:type="dxa"/>
            <w:vAlign w:val="bottom"/>
            <w:gridSpan w:val="2"/>
          </w:tcPr>
          <w:p>
            <w:pPr>
              <w:spacing w:after="0"/>
              <w:rPr>
                <w:sz w:val="20"/>
                <w:szCs w:val="20"/>
                <w:color w:val="auto"/>
              </w:rPr>
            </w:pPr>
            <w:r>
              <w:rPr>
                <w:rFonts w:ascii="Arial" w:cs="Arial" w:eastAsia="Arial" w:hAnsi="Arial"/>
                <w:sz w:val="16"/>
                <w:szCs w:val="16"/>
                <w:color w:val="auto"/>
              </w:rPr>
              <w:t>June 2027</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S/30,000</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b w:val="1"/>
                <w:bCs w:val="1"/>
                <w:color w:val="auto"/>
              </w:rPr>
              <w:t>Third program</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Issuance I - Banco de Crédito de Bolivia</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6.25</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97"/>
              </w:rPr>
              <w:t>Semi-annual</w:t>
            </w:r>
          </w:p>
        </w:tc>
        <w:tc>
          <w:tcPr>
            <w:tcW w:w="11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August 2028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Bs70,000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35,179</w:t>
            </w:r>
          </w:p>
        </w:tc>
        <w:tc>
          <w:tcPr>
            <w:tcW w:w="1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August 2028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Bs70,000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33,816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Issuance II - Banco de Crédito de Bolivia</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5.25</w:t>
            </w:r>
          </w:p>
        </w:tc>
        <w:tc>
          <w:tcPr>
            <w:tcW w:w="1000" w:type="dxa"/>
            <w:vAlign w:val="bottom"/>
            <w:gridSpan w:val="2"/>
          </w:tcPr>
          <w:p>
            <w:pPr>
              <w:ind w:left="100"/>
              <w:spacing w:after="0"/>
              <w:rPr>
                <w:sz w:val="20"/>
                <w:szCs w:val="20"/>
                <w:color w:val="auto"/>
              </w:rPr>
            </w:pPr>
            <w:r>
              <w:rPr>
                <w:rFonts w:ascii="Arial" w:cs="Arial" w:eastAsia="Arial" w:hAnsi="Arial"/>
                <w:sz w:val="16"/>
                <w:szCs w:val="16"/>
                <w:color w:val="auto"/>
                <w:w w:val="97"/>
              </w:rPr>
              <w:t>Semi-annual</w:t>
            </w:r>
          </w:p>
        </w:tc>
        <w:tc>
          <w:tcPr>
            <w:tcW w:w="1120" w:type="dxa"/>
            <w:vAlign w:val="bottom"/>
            <w:gridSpan w:val="3"/>
          </w:tcPr>
          <w:p>
            <w:pPr>
              <w:ind w:left="120"/>
              <w:spacing w:after="0"/>
              <w:rPr>
                <w:sz w:val="20"/>
                <w:szCs w:val="20"/>
                <w:color w:val="auto"/>
              </w:rPr>
            </w:pPr>
            <w:r>
              <w:rPr>
                <w:rFonts w:ascii="Arial" w:cs="Arial" w:eastAsia="Arial" w:hAnsi="Arial"/>
                <w:sz w:val="16"/>
                <w:szCs w:val="16"/>
                <w:color w:val="auto"/>
              </w:rPr>
              <w:t>August 2022</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Bs137,200</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69,422</w:t>
            </w:r>
          </w:p>
        </w:tc>
        <w:tc>
          <w:tcPr>
            <w:tcW w:w="1000" w:type="dxa"/>
            <w:vAlign w:val="bottom"/>
            <w:gridSpan w:val="2"/>
          </w:tcPr>
          <w:p>
            <w:pPr>
              <w:spacing w:after="0"/>
              <w:rPr>
                <w:sz w:val="20"/>
                <w:szCs w:val="20"/>
                <w:color w:val="auto"/>
              </w:rPr>
            </w:pPr>
            <w:r>
              <w:rPr>
                <w:rFonts w:ascii="Arial" w:cs="Arial" w:eastAsia="Arial" w:hAnsi="Arial"/>
                <w:sz w:val="16"/>
                <w:szCs w:val="16"/>
                <w:color w:val="auto"/>
              </w:rPr>
              <w:t>August 2022</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Bs137,200</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66,782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455,821</w:t>
            </w: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444,372</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From</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2020</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w w:val="98"/>
              </w:rPr>
              <w:t>Negotiable certificate of deposit - Mibanco</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3.01 to</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April 2020 /</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5.80</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Annual</w:t>
            </w:r>
          </w:p>
        </w:tc>
        <w:tc>
          <w:tcPr>
            <w:tcW w:w="11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March 2025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S/1,301</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1,301</w:t>
            </w:r>
          </w:p>
        </w:tc>
        <w:tc>
          <w:tcPr>
            <w:tcW w:w="1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2024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S/997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8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w w:val="97"/>
              </w:rPr>
              <w:t>Subordinated negotiable certificates - BCP</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Libor 3M</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November</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November</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+ 279 bp</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97"/>
              </w:rPr>
              <w:t>Semi-annual</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US$2,960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10,175</w:t>
            </w: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US$2,960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15,054,612</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14,766,848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Interest payable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123,536</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179,515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7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15,178,148</w:t>
            </w: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14,946,363</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ind w:left="360"/>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8" w:right="339" w:bottom="1440" w:gutter="0" w:footer="0" w:header="0"/>
        </w:sectPr>
      </w:pPr>
    </w:p>
    <w:bookmarkStart w:id="57" w:name="page58"/>
    <w:bookmarkEnd w:id="57"/>
    <w:p>
      <w:pPr>
        <w:ind w:left="2" w:right="40"/>
        <w:spacing w:after="0" w:line="283" w:lineRule="auto"/>
        <w:rPr>
          <w:sz w:val="20"/>
          <w:szCs w:val="20"/>
          <w:color w:val="auto"/>
        </w:rPr>
      </w:pPr>
      <w:r>
        <w:rPr>
          <w:rFonts w:ascii="Arial" w:cs="Arial" w:eastAsia="Arial" w:hAnsi="Arial"/>
          <w:sz w:val="15"/>
          <w:szCs w:val="15"/>
          <w:color w:val="auto"/>
        </w:rPr>
        <w:t>During the three-month period ended March 31, 2018, in accordance with the risk exposure strategy of the interest rate, the Group discontinued the fair value hedge of certain bonds, issued in U.S. Dollars at a fixed rate, through the liquidation of the IRS. The accumulated profit of the fair value of these bonds at the time of the liquidation of the derivatives amounted to US$22.0 million (equivalent to S/71.7 million), recorded in the liability, which has been transferred to the consolidated statement of income up to the date of maturity of said bonds. As of March 31, 2020, the liability amounts to US$7.5 million, equivalent to S/25.7 million, (US$8.7 million, equivalent to S/28.8 million, as of December 31, 2019). The amount recorded in the interim condensed consolidated statement of income ended March 31, 2020 amounts to US$1.2 million, equivalent to S/4.2 million (US$1.6 million, equivalent to S/5.4 million, during the period ended as of March 31, 2019).</w:t>
      </w:r>
    </w:p>
    <w:p>
      <w:pPr>
        <w:spacing w:after="0" w:line="155" w:lineRule="exact"/>
        <w:rPr>
          <w:sz w:val="20"/>
          <w:szCs w:val="20"/>
          <w:color w:val="auto"/>
        </w:rPr>
      </w:pPr>
    </w:p>
    <w:p>
      <w:pPr>
        <w:ind w:left="342" w:hanging="342"/>
        <w:spacing w:after="0" w:line="289" w:lineRule="auto"/>
        <w:tabs>
          <w:tab w:leader="none" w:pos="342" w:val="left"/>
        </w:tabs>
        <w:numPr>
          <w:ilvl w:val="0"/>
          <w:numId w:val="55"/>
        </w:numPr>
        <w:rPr>
          <w:rFonts w:ascii="Arial" w:cs="Arial" w:eastAsia="Arial" w:hAnsi="Arial"/>
          <w:sz w:val="15"/>
          <w:szCs w:val="15"/>
          <w:color w:val="auto"/>
        </w:rPr>
      </w:pPr>
      <w:r>
        <w:rPr>
          <w:rFonts w:ascii="Arial" w:cs="Arial" w:eastAsia="Arial" w:hAnsi="Arial"/>
          <w:sz w:val="15"/>
          <w:szCs w:val="15"/>
          <w:color w:val="auto"/>
        </w:rPr>
        <w:t>In September 2019, the Bank announced a repurchase offer and propose an exchange to the holders of senior notes of the US$800.0 million issued in September of 2010, managing to repurchase US$220.3 million and exchanging US$ 205.0 million with new senior notes, at market rates , whose terms and conditions were very similar to the previous issue. At the end of said offer, the Bank keeps a notional value payable amounting to US$374.6 million, which can be redeemed by the Bank in whole or in part, in any date, having as a penalty an interest rate equal to the Treasury of the United States of America’s rate plus 40 basis points.</w:t>
      </w:r>
    </w:p>
    <w:p>
      <w:pPr>
        <w:spacing w:after="0" w:line="151" w:lineRule="exact"/>
        <w:rPr>
          <w:rFonts w:ascii="Arial" w:cs="Arial" w:eastAsia="Arial" w:hAnsi="Arial"/>
          <w:sz w:val="15"/>
          <w:szCs w:val="15"/>
          <w:color w:val="auto"/>
        </w:rPr>
      </w:pPr>
    </w:p>
    <w:p>
      <w:pPr>
        <w:ind w:left="342" w:right="20"/>
        <w:spacing w:after="0" w:line="310" w:lineRule="auto"/>
        <w:rPr>
          <w:rFonts w:ascii="Arial" w:cs="Arial" w:eastAsia="Arial" w:hAnsi="Arial"/>
          <w:sz w:val="15"/>
          <w:szCs w:val="15"/>
          <w:color w:val="auto"/>
        </w:rPr>
      </w:pPr>
      <w:r>
        <w:rPr>
          <w:rFonts w:ascii="Arial" w:cs="Arial" w:eastAsia="Arial" w:hAnsi="Arial"/>
          <w:sz w:val="14"/>
          <w:szCs w:val="14"/>
          <w:color w:val="auto"/>
        </w:rPr>
        <w:t>In the same way, in September 2019, the Bank issued senior notes of approximately US$700 million (that amount includes the US$205.0 million of the exchange mentioned in the paragraph before). The Bank can redeem all or part of the notes at any date, between October 11, 2021 and December 10, 2024, at a redemption price equal to or greater than: (i) 100 percent of the aggregate principal amount of the notes to be redeemed; and (ii) the sum of the present value of each remaining scheduled payment discounted at interest rate equal to the Treasury of the United States of America’s rate plus 20 basis points. From December 11, 2024 onwards, the Bank can redeem the total or part of the notes to a redemption price equal to 100 percent of the aggregate principal amount of the notes to be redeemed.</w:t>
      </w:r>
    </w:p>
    <w:p>
      <w:pPr>
        <w:spacing w:after="0" w:line="139" w:lineRule="exact"/>
        <w:rPr>
          <w:rFonts w:ascii="Arial" w:cs="Arial" w:eastAsia="Arial" w:hAnsi="Arial"/>
          <w:sz w:val="15"/>
          <w:szCs w:val="15"/>
          <w:color w:val="auto"/>
        </w:rPr>
      </w:pPr>
    </w:p>
    <w:p>
      <w:pPr>
        <w:ind w:left="342"/>
        <w:spacing w:after="0"/>
        <w:rPr>
          <w:rFonts w:ascii="Arial" w:cs="Arial" w:eastAsia="Arial" w:hAnsi="Arial"/>
          <w:sz w:val="15"/>
          <w:szCs w:val="15"/>
          <w:color w:val="auto"/>
        </w:rPr>
      </w:pPr>
      <w:r>
        <w:rPr>
          <w:rFonts w:ascii="Arial" w:cs="Arial" w:eastAsia="Arial" w:hAnsi="Arial"/>
          <w:sz w:val="16"/>
          <w:szCs w:val="16"/>
          <w:color w:val="auto"/>
        </w:rPr>
        <w:t>The payment of principal will take place on the due date or when the Bank redeems the notes.</w:t>
      </w:r>
    </w:p>
    <w:p>
      <w:pPr>
        <w:spacing w:after="0" w:line="209" w:lineRule="exact"/>
        <w:rPr>
          <w:rFonts w:ascii="Arial" w:cs="Arial" w:eastAsia="Arial" w:hAnsi="Arial"/>
          <w:sz w:val="15"/>
          <w:szCs w:val="15"/>
          <w:color w:val="auto"/>
        </w:rPr>
      </w:pPr>
    </w:p>
    <w:p>
      <w:pPr>
        <w:ind w:left="342" w:right="40" w:hanging="342"/>
        <w:spacing w:after="0" w:line="287" w:lineRule="auto"/>
        <w:tabs>
          <w:tab w:leader="none" w:pos="342"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Bank can redeem the total or part of the notes in any time, having as a penalty an interest rate equal to the Treasury of the United States of America’s rate plus 50 basis point. The payment of principal will take place on the due date of the notes or when the Bank redeems these notes.</w:t>
      </w:r>
    </w:p>
    <w:p>
      <w:pPr>
        <w:spacing w:after="0" w:line="149" w:lineRule="exact"/>
        <w:rPr>
          <w:rFonts w:ascii="Arial" w:cs="Arial" w:eastAsia="Arial" w:hAnsi="Arial"/>
          <w:sz w:val="16"/>
          <w:szCs w:val="16"/>
          <w:color w:val="auto"/>
        </w:rPr>
      </w:pPr>
    </w:p>
    <w:p>
      <w:pPr>
        <w:ind w:left="342" w:right="120" w:hanging="342"/>
        <w:spacing w:after="0" w:line="266" w:lineRule="auto"/>
        <w:tabs>
          <w:tab w:leader="none" w:pos="342"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September 2019, the Bank announced a repurchase offer and propose an exchange to the holders of senior notes of the S/2,000 million issued in October of 2017, managing to repurchase S/291.2 million and exchanging S/1,308.8 million with new senior notes, at market rates, whose terms and conditions are very similar to the previous issue. At the end of said offer, the Bank keeps a notional value payable amounting to S/400.0 million, which can be redeemed by the Bank in whole or in part, as of October 15, 2020 without penalties.</w:t>
      </w:r>
    </w:p>
    <w:p>
      <w:pPr>
        <w:spacing w:after="0" w:line="166" w:lineRule="exact"/>
        <w:rPr>
          <w:rFonts w:ascii="Arial" w:cs="Arial" w:eastAsia="Arial" w:hAnsi="Arial"/>
          <w:sz w:val="16"/>
          <w:szCs w:val="16"/>
          <w:color w:val="auto"/>
        </w:rPr>
      </w:pPr>
    </w:p>
    <w:p>
      <w:pPr>
        <w:ind w:left="342" w:right="40"/>
        <w:spacing w:after="0" w:line="285" w:lineRule="auto"/>
        <w:rPr>
          <w:rFonts w:ascii="Arial" w:cs="Arial" w:eastAsia="Arial" w:hAnsi="Arial"/>
          <w:sz w:val="16"/>
          <w:szCs w:val="16"/>
          <w:color w:val="auto"/>
        </w:rPr>
      </w:pPr>
      <w:r>
        <w:rPr>
          <w:rFonts w:ascii="Arial" w:cs="Arial" w:eastAsia="Arial" w:hAnsi="Arial"/>
          <w:sz w:val="15"/>
          <w:szCs w:val="15"/>
          <w:color w:val="auto"/>
        </w:rPr>
        <w:t>At the same date, the Bank issued senior notes for approximately S/2,500.0 million (this amount includes the S/1,308.8 million of the exchange mentioned in the paragraph before). The Bank can redeem the whole or part of the senior notes between October 17, 2021 and August 16, 2024, at a redemption price equal to or greater than: (i) 100 percent of the aggregate principal amount of the notes, and (ii) the sum of the present value of cash flows discounted at interest rate equivalent to sovereign bonds issued by the government of Perú or other comparable titles plus 25 basis points. As of August 17, 2024, the Bank may redeem all or part of the senior notes at a redemption price equal to 100 percent of the aggregate amount of the principal to be redeemed.</w:t>
      </w:r>
    </w:p>
    <w:p>
      <w:pPr>
        <w:spacing w:after="0" w:line="155" w:lineRule="exact"/>
        <w:rPr>
          <w:rFonts w:ascii="Arial" w:cs="Arial" w:eastAsia="Arial" w:hAnsi="Arial"/>
          <w:sz w:val="16"/>
          <w:szCs w:val="16"/>
          <w:color w:val="auto"/>
        </w:rPr>
      </w:pPr>
    </w:p>
    <w:p>
      <w:pPr>
        <w:ind w:left="342"/>
        <w:spacing w:after="0"/>
        <w:rPr>
          <w:rFonts w:ascii="Arial" w:cs="Arial" w:eastAsia="Arial" w:hAnsi="Arial"/>
          <w:sz w:val="16"/>
          <w:szCs w:val="16"/>
          <w:color w:val="auto"/>
        </w:rPr>
      </w:pPr>
      <w:r>
        <w:rPr>
          <w:rFonts w:ascii="Arial" w:cs="Arial" w:eastAsia="Arial" w:hAnsi="Arial"/>
          <w:sz w:val="16"/>
          <w:szCs w:val="16"/>
          <w:color w:val="auto"/>
        </w:rPr>
        <w:t>The payment of principal will take place on the due date or when the Bank redeems the notes.</w:t>
      </w:r>
    </w:p>
    <w:p>
      <w:pPr>
        <w:spacing w:after="0" w:line="209" w:lineRule="exact"/>
        <w:rPr>
          <w:rFonts w:ascii="Arial" w:cs="Arial" w:eastAsia="Arial" w:hAnsi="Arial"/>
          <w:sz w:val="16"/>
          <w:szCs w:val="16"/>
          <w:color w:val="auto"/>
        </w:rPr>
      </w:pPr>
    </w:p>
    <w:p>
      <w:pPr>
        <w:ind w:left="342" w:hanging="342"/>
        <w:spacing w:after="0"/>
        <w:tabs>
          <w:tab w:leader="none" w:pos="342"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February of 2019, the Bank issued Senior Notes for approximately US$70.0 million at variable rate.</w:t>
      </w:r>
    </w:p>
    <w:p>
      <w:pPr>
        <w:spacing w:after="0" w:line="200" w:lineRule="exact"/>
        <w:rPr>
          <w:rFonts w:ascii="Arial" w:cs="Arial" w:eastAsia="Arial" w:hAnsi="Arial"/>
          <w:sz w:val="16"/>
          <w:szCs w:val="16"/>
          <w:color w:val="auto"/>
        </w:rPr>
      </w:pPr>
    </w:p>
    <w:p>
      <w:pPr>
        <w:spacing w:after="0" w:line="205" w:lineRule="exact"/>
        <w:rPr>
          <w:rFonts w:ascii="Arial" w:cs="Arial" w:eastAsia="Arial" w:hAnsi="Arial"/>
          <w:sz w:val="16"/>
          <w:szCs w:val="16"/>
          <w:color w:val="auto"/>
        </w:rPr>
      </w:pPr>
    </w:p>
    <w:p>
      <w:pPr>
        <w:ind w:left="5542" w:hanging="93"/>
        <w:spacing w:after="0"/>
        <w:tabs>
          <w:tab w:leader="none" w:pos="5542" w:val="left"/>
        </w:tabs>
        <w:numPr>
          <w:ilvl w:val="1"/>
          <w:numId w:val="55"/>
        </w:numPr>
        <w:rPr>
          <w:rFonts w:ascii="Arial" w:cs="Arial" w:eastAsia="Arial" w:hAnsi="Arial"/>
          <w:sz w:val="16"/>
          <w:szCs w:val="16"/>
          <w:color w:val="auto"/>
        </w:rPr>
      </w:pPr>
      <w:r>
        <w:rPr>
          <w:rFonts w:ascii="Arial" w:cs="Arial" w:eastAsia="Arial" w:hAnsi="Arial"/>
          <w:sz w:val="16"/>
          <w:szCs w:val="16"/>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1036" w:right="339" w:bottom="1440" w:gutter="0" w:footer="0" w:header="0"/>
        </w:sectPr>
      </w:pPr>
    </w:p>
    <w:bookmarkStart w:id="58" w:name="page59"/>
    <w:bookmarkEnd w:id="58"/>
    <w:p>
      <w:pPr>
        <w:ind w:left="580" w:hanging="287"/>
        <w:spacing w:after="0"/>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July of 2019, the Bank issued Senior Notes for approximately JPY5,000.0 million at fixed interest rate.</w:t>
      </w:r>
    </w:p>
    <w:p>
      <w:pPr>
        <w:spacing w:after="0" w:line="209" w:lineRule="exact"/>
        <w:rPr>
          <w:rFonts w:ascii="Arial" w:cs="Arial" w:eastAsia="Arial" w:hAnsi="Arial"/>
          <w:sz w:val="16"/>
          <w:szCs w:val="16"/>
          <w:color w:val="auto"/>
        </w:rPr>
      </w:pPr>
    </w:p>
    <w:p>
      <w:pPr>
        <w:ind w:left="580" w:right="120" w:hanging="287"/>
        <w:spacing w:after="0" w:line="271" w:lineRule="auto"/>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This issue is guaranteed by the future collection of electronic payment orders sent to BCP (including foreign branches) through the Society Worldwide Interbank Financial Telecommunications, through which the correspondent bank uses the network to places orders of payment to beneficiary that is not a financial institution.</w:t>
      </w:r>
    </w:p>
    <w:p>
      <w:pPr>
        <w:spacing w:after="0" w:line="163" w:lineRule="exact"/>
        <w:rPr>
          <w:sz w:val="20"/>
          <w:szCs w:val="20"/>
          <w:color w:val="auto"/>
        </w:rPr>
      </w:pPr>
    </w:p>
    <w:p>
      <w:pPr>
        <w:ind w:left="580" w:right="80" w:hanging="294"/>
        <w:spacing w:after="0" w:line="266" w:lineRule="auto"/>
        <w:rPr>
          <w:sz w:val="20"/>
          <w:szCs w:val="20"/>
          <w:color w:val="auto"/>
        </w:rPr>
      </w:pPr>
      <w:r>
        <w:rPr>
          <w:rFonts w:ascii="Arial" w:cs="Arial" w:eastAsia="Arial" w:hAnsi="Arial"/>
          <w:sz w:val="16"/>
          <w:szCs w:val="16"/>
          <w:color w:val="auto"/>
        </w:rPr>
        <w:t>(vii)The Bank as of the year of 2022 will pay a three-month Libor plus 70.3 basis points. Between April 24, 2017 and April 24, 2022, the Bank can redeem the whole or part of the bonds having a penalty of an interest rate equal to the Treasury of United States of América’s rate plus 50 basis points. Also, as of April 25, 2022 or at any date after interest payment, the Bank can redeem all or part of the bonds without penalty. Payment of the principal will take place on the due date of the bonds or when the Bank redeems them.</w:t>
      </w:r>
    </w:p>
    <w:p>
      <w:pPr>
        <w:spacing w:after="0" w:line="167" w:lineRule="exact"/>
        <w:rPr>
          <w:sz w:val="20"/>
          <w:szCs w:val="20"/>
          <w:color w:val="auto"/>
        </w:rPr>
      </w:pPr>
    </w:p>
    <w:p>
      <w:pPr>
        <w:ind w:left="620" w:right="40" w:hanging="331"/>
        <w:spacing w:after="0" w:line="266" w:lineRule="auto"/>
        <w:rPr>
          <w:sz w:val="20"/>
          <w:szCs w:val="20"/>
          <w:color w:val="auto"/>
        </w:rPr>
      </w:pPr>
      <w:r>
        <w:rPr>
          <w:rFonts w:ascii="Arial" w:cs="Arial" w:eastAsia="Arial" w:hAnsi="Arial"/>
          <w:sz w:val="16"/>
          <w:szCs w:val="16"/>
          <w:color w:val="auto"/>
        </w:rPr>
        <w:t>(viii)The Bank as of September 16, 2021, will pay a three-month Libor plus 770.8 basis points. Between the dates of September 16, 2016 and September 15, 2021, the Bank can redeem the whole or part of the bonds, having a penalty of an interest rate equal to the Treasury of United States of America´s rate plus 50 basis point. Also, as of September 16, 2021 or at any time after at the payment of interests, the Bank can redeem the whole or part of the bonds without penalties. The payment of the principal amount will take place on due date or in the redemptions of them.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b) The table below shows the bonds and notes issued, classified by maturity, without accrued interests: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March 31,</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0"/>
              </w:rPr>
              <w:t>As of December 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5840" w:type="dxa"/>
            <w:vAlign w:val="bottom"/>
            <w:gridSpan w:val="2"/>
          </w:tcPr>
          <w:p>
            <w:pPr>
              <w:jc w:val="right"/>
              <w:ind w:right="338"/>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380" w:type="dxa"/>
            <w:vAlign w:val="bottom"/>
          </w:tcPr>
          <w:p>
            <w:pPr>
              <w:jc w:val="right"/>
              <w:ind w:right="43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6"/>
                <w:szCs w:val="16"/>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Up to 3 months</w:t>
            </w:r>
          </w:p>
        </w:tc>
        <w:tc>
          <w:tcPr>
            <w:tcW w:w="60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39,080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182,365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6"/>
                <w:szCs w:val="16"/>
                <w:color w:val="auto"/>
              </w:rPr>
              <w:t>From 3 months to 1 year</w:t>
            </w:r>
          </w:p>
        </w:tc>
        <w:tc>
          <w:tcPr>
            <w:tcW w:w="6040" w:type="dxa"/>
            <w:vAlign w:val="bottom"/>
            <w:gridSpan w:val="3"/>
          </w:tcPr>
          <w:p>
            <w:pPr>
              <w:jc w:val="right"/>
              <w:ind w:right="200"/>
              <w:spacing w:after="0"/>
              <w:rPr>
                <w:sz w:val="20"/>
                <w:szCs w:val="20"/>
                <w:color w:val="auto"/>
              </w:rPr>
            </w:pPr>
            <w:r>
              <w:rPr>
                <w:rFonts w:ascii="Arial" w:cs="Arial" w:eastAsia="Arial" w:hAnsi="Arial"/>
                <w:sz w:val="16"/>
                <w:szCs w:val="16"/>
                <w:color w:val="auto"/>
              </w:rPr>
              <w:t>2,026,599</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1,739,358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From 1 to 3 years</w:t>
            </w:r>
          </w:p>
        </w:tc>
        <w:tc>
          <w:tcPr>
            <w:tcW w:w="60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1,250,592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1,438,732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6"/>
                <w:szCs w:val="16"/>
                <w:color w:val="auto"/>
              </w:rPr>
              <w:t>From 3 to 5 years</w:t>
            </w:r>
          </w:p>
        </w:tc>
        <w:tc>
          <w:tcPr>
            <w:tcW w:w="6040" w:type="dxa"/>
            <w:vAlign w:val="bottom"/>
            <w:gridSpan w:val="3"/>
          </w:tcPr>
          <w:p>
            <w:pPr>
              <w:jc w:val="right"/>
              <w:ind w:right="200"/>
              <w:spacing w:after="0"/>
              <w:rPr>
                <w:sz w:val="20"/>
                <w:szCs w:val="20"/>
                <w:color w:val="auto"/>
              </w:rPr>
            </w:pPr>
            <w:r>
              <w:rPr>
                <w:rFonts w:ascii="Arial" w:cs="Arial" w:eastAsia="Arial" w:hAnsi="Arial"/>
                <w:sz w:val="16"/>
                <w:szCs w:val="16"/>
                <w:color w:val="auto"/>
              </w:rPr>
              <w:t>4,959,838</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4,863,708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More than 5 years</w:t>
            </w:r>
          </w:p>
        </w:tc>
        <w:tc>
          <w:tcPr>
            <w:tcW w:w="60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6,778,503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6,542,685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6"/>
                <w:szCs w:val="16"/>
                <w:color w:val="auto"/>
              </w:rPr>
              <w:t>Total</w:t>
            </w:r>
          </w:p>
        </w:tc>
        <w:tc>
          <w:tcPr>
            <w:tcW w:w="466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15,054,612</w:t>
            </w:r>
          </w:p>
        </w:tc>
        <w:tc>
          <w:tcPr>
            <w:tcW w:w="20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14,766,848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660" w:type="dxa"/>
            <w:vAlign w:val="bottom"/>
            <w:vMerge w:val="restart"/>
          </w:tcPr>
          <w:p>
            <w:pPr>
              <w:jc w:val="right"/>
              <w:ind w:right="2458"/>
              <w:spacing w:after="0"/>
              <w:rPr>
                <w:sz w:val="20"/>
                <w:szCs w:val="20"/>
                <w:color w:val="auto"/>
              </w:rPr>
            </w:pPr>
            <w:r>
              <w:rPr>
                <w:rFonts w:ascii="Arial" w:cs="Arial" w:eastAsia="Arial" w:hAnsi="Arial"/>
                <w:sz w:val="16"/>
                <w:szCs w:val="16"/>
                <w:color w:val="auto"/>
              </w:rPr>
              <w:t>-53-</w:t>
            </w: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3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0" w:right="339" w:bottom="1440" w:gutter="0" w:footer="0" w:header="0"/>
        </w:sectPr>
      </w:pPr>
    </w:p>
    <w:bookmarkStart w:id="59" w:name="page60"/>
    <w:bookmarkEnd w:id="59"/>
    <w:p>
      <w:pPr>
        <w:ind w:left="302" w:hanging="302"/>
        <w:spacing w:after="0"/>
        <w:tabs>
          <w:tab w:leader="none" w:pos="302"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EQUITY</w:t>
      </w:r>
    </w:p>
    <w:p>
      <w:pPr>
        <w:spacing w:after="0" w:line="213" w:lineRule="exact"/>
        <w:rPr>
          <w:rFonts w:ascii="Arial" w:cs="Arial" w:eastAsia="Arial" w:hAnsi="Arial"/>
          <w:sz w:val="16"/>
          <w:szCs w:val="16"/>
          <w:b w:val="1"/>
          <w:bCs w:val="1"/>
          <w:color w:val="auto"/>
        </w:rPr>
      </w:pPr>
    </w:p>
    <w:p>
      <w:pPr>
        <w:ind w:left="342" w:hanging="231"/>
        <w:spacing w:after="0"/>
        <w:tabs>
          <w:tab w:leader="none" w:pos="342" w:val="left"/>
        </w:tabs>
        <w:numPr>
          <w:ilvl w:val="1"/>
          <w:numId w:val="57"/>
        </w:numPr>
        <w:rPr>
          <w:rFonts w:ascii="Arial" w:cs="Arial" w:eastAsia="Arial" w:hAnsi="Arial"/>
          <w:sz w:val="16"/>
          <w:szCs w:val="16"/>
          <w:color w:val="auto"/>
        </w:rPr>
      </w:pPr>
      <w:r>
        <w:rPr>
          <w:rFonts w:ascii="Arial" w:cs="Arial" w:eastAsia="Arial" w:hAnsi="Arial"/>
          <w:sz w:val="16"/>
          <w:szCs w:val="16"/>
          <w:color w:val="auto"/>
        </w:rPr>
        <w:t>Capital stock -</w:t>
      </w:r>
    </w:p>
    <w:p>
      <w:pPr>
        <w:spacing w:after="0" w:line="209" w:lineRule="exact"/>
        <w:rPr>
          <w:sz w:val="20"/>
          <w:szCs w:val="20"/>
          <w:color w:val="auto"/>
        </w:rPr>
      </w:pPr>
    </w:p>
    <w:p>
      <w:pPr>
        <w:ind w:left="302"/>
        <w:spacing w:after="0"/>
        <w:rPr>
          <w:sz w:val="20"/>
          <w:szCs w:val="20"/>
          <w:color w:val="auto"/>
        </w:rPr>
      </w:pPr>
      <w:r>
        <w:rPr>
          <w:rFonts w:ascii="Arial" w:cs="Arial" w:eastAsia="Arial" w:hAnsi="Arial"/>
          <w:sz w:val="16"/>
          <w:szCs w:val="16"/>
          <w:color w:val="auto"/>
        </w:rPr>
        <w:t>As of March 31, 2020 and December 31, 2019, a total of 94,382,317 shares have been issued at US$5 per share.</w:t>
      </w:r>
    </w:p>
    <w:p>
      <w:pPr>
        <w:spacing w:after="0" w:line="209" w:lineRule="exact"/>
        <w:rPr>
          <w:sz w:val="20"/>
          <w:szCs w:val="20"/>
          <w:color w:val="auto"/>
        </w:rPr>
      </w:pPr>
    </w:p>
    <w:p>
      <w:pPr>
        <w:ind w:left="102"/>
        <w:spacing w:after="0"/>
        <w:rPr>
          <w:sz w:val="20"/>
          <w:szCs w:val="20"/>
          <w:color w:val="auto"/>
        </w:rPr>
      </w:pPr>
      <w:r>
        <w:rPr>
          <w:rFonts w:ascii="Arial" w:cs="Arial" w:eastAsia="Arial" w:hAnsi="Arial"/>
          <w:sz w:val="16"/>
          <w:szCs w:val="16"/>
          <w:color w:val="auto"/>
        </w:rPr>
        <w:t>b) Treasury stock -</w:t>
      </w:r>
    </w:p>
    <w:p>
      <w:pPr>
        <w:spacing w:after="0" w:line="209" w:lineRule="exact"/>
        <w:rPr>
          <w:sz w:val="20"/>
          <w:szCs w:val="20"/>
          <w:color w:val="auto"/>
        </w:rPr>
      </w:pPr>
    </w:p>
    <w:p>
      <w:pPr>
        <w:ind w:left="302"/>
        <w:spacing w:after="0"/>
        <w:rPr>
          <w:sz w:val="20"/>
          <w:szCs w:val="20"/>
          <w:color w:val="auto"/>
        </w:rPr>
      </w:pPr>
      <w:r>
        <w:rPr>
          <w:rFonts w:ascii="Arial" w:cs="Arial" w:eastAsia="Arial" w:hAnsi="Arial"/>
          <w:sz w:val="16"/>
          <w:szCs w:val="16"/>
          <w:color w:val="auto"/>
        </w:rPr>
        <w:t>We present below the stocks of Credicorp Ltd., that the entities of the Group maintain as of March 31, 2020 and 2019:</w:t>
      </w:r>
    </w:p>
    <w:p>
      <w:pPr>
        <w:spacing w:after="0" w:line="217" w:lineRule="exact"/>
        <w:rPr>
          <w:sz w:val="20"/>
          <w:szCs w:val="20"/>
          <w:color w:val="auto"/>
        </w:rPr>
      </w:pPr>
    </w:p>
    <w:tbl>
      <w:tblPr>
        <w:tblLayout w:type="fixed"/>
        <w:tblInd w:w="302"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1"/>
              </w:rPr>
              <w:t>Number of shares</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3"/>
        </w:trPr>
        <w:tc>
          <w:tcPr>
            <w:tcW w:w="6760" w:type="dxa"/>
            <w:vAlign w:val="bottom"/>
          </w:tcPr>
          <w:p>
            <w:pPr>
              <w:spacing w:after="0"/>
              <w:rPr>
                <w:sz w:val="15"/>
                <w:szCs w:val="15"/>
                <w:color w:val="auto"/>
              </w:rPr>
            </w:pPr>
          </w:p>
        </w:tc>
        <w:tc>
          <w:tcPr>
            <w:tcW w:w="1300" w:type="dxa"/>
            <w:vAlign w:val="bottom"/>
            <w:gridSpan w:val="2"/>
          </w:tcPr>
          <w:p>
            <w:pPr>
              <w:jc w:val="right"/>
              <w:ind w:right="400"/>
              <w:spacing w:after="0" w:line="173" w:lineRule="exact"/>
              <w:rPr>
                <w:sz w:val="20"/>
                <w:szCs w:val="20"/>
                <w:color w:val="auto"/>
              </w:rPr>
            </w:pPr>
            <w:r>
              <w:rPr>
                <w:rFonts w:ascii="Arial" w:cs="Arial" w:eastAsia="Arial" w:hAnsi="Arial"/>
                <w:sz w:val="16"/>
                <w:szCs w:val="16"/>
                <w:b w:val="1"/>
                <w:bCs w:val="1"/>
                <w:color w:val="auto"/>
              </w:rPr>
              <w:t>Shares of</w:t>
            </w:r>
          </w:p>
        </w:tc>
        <w:tc>
          <w:tcPr>
            <w:tcW w:w="120" w:type="dxa"/>
            <w:vAlign w:val="bottom"/>
          </w:tcPr>
          <w:p>
            <w:pPr>
              <w:spacing w:after="0"/>
              <w:rPr>
                <w:sz w:val="15"/>
                <w:szCs w:val="15"/>
                <w:color w:val="auto"/>
              </w:rPr>
            </w:pPr>
          </w:p>
        </w:tc>
        <w:tc>
          <w:tcPr>
            <w:tcW w:w="1440" w:type="dxa"/>
            <w:vAlign w:val="bottom"/>
            <w:gridSpan w:val="2"/>
          </w:tcPr>
          <w:p>
            <w:pPr>
              <w:jc w:val="center"/>
              <w:ind w:right="220"/>
              <w:spacing w:after="0" w:line="173" w:lineRule="exact"/>
              <w:rPr>
                <w:sz w:val="20"/>
                <w:szCs w:val="20"/>
                <w:color w:val="auto"/>
              </w:rPr>
            </w:pPr>
            <w:r>
              <w:rPr>
                <w:rFonts w:ascii="Arial" w:cs="Arial" w:eastAsia="Arial" w:hAnsi="Arial"/>
                <w:sz w:val="16"/>
                <w:szCs w:val="16"/>
                <w:b w:val="1"/>
                <w:bCs w:val="1"/>
                <w:color w:val="auto"/>
                <w:w w:val="88"/>
              </w:rPr>
              <w:t>Shared-based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2"/>
        </w:trPr>
        <w:tc>
          <w:tcPr>
            <w:tcW w:w="6760" w:type="dxa"/>
            <w:vAlign w:val="bottom"/>
          </w:tcPr>
          <w:p>
            <w:pPr>
              <w:spacing w:after="0"/>
              <w:rPr>
                <w:sz w:val="20"/>
                <w:szCs w:val="20"/>
                <w:color w:val="auto"/>
              </w:rPr>
            </w:pPr>
            <w:r>
              <w:rPr>
                <w:rFonts w:ascii="Arial" w:cs="Arial" w:eastAsia="Arial" w:hAnsi="Arial"/>
                <w:sz w:val="16"/>
                <w:szCs w:val="16"/>
                <w:b w:val="1"/>
                <w:bCs w:val="1"/>
                <w:color w:val="auto"/>
              </w:rPr>
              <w:t>As of March 31, 2020</w:t>
            </w:r>
          </w:p>
        </w:tc>
        <w:tc>
          <w:tcPr>
            <w:tcW w:w="13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the Group</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payment (*)</w:t>
            </w:r>
          </w:p>
        </w:tc>
        <w:tc>
          <w:tcPr>
            <w:tcW w:w="12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r>
      <w:tr>
        <w:trPr>
          <w:trHeight w:val="19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Atlantic Security Holding Corporation</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14,620,846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14,620,846</w:t>
            </w:r>
          </w:p>
        </w:tc>
        <w:tc>
          <w:tcPr>
            <w:tcW w:w="100" w:type="dxa"/>
            <w:vAlign w:val="bottom"/>
            <w:tcBorders>
              <w:top w:val="single" w:sz="8" w:color="CCEEFF"/>
            </w:tcBorders>
            <w:shd w:val="clear" w:color="auto" w:fill="CCEEFF"/>
          </w:tcPr>
          <w:p>
            <w:pPr>
              <w:spacing w:after="0"/>
              <w:rPr>
                <w:sz w:val="16"/>
                <w:szCs w:val="16"/>
                <w:color w:val="auto"/>
              </w:rPr>
            </w:pPr>
          </w:p>
        </w:tc>
      </w:tr>
      <w:tr>
        <w:trPr>
          <w:trHeight w:val="197"/>
        </w:trPr>
        <w:tc>
          <w:tcPr>
            <w:tcW w:w="6760" w:type="dxa"/>
            <w:vAlign w:val="bottom"/>
          </w:tcPr>
          <w:p>
            <w:pPr>
              <w:spacing w:after="0"/>
              <w:rPr>
                <w:sz w:val="20"/>
                <w:szCs w:val="20"/>
                <w:color w:val="auto"/>
              </w:rPr>
            </w:pPr>
            <w:r>
              <w:rPr>
                <w:rFonts w:ascii="Arial" w:cs="Arial" w:eastAsia="Arial" w:hAnsi="Arial"/>
                <w:sz w:val="16"/>
                <w:szCs w:val="16"/>
                <w:color w:val="auto"/>
              </w:rPr>
              <w:t>BCP</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gridSpan w:val="3"/>
          </w:tcPr>
          <w:p>
            <w:pPr>
              <w:jc w:val="right"/>
              <w:ind w:right="240"/>
              <w:spacing w:after="0"/>
              <w:rPr>
                <w:sz w:val="20"/>
                <w:szCs w:val="20"/>
                <w:color w:val="auto"/>
              </w:rPr>
            </w:pPr>
            <w:r>
              <w:rPr>
                <w:rFonts w:ascii="Arial" w:cs="Arial" w:eastAsia="Arial" w:hAnsi="Arial"/>
                <w:sz w:val="16"/>
                <w:szCs w:val="16"/>
                <w:color w:val="auto"/>
              </w:rPr>
              <w:t>159,339</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159,339</w:t>
            </w:r>
          </w:p>
        </w:tc>
      </w:tr>
      <w:tr>
        <w:trPr>
          <w:trHeight w:val="197"/>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Pacífico Seguros</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29,845</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29,845</w:t>
            </w:r>
          </w:p>
        </w:tc>
      </w:tr>
      <w:tr>
        <w:trPr>
          <w:trHeight w:val="197"/>
        </w:trPr>
        <w:tc>
          <w:tcPr>
            <w:tcW w:w="6760" w:type="dxa"/>
            <w:vAlign w:val="bottom"/>
          </w:tcPr>
          <w:p>
            <w:pPr>
              <w:spacing w:after="0"/>
              <w:rPr>
                <w:sz w:val="20"/>
                <w:szCs w:val="20"/>
                <w:color w:val="auto"/>
              </w:rPr>
            </w:pPr>
            <w:r>
              <w:rPr>
                <w:rFonts w:ascii="Arial" w:cs="Arial" w:eastAsia="Arial" w:hAnsi="Arial"/>
                <w:sz w:val="16"/>
                <w:szCs w:val="16"/>
                <w:color w:val="auto"/>
              </w:rPr>
              <w:t>Credicorp Perú</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6"/>
                <w:szCs w:val="16"/>
                <w:color w:val="auto"/>
              </w:rPr>
              <w:t>32,512</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32,512</w:t>
            </w:r>
          </w:p>
        </w:tc>
      </w:tr>
      <w:tr>
        <w:trPr>
          <w:trHeight w:val="197"/>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Credicorp Capital Servicios Financieros</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17,598</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17,598</w:t>
            </w:r>
          </w:p>
        </w:tc>
      </w:tr>
      <w:tr>
        <w:trPr>
          <w:trHeight w:val="208"/>
        </w:trPr>
        <w:tc>
          <w:tcPr>
            <w:tcW w:w="6760" w:type="dxa"/>
            <w:vAlign w:val="bottom"/>
          </w:tcPr>
          <w:p>
            <w:pPr>
              <w:spacing w:after="0"/>
              <w:rPr>
                <w:sz w:val="20"/>
                <w:szCs w:val="20"/>
                <w:color w:val="auto"/>
              </w:rPr>
            </w:pPr>
            <w:r>
              <w:rPr>
                <w:rFonts w:ascii="Arial" w:cs="Arial" w:eastAsia="Arial" w:hAnsi="Arial"/>
                <w:sz w:val="16"/>
                <w:szCs w:val="16"/>
                <w:color w:val="auto"/>
              </w:rPr>
              <w:t>Other minors</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63,307</w:t>
            </w:r>
          </w:p>
        </w:tc>
        <w:tc>
          <w:tcPr>
            <w:tcW w:w="1560" w:type="dxa"/>
            <w:vAlign w:val="bottom"/>
            <w:gridSpan w:val="3"/>
          </w:tcPr>
          <w:p>
            <w:pPr>
              <w:jc w:val="right"/>
              <w:ind w:right="220"/>
              <w:spacing w:after="0"/>
              <w:rPr>
                <w:sz w:val="20"/>
                <w:szCs w:val="20"/>
                <w:color w:val="auto"/>
              </w:rPr>
            </w:pPr>
            <w:r>
              <w:rPr>
                <w:rFonts w:ascii="Arial" w:cs="Arial" w:eastAsia="Arial" w:hAnsi="Arial"/>
                <w:sz w:val="16"/>
                <w:szCs w:val="16"/>
                <w:color w:val="auto"/>
              </w:rPr>
              <w:t>53,946</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117,253</w:t>
            </w:r>
          </w:p>
        </w:tc>
      </w:tr>
      <w:tr>
        <w:trPr>
          <w:trHeight w:val="201"/>
        </w:trPr>
        <w:tc>
          <w:tcPr>
            <w:tcW w:w="676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14,684,153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293,240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14,977,393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tbl>
      <w:tblPr>
        <w:tblLayout w:type="fixed"/>
        <w:tblInd w:w="302"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1"/>
              </w:rPr>
              <w:t>Number of shares</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3"/>
        </w:trPr>
        <w:tc>
          <w:tcPr>
            <w:tcW w:w="6760" w:type="dxa"/>
            <w:vAlign w:val="bottom"/>
          </w:tcPr>
          <w:p>
            <w:pPr>
              <w:spacing w:after="0"/>
              <w:rPr>
                <w:sz w:val="15"/>
                <w:szCs w:val="15"/>
                <w:color w:val="auto"/>
              </w:rPr>
            </w:pPr>
          </w:p>
        </w:tc>
        <w:tc>
          <w:tcPr>
            <w:tcW w:w="1300" w:type="dxa"/>
            <w:vAlign w:val="bottom"/>
            <w:gridSpan w:val="2"/>
          </w:tcPr>
          <w:p>
            <w:pPr>
              <w:jc w:val="right"/>
              <w:ind w:right="400"/>
              <w:spacing w:after="0" w:line="173" w:lineRule="exact"/>
              <w:rPr>
                <w:sz w:val="20"/>
                <w:szCs w:val="20"/>
                <w:color w:val="auto"/>
              </w:rPr>
            </w:pPr>
            <w:r>
              <w:rPr>
                <w:rFonts w:ascii="Arial" w:cs="Arial" w:eastAsia="Arial" w:hAnsi="Arial"/>
                <w:sz w:val="16"/>
                <w:szCs w:val="16"/>
                <w:b w:val="1"/>
                <w:bCs w:val="1"/>
                <w:color w:val="auto"/>
              </w:rPr>
              <w:t>Shares of</w:t>
            </w:r>
          </w:p>
        </w:tc>
        <w:tc>
          <w:tcPr>
            <w:tcW w:w="120" w:type="dxa"/>
            <w:vAlign w:val="bottom"/>
          </w:tcPr>
          <w:p>
            <w:pPr>
              <w:spacing w:after="0"/>
              <w:rPr>
                <w:sz w:val="15"/>
                <w:szCs w:val="15"/>
                <w:color w:val="auto"/>
              </w:rPr>
            </w:pPr>
          </w:p>
        </w:tc>
        <w:tc>
          <w:tcPr>
            <w:tcW w:w="1440" w:type="dxa"/>
            <w:vAlign w:val="bottom"/>
            <w:gridSpan w:val="2"/>
          </w:tcPr>
          <w:p>
            <w:pPr>
              <w:jc w:val="center"/>
              <w:ind w:right="220"/>
              <w:spacing w:after="0" w:line="173" w:lineRule="exact"/>
              <w:rPr>
                <w:sz w:val="20"/>
                <w:szCs w:val="20"/>
                <w:color w:val="auto"/>
              </w:rPr>
            </w:pPr>
            <w:r>
              <w:rPr>
                <w:rFonts w:ascii="Arial" w:cs="Arial" w:eastAsia="Arial" w:hAnsi="Arial"/>
                <w:sz w:val="16"/>
                <w:szCs w:val="16"/>
                <w:b w:val="1"/>
                <w:bCs w:val="1"/>
                <w:color w:val="auto"/>
                <w:w w:val="88"/>
              </w:rPr>
              <w:t>Shared-based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2"/>
        </w:trPr>
        <w:tc>
          <w:tcPr>
            <w:tcW w:w="6760" w:type="dxa"/>
            <w:vAlign w:val="bottom"/>
          </w:tcPr>
          <w:p>
            <w:pPr>
              <w:spacing w:after="0"/>
              <w:rPr>
                <w:sz w:val="20"/>
                <w:szCs w:val="20"/>
                <w:color w:val="auto"/>
              </w:rPr>
            </w:pPr>
            <w:r>
              <w:rPr>
                <w:rFonts w:ascii="Arial" w:cs="Arial" w:eastAsia="Arial" w:hAnsi="Arial"/>
                <w:sz w:val="16"/>
                <w:szCs w:val="16"/>
                <w:b w:val="1"/>
                <w:bCs w:val="1"/>
                <w:color w:val="auto"/>
              </w:rPr>
              <w:t>As of March 31, 2019</w:t>
            </w:r>
          </w:p>
        </w:tc>
        <w:tc>
          <w:tcPr>
            <w:tcW w:w="13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the Group</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payment (*)</w:t>
            </w:r>
          </w:p>
        </w:tc>
        <w:tc>
          <w:tcPr>
            <w:tcW w:w="12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r>
      <w:tr>
        <w:trPr>
          <w:trHeight w:val="19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Atlantic Security Holding Corporation</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14,620,846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14,620,846</w:t>
            </w:r>
          </w:p>
        </w:tc>
        <w:tc>
          <w:tcPr>
            <w:tcW w:w="100" w:type="dxa"/>
            <w:vAlign w:val="bottom"/>
            <w:tcBorders>
              <w:top w:val="single" w:sz="8" w:color="CCEEFF"/>
            </w:tcBorders>
            <w:shd w:val="clear" w:color="auto" w:fill="CCEEFF"/>
          </w:tcPr>
          <w:p>
            <w:pPr>
              <w:spacing w:after="0"/>
              <w:rPr>
                <w:sz w:val="16"/>
                <w:szCs w:val="16"/>
                <w:color w:val="auto"/>
              </w:rPr>
            </w:pPr>
          </w:p>
        </w:tc>
      </w:tr>
      <w:tr>
        <w:trPr>
          <w:trHeight w:val="197"/>
        </w:trPr>
        <w:tc>
          <w:tcPr>
            <w:tcW w:w="6760" w:type="dxa"/>
            <w:vAlign w:val="bottom"/>
          </w:tcPr>
          <w:p>
            <w:pPr>
              <w:spacing w:after="0"/>
              <w:rPr>
                <w:sz w:val="20"/>
                <w:szCs w:val="20"/>
                <w:color w:val="auto"/>
              </w:rPr>
            </w:pPr>
            <w:r>
              <w:rPr>
                <w:rFonts w:ascii="Arial" w:cs="Arial" w:eastAsia="Arial" w:hAnsi="Arial"/>
                <w:sz w:val="16"/>
                <w:szCs w:val="16"/>
                <w:color w:val="auto"/>
              </w:rPr>
              <w:t>BCP</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gridSpan w:val="3"/>
          </w:tcPr>
          <w:p>
            <w:pPr>
              <w:jc w:val="right"/>
              <w:ind w:right="240"/>
              <w:spacing w:after="0"/>
              <w:rPr>
                <w:sz w:val="20"/>
                <w:szCs w:val="20"/>
                <w:color w:val="auto"/>
              </w:rPr>
            </w:pPr>
            <w:r>
              <w:rPr>
                <w:rFonts w:ascii="Arial" w:cs="Arial" w:eastAsia="Arial" w:hAnsi="Arial"/>
                <w:sz w:val="16"/>
                <w:szCs w:val="16"/>
                <w:color w:val="auto"/>
              </w:rPr>
              <w:t>134,041</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134,041</w:t>
            </w:r>
          </w:p>
        </w:tc>
      </w:tr>
      <w:tr>
        <w:trPr>
          <w:trHeight w:val="197"/>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Pacífico Seguros</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29,539</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29,539</w:t>
            </w:r>
          </w:p>
        </w:tc>
      </w:tr>
      <w:tr>
        <w:trPr>
          <w:trHeight w:val="197"/>
        </w:trPr>
        <w:tc>
          <w:tcPr>
            <w:tcW w:w="6760" w:type="dxa"/>
            <w:vAlign w:val="bottom"/>
          </w:tcPr>
          <w:p>
            <w:pPr>
              <w:spacing w:after="0"/>
              <w:rPr>
                <w:sz w:val="20"/>
                <w:szCs w:val="20"/>
                <w:color w:val="auto"/>
              </w:rPr>
            </w:pPr>
            <w:r>
              <w:rPr>
                <w:rFonts w:ascii="Arial" w:cs="Arial" w:eastAsia="Arial" w:hAnsi="Arial"/>
                <w:sz w:val="16"/>
                <w:szCs w:val="16"/>
                <w:color w:val="auto"/>
              </w:rPr>
              <w:t>Credicorp Perú</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6"/>
                <w:szCs w:val="16"/>
                <w:color w:val="auto"/>
              </w:rPr>
              <w:t>21,695</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21,695</w:t>
            </w:r>
          </w:p>
        </w:tc>
      </w:tr>
      <w:tr>
        <w:trPr>
          <w:trHeight w:val="197"/>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Credicorp Capital Servicios Financieros</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12,667</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12,667</w:t>
            </w:r>
          </w:p>
        </w:tc>
      </w:tr>
      <w:tr>
        <w:trPr>
          <w:trHeight w:val="208"/>
        </w:trPr>
        <w:tc>
          <w:tcPr>
            <w:tcW w:w="6760" w:type="dxa"/>
            <w:vAlign w:val="bottom"/>
          </w:tcPr>
          <w:p>
            <w:pPr>
              <w:spacing w:after="0"/>
              <w:rPr>
                <w:sz w:val="20"/>
                <w:szCs w:val="20"/>
                <w:color w:val="auto"/>
              </w:rPr>
            </w:pPr>
            <w:r>
              <w:rPr>
                <w:rFonts w:ascii="Arial" w:cs="Arial" w:eastAsia="Arial" w:hAnsi="Arial"/>
                <w:sz w:val="16"/>
                <w:szCs w:val="16"/>
                <w:color w:val="auto"/>
              </w:rPr>
              <w:t>Other minors</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12,202</w:t>
            </w:r>
          </w:p>
        </w:tc>
        <w:tc>
          <w:tcPr>
            <w:tcW w:w="1560" w:type="dxa"/>
            <w:vAlign w:val="bottom"/>
            <w:gridSpan w:val="3"/>
          </w:tcPr>
          <w:p>
            <w:pPr>
              <w:jc w:val="right"/>
              <w:ind w:right="220"/>
              <w:spacing w:after="0"/>
              <w:rPr>
                <w:sz w:val="20"/>
                <w:szCs w:val="20"/>
                <w:color w:val="auto"/>
              </w:rPr>
            </w:pPr>
            <w:r>
              <w:rPr>
                <w:rFonts w:ascii="Arial" w:cs="Arial" w:eastAsia="Arial" w:hAnsi="Arial"/>
                <w:sz w:val="16"/>
                <w:szCs w:val="16"/>
                <w:color w:val="auto"/>
              </w:rPr>
              <w:t>45,354</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57,556</w:t>
            </w:r>
          </w:p>
        </w:tc>
      </w:tr>
      <w:tr>
        <w:trPr>
          <w:trHeight w:val="201"/>
        </w:trPr>
        <w:tc>
          <w:tcPr>
            <w:tcW w:w="676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14,633,048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243,296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14,876,344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582" w:hanging="287"/>
        <w:spacing w:after="0" w:line="287" w:lineRule="auto"/>
        <w:tabs>
          <w:tab w:leader="none" w:pos="582"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Corresponds to treasury stock that were granted to employees and senior management, for which they have the right to vote; also, these stocks are not vested at said dates. See more detail in Note 20.</w:t>
      </w:r>
    </w:p>
    <w:p>
      <w:pPr>
        <w:spacing w:after="0" w:line="150" w:lineRule="exact"/>
        <w:rPr>
          <w:sz w:val="20"/>
          <w:szCs w:val="20"/>
          <w:color w:val="auto"/>
        </w:rPr>
      </w:pPr>
    </w:p>
    <w:p>
      <w:pPr>
        <w:ind w:left="302" w:right="520"/>
        <w:spacing w:after="0" w:line="287" w:lineRule="auto"/>
        <w:rPr>
          <w:sz w:val="20"/>
          <w:szCs w:val="20"/>
          <w:color w:val="auto"/>
        </w:rPr>
      </w:pPr>
      <w:r>
        <w:rPr>
          <w:rFonts w:ascii="Arial" w:cs="Arial" w:eastAsia="Arial" w:hAnsi="Arial"/>
          <w:sz w:val="16"/>
          <w:szCs w:val="16"/>
          <w:color w:val="auto"/>
        </w:rPr>
        <w:t>During the three-month period ended March 31, 2020 and 2019, the Group purchased 240,151 and 129,807 shares of Credicorp Ltd., respectively, for a total of US$44.4 million (equivalent to S/151.9 million) and US$31.0 million (equivalent to S/103.2 million), respectively.</w:t>
      </w:r>
    </w:p>
    <w:p>
      <w:pPr>
        <w:spacing w:after="0" w:line="34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36" w:right="339" w:bottom="1440" w:gutter="0" w:footer="0" w:header="0"/>
        </w:sectPr>
      </w:pPr>
    </w:p>
    <w:bookmarkStart w:id="60" w:name="page61"/>
    <w:bookmarkEnd w:id="60"/>
    <w:p>
      <w:pPr>
        <w:ind w:left="231" w:hanging="231"/>
        <w:spacing w:after="0"/>
        <w:tabs>
          <w:tab w:leader="none" w:pos="231"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Reserves -</w:t>
      </w:r>
    </w:p>
    <w:p>
      <w:pPr>
        <w:spacing w:after="0" w:line="209" w:lineRule="exact"/>
        <w:rPr>
          <w:rFonts w:ascii="Arial" w:cs="Arial" w:eastAsia="Arial" w:hAnsi="Arial"/>
          <w:sz w:val="16"/>
          <w:szCs w:val="16"/>
          <w:color w:val="auto"/>
        </w:rPr>
      </w:pPr>
    </w:p>
    <w:p>
      <w:pPr>
        <w:jc w:val="both"/>
        <w:ind w:left="231" w:right="20"/>
        <w:spacing w:after="0" w:line="271" w:lineRule="auto"/>
        <w:rPr>
          <w:rFonts w:ascii="Arial" w:cs="Arial" w:eastAsia="Arial" w:hAnsi="Arial"/>
          <w:sz w:val="16"/>
          <w:szCs w:val="16"/>
          <w:color w:val="auto"/>
        </w:rPr>
      </w:pPr>
      <w:r>
        <w:rPr>
          <w:rFonts w:ascii="Arial" w:cs="Arial" w:eastAsia="Arial" w:hAnsi="Arial"/>
          <w:sz w:val="16"/>
          <w:szCs w:val="16"/>
          <w:color w:val="auto"/>
        </w:rPr>
        <w:t>Certain Group’s subsidiaries are required to keep a reserve that equals a percentage of paid-in capital (20, 30 or 50 percent, depending on its activities and the country in which production takes place); this reserve must be constituted with annual transfers of not less than 10 percent of net profits. As of March 31, 2020 and December 31, 2019, the balance of this reserves amounts approximately to S/6,248.0 million, S/6,236.5 million, respectively.</w:t>
      </w:r>
    </w:p>
    <w:p>
      <w:pPr>
        <w:spacing w:after="0" w:line="162" w:lineRule="exact"/>
        <w:rPr>
          <w:rFonts w:ascii="Arial" w:cs="Arial" w:eastAsia="Arial" w:hAnsi="Arial"/>
          <w:sz w:val="16"/>
          <w:szCs w:val="16"/>
          <w:color w:val="auto"/>
        </w:rPr>
      </w:pPr>
    </w:p>
    <w:p>
      <w:pPr>
        <w:ind w:left="231"/>
        <w:spacing w:after="0" w:line="287" w:lineRule="auto"/>
        <w:rPr>
          <w:rFonts w:ascii="Arial" w:cs="Arial" w:eastAsia="Arial" w:hAnsi="Arial"/>
          <w:sz w:val="16"/>
          <w:szCs w:val="16"/>
          <w:color w:val="auto"/>
        </w:rPr>
      </w:pPr>
      <w:r>
        <w:rPr>
          <w:rFonts w:ascii="Arial" w:cs="Arial" w:eastAsia="Arial" w:hAnsi="Arial"/>
          <w:sz w:val="16"/>
          <w:szCs w:val="16"/>
          <w:color w:val="auto"/>
        </w:rPr>
        <w:t>At the Board meetings held on February 27, 2020 and February 27, 2019, the decision was made to transfer from “Retained earnings” to “Reserves” S/1,977.1 million and S/1,858.8 million, respectively.</w:t>
      </w:r>
    </w:p>
    <w:p>
      <w:pPr>
        <w:spacing w:after="0" w:line="149" w:lineRule="exact"/>
        <w:rPr>
          <w:rFonts w:ascii="Arial" w:cs="Arial" w:eastAsia="Arial" w:hAnsi="Arial"/>
          <w:sz w:val="16"/>
          <w:szCs w:val="16"/>
          <w:color w:val="auto"/>
        </w:rPr>
      </w:pPr>
    </w:p>
    <w:p>
      <w:pPr>
        <w:ind w:left="231" w:hanging="231"/>
        <w:spacing w:after="0"/>
        <w:tabs>
          <w:tab w:leader="none" w:pos="231" w:val="left"/>
        </w:tabs>
        <w:numPr>
          <w:ilvl w:val="0"/>
          <w:numId w:val="59"/>
        </w:numPr>
        <w:rPr>
          <w:rFonts w:ascii="Arial" w:cs="Arial" w:eastAsia="Arial" w:hAnsi="Arial"/>
          <w:sz w:val="16"/>
          <w:szCs w:val="16"/>
          <w:color w:val="auto"/>
        </w:rPr>
      </w:pPr>
      <w:r>
        <w:rPr>
          <w:rFonts w:ascii="Arial" w:cs="Arial" w:eastAsia="Arial" w:hAnsi="Arial"/>
          <w:sz w:val="16"/>
          <w:szCs w:val="16"/>
          <w:color w:val="auto"/>
        </w:rPr>
        <w:t>Dividend distribution –</w:t>
      </w:r>
    </w:p>
    <w:p>
      <w:pPr>
        <w:spacing w:after="0" w:line="209" w:lineRule="exact"/>
        <w:rPr>
          <w:rFonts w:ascii="Arial" w:cs="Arial" w:eastAsia="Arial" w:hAnsi="Arial"/>
          <w:sz w:val="16"/>
          <w:szCs w:val="16"/>
          <w:color w:val="auto"/>
        </w:rPr>
      </w:pPr>
    </w:p>
    <w:p>
      <w:pPr>
        <w:ind w:left="231"/>
        <w:spacing w:after="0"/>
        <w:rPr>
          <w:rFonts w:ascii="Arial" w:cs="Arial" w:eastAsia="Arial" w:hAnsi="Arial"/>
          <w:sz w:val="16"/>
          <w:szCs w:val="16"/>
          <w:color w:val="auto"/>
        </w:rPr>
      </w:pPr>
      <w:r>
        <w:rPr>
          <w:rFonts w:ascii="Arial" w:cs="Arial" w:eastAsia="Arial" w:hAnsi="Arial"/>
          <w:sz w:val="16"/>
          <w:szCs w:val="16"/>
          <w:color w:val="auto"/>
        </w:rPr>
        <w:t>The chart below shows the distribution of dividends agreed by the Board of Directors:</w:t>
      </w:r>
    </w:p>
    <w:p>
      <w:pPr>
        <w:spacing w:after="0" w:line="205" w:lineRule="exact"/>
        <w:rPr>
          <w:sz w:val="20"/>
          <w:szCs w:val="20"/>
          <w:color w:val="auto"/>
        </w:rPr>
      </w:pPr>
    </w:p>
    <w:tbl>
      <w:tblPr>
        <w:tblLayout w:type="fixed"/>
        <w:tblInd w:w="251" w:type="dxa"/>
        <w:tblCellMar>
          <w:top w:w="0" w:type="dxa"/>
          <w:left w:w="0" w:type="dxa"/>
          <w:bottom w:w="0" w:type="dxa"/>
          <w:right w:w="0" w:type="dxa"/>
        </w:tblCellMar>
      </w:tblPr>
      <w:tr>
        <w:trPr>
          <w:trHeight w:val="197"/>
        </w:trPr>
        <w:tc>
          <w:tcPr>
            <w:tcW w:w="7840" w:type="dxa"/>
            <w:vAlign w:val="bottom"/>
          </w:tcPr>
          <w:p>
            <w:pPr>
              <w:spacing w:after="0"/>
              <w:rPr>
                <w:sz w:val="17"/>
                <w:szCs w:val="17"/>
                <w:color w:val="auto"/>
              </w:rPr>
            </w:pPr>
          </w:p>
        </w:tc>
        <w:tc>
          <w:tcPr>
            <w:tcW w:w="2840" w:type="dxa"/>
            <w:vAlign w:val="bottom"/>
            <w:gridSpan w:val="4"/>
          </w:tcPr>
          <w:p>
            <w:pPr>
              <w:ind w:left="20"/>
              <w:spacing w:after="0"/>
              <w:rPr>
                <w:sz w:val="20"/>
                <w:szCs w:val="20"/>
                <w:color w:val="auto"/>
              </w:rPr>
            </w:pPr>
            <w:r>
              <w:rPr>
                <w:rFonts w:ascii="Arial" w:cs="Arial" w:eastAsia="Arial" w:hAnsi="Arial"/>
                <w:sz w:val="16"/>
                <w:szCs w:val="16"/>
                <w:b w:val="1"/>
                <w:bCs w:val="1"/>
                <w:color w:val="auto"/>
                <w:w w:val="99"/>
              </w:rPr>
              <w:t>As of March 31,   As of December 31,</w:t>
            </w:r>
          </w:p>
        </w:tc>
      </w:tr>
      <w:tr>
        <w:trPr>
          <w:trHeight w:val="212"/>
        </w:trPr>
        <w:tc>
          <w:tcPr>
            <w:tcW w:w="78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r>
      <w:tr>
        <w:trPr>
          <w:trHeight w:val="190"/>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Date of Meeting - Board of Directors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27.02.2020</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27.02.2019</w:t>
            </w:r>
          </w:p>
        </w:tc>
        <w:tc>
          <w:tcPr>
            <w:tcW w:w="100" w:type="dxa"/>
            <w:vAlign w:val="bottom"/>
            <w:shd w:val="clear" w:color="auto" w:fill="CCEEFF"/>
          </w:tcPr>
          <w:p>
            <w:pPr>
              <w:spacing w:after="0"/>
              <w:rPr>
                <w:sz w:val="16"/>
                <w:szCs w:val="16"/>
                <w:color w:val="auto"/>
              </w:rPr>
            </w:pPr>
          </w:p>
        </w:tc>
      </w:tr>
      <w:tr>
        <w:trPr>
          <w:trHeight w:val="197"/>
        </w:trPr>
        <w:tc>
          <w:tcPr>
            <w:tcW w:w="7840" w:type="dxa"/>
            <w:vAlign w:val="bottom"/>
          </w:tcPr>
          <w:p>
            <w:pPr>
              <w:spacing w:after="0"/>
              <w:rPr>
                <w:sz w:val="20"/>
                <w:szCs w:val="20"/>
                <w:color w:val="auto"/>
              </w:rPr>
            </w:pPr>
            <w:r>
              <w:rPr>
                <w:rFonts w:ascii="Arial" w:cs="Arial" w:eastAsia="Arial" w:hAnsi="Arial"/>
                <w:sz w:val="16"/>
                <w:szCs w:val="16"/>
                <w:color w:val="auto"/>
              </w:rPr>
              <w:t>Dividends distribution, net of treasury shares effect (in thousands of soles)</w:t>
            </w:r>
          </w:p>
        </w:tc>
        <w:tc>
          <w:tcPr>
            <w:tcW w:w="1160" w:type="dxa"/>
            <w:vAlign w:val="bottom"/>
          </w:tcPr>
          <w:p>
            <w:pPr>
              <w:jc w:val="right"/>
              <w:spacing w:after="0"/>
              <w:rPr>
                <w:sz w:val="20"/>
                <w:szCs w:val="20"/>
                <w:color w:val="auto"/>
              </w:rPr>
            </w:pPr>
            <w:r>
              <w:rPr>
                <w:rFonts w:ascii="Arial" w:cs="Arial" w:eastAsia="Arial" w:hAnsi="Arial"/>
                <w:sz w:val="16"/>
                <w:szCs w:val="16"/>
                <w:color w:val="auto"/>
              </w:rPr>
              <w:t>2,392,844</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1,595,229</w:t>
            </w:r>
          </w:p>
        </w:tc>
        <w:tc>
          <w:tcPr>
            <w:tcW w:w="100" w:type="dxa"/>
            <w:vAlign w:val="bottom"/>
          </w:tcPr>
          <w:p>
            <w:pPr>
              <w:spacing w:after="0"/>
              <w:rPr>
                <w:sz w:val="17"/>
                <w:szCs w:val="17"/>
                <w:color w:val="auto"/>
              </w:rPr>
            </w:pPr>
          </w:p>
        </w:tc>
      </w:tr>
      <w:tr>
        <w:trPr>
          <w:trHeight w:val="197"/>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Payment of dividends per share (in soles)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17"/>
                <w:szCs w:val="17"/>
                <w:color w:val="auto"/>
              </w:rPr>
            </w:pPr>
          </w:p>
        </w:tc>
      </w:tr>
      <w:tr>
        <w:trPr>
          <w:trHeight w:val="197"/>
        </w:trPr>
        <w:tc>
          <w:tcPr>
            <w:tcW w:w="7840" w:type="dxa"/>
            <w:vAlign w:val="bottom"/>
          </w:tcPr>
          <w:p>
            <w:pPr>
              <w:spacing w:after="0"/>
              <w:rPr>
                <w:sz w:val="20"/>
                <w:szCs w:val="20"/>
                <w:color w:val="auto"/>
              </w:rPr>
            </w:pPr>
            <w:r>
              <w:rPr>
                <w:rFonts w:ascii="Arial" w:cs="Arial" w:eastAsia="Arial" w:hAnsi="Arial"/>
                <w:sz w:val="16"/>
                <w:szCs w:val="16"/>
                <w:color w:val="auto"/>
              </w:rPr>
              <w:t>Date of dividends payout</w:t>
            </w:r>
          </w:p>
        </w:tc>
        <w:tc>
          <w:tcPr>
            <w:tcW w:w="1160" w:type="dxa"/>
            <w:vAlign w:val="bottom"/>
          </w:tcPr>
          <w:p>
            <w:pPr>
              <w:jc w:val="right"/>
              <w:spacing w:after="0"/>
              <w:rPr>
                <w:sz w:val="20"/>
                <w:szCs w:val="20"/>
                <w:color w:val="auto"/>
              </w:rPr>
            </w:pPr>
            <w:r>
              <w:rPr>
                <w:rFonts w:ascii="Arial" w:cs="Arial" w:eastAsia="Arial" w:hAnsi="Arial"/>
                <w:sz w:val="16"/>
                <w:szCs w:val="16"/>
                <w:color w:val="auto"/>
              </w:rPr>
              <w:t>08.05.2020</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10.05.2019</w:t>
            </w:r>
          </w:p>
        </w:tc>
        <w:tc>
          <w:tcPr>
            <w:tcW w:w="100" w:type="dxa"/>
            <w:vAlign w:val="bottom"/>
          </w:tcPr>
          <w:p>
            <w:pPr>
              <w:spacing w:after="0"/>
              <w:rPr>
                <w:sz w:val="17"/>
                <w:szCs w:val="17"/>
                <w:color w:val="auto"/>
              </w:rPr>
            </w:pPr>
          </w:p>
        </w:tc>
      </w:tr>
      <w:tr>
        <w:trPr>
          <w:trHeight w:val="197"/>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Exchange rate published by the SBS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3.4081</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3.3150</w:t>
            </w:r>
          </w:p>
        </w:tc>
        <w:tc>
          <w:tcPr>
            <w:tcW w:w="100" w:type="dxa"/>
            <w:vAlign w:val="bottom"/>
            <w:shd w:val="clear" w:color="auto" w:fill="CCEEFF"/>
          </w:tcPr>
          <w:p>
            <w:pPr>
              <w:spacing w:after="0"/>
              <w:rPr>
                <w:sz w:val="17"/>
                <w:szCs w:val="17"/>
                <w:color w:val="auto"/>
              </w:rPr>
            </w:pPr>
          </w:p>
        </w:tc>
      </w:tr>
      <w:tr>
        <w:trPr>
          <w:trHeight w:val="208"/>
        </w:trPr>
        <w:tc>
          <w:tcPr>
            <w:tcW w:w="7840" w:type="dxa"/>
            <w:vAlign w:val="bottom"/>
          </w:tcPr>
          <w:p>
            <w:pPr>
              <w:spacing w:after="0"/>
              <w:rPr>
                <w:sz w:val="20"/>
                <w:szCs w:val="20"/>
                <w:color w:val="auto"/>
              </w:rPr>
            </w:pPr>
            <w:r>
              <w:rPr>
                <w:rFonts w:ascii="Arial" w:cs="Arial" w:eastAsia="Arial" w:hAnsi="Arial"/>
                <w:sz w:val="16"/>
                <w:szCs w:val="16"/>
                <w:color w:val="auto"/>
              </w:rPr>
              <w:t>Dividends payout (equivalent in thousands of US$)</w:t>
            </w:r>
          </w:p>
        </w:tc>
        <w:tc>
          <w:tcPr>
            <w:tcW w:w="1160" w:type="dxa"/>
            <w:vAlign w:val="bottom"/>
          </w:tcPr>
          <w:p>
            <w:pPr>
              <w:jc w:val="right"/>
              <w:spacing w:after="0"/>
              <w:rPr>
                <w:sz w:val="20"/>
                <w:szCs w:val="20"/>
                <w:color w:val="auto"/>
              </w:rPr>
            </w:pPr>
            <w:r>
              <w:rPr>
                <w:rFonts w:ascii="Arial" w:cs="Arial" w:eastAsia="Arial" w:hAnsi="Arial"/>
                <w:sz w:val="16"/>
                <w:szCs w:val="16"/>
                <w:color w:val="auto"/>
              </w:rPr>
              <w:t>702,105</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481,215</w:t>
            </w:r>
          </w:p>
        </w:tc>
        <w:tc>
          <w:tcPr>
            <w:tcW w:w="100" w:type="dxa"/>
            <w:vAlign w:val="bottom"/>
          </w:tcPr>
          <w:p>
            <w:pPr>
              <w:spacing w:after="0"/>
              <w:rPr>
                <w:sz w:val="18"/>
                <w:szCs w:val="18"/>
                <w:color w:val="auto"/>
              </w:rPr>
            </w:pPr>
          </w:p>
        </w:tc>
      </w:tr>
    </w:tbl>
    <w:p>
      <w:pPr>
        <w:spacing w:after="0" w:line="173" w:lineRule="exact"/>
        <w:rPr>
          <w:sz w:val="20"/>
          <w:szCs w:val="20"/>
          <w:color w:val="auto"/>
        </w:rPr>
      </w:pPr>
    </w:p>
    <w:p>
      <w:pPr>
        <w:ind w:left="231" w:right="400"/>
        <w:spacing w:after="0" w:line="287" w:lineRule="auto"/>
        <w:rPr>
          <w:sz w:val="20"/>
          <w:szCs w:val="20"/>
          <w:color w:val="auto"/>
        </w:rPr>
      </w:pPr>
      <w:r>
        <w:rPr>
          <w:rFonts w:ascii="Arial" w:cs="Arial" w:eastAsia="Arial" w:hAnsi="Arial"/>
          <w:sz w:val="16"/>
          <w:szCs w:val="16"/>
          <w:color w:val="auto"/>
        </w:rPr>
        <w:t>In the Board of Directors held in September 25, 2019, they agreed an additional dividend payment, net of the effect of treasury stock, for approximately S/638.4 million from the retain earnings and reserves. Said dividends have been paid in November 22, 2019.</w:t>
      </w:r>
    </w:p>
    <w:p>
      <w:pPr>
        <w:spacing w:after="0" w:line="150" w:lineRule="exact"/>
        <w:rPr>
          <w:sz w:val="20"/>
          <w:szCs w:val="20"/>
          <w:color w:val="auto"/>
        </w:rPr>
      </w:pPr>
    </w:p>
    <w:p>
      <w:pPr>
        <w:ind w:left="231" w:right="80"/>
        <w:spacing w:after="0" w:line="287" w:lineRule="auto"/>
        <w:rPr>
          <w:sz w:val="20"/>
          <w:szCs w:val="20"/>
          <w:color w:val="auto"/>
        </w:rPr>
      </w:pPr>
      <w:r>
        <w:rPr>
          <w:rFonts w:ascii="Arial" w:cs="Arial" w:eastAsia="Arial" w:hAnsi="Arial"/>
          <w:sz w:val="16"/>
          <w:szCs w:val="16"/>
          <w:color w:val="auto"/>
        </w:rPr>
        <w:t>In accordance with current Peruvian legislation, there is no restriction for overseas remittance of dividends or the repatriation of foreign investment. As of March 31, 2020 and December 31, 2019, dividends paid by the Peruvian subsidiaries to Credicorp are subject to a 5.0 percent withholding tax.</w:t>
      </w:r>
    </w:p>
    <w:p>
      <w:pPr>
        <w:spacing w:after="0" w:line="150" w:lineRule="exact"/>
        <w:rPr>
          <w:sz w:val="20"/>
          <w:szCs w:val="20"/>
          <w:color w:val="auto"/>
        </w:rPr>
      </w:pPr>
    </w:p>
    <w:p>
      <w:pPr>
        <w:ind w:left="231" w:hanging="231"/>
        <w:spacing w:after="0"/>
        <w:tabs>
          <w:tab w:leader="none" w:pos="231"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Regulatory capital -</w:t>
      </w:r>
    </w:p>
    <w:p>
      <w:pPr>
        <w:spacing w:after="0" w:line="209" w:lineRule="exact"/>
        <w:rPr>
          <w:rFonts w:ascii="Arial" w:cs="Arial" w:eastAsia="Arial" w:hAnsi="Arial"/>
          <w:sz w:val="16"/>
          <w:szCs w:val="16"/>
          <w:color w:val="auto"/>
        </w:rPr>
      </w:pPr>
    </w:p>
    <w:p>
      <w:pPr>
        <w:ind w:left="231" w:right="100"/>
        <w:spacing w:after="0" w:line="266" w:lineRule="auto"/>
        <w:rPr>
          <w:rFonts w:ascii="Arial" w:cs="Arial" w:eastAsia="Arial" w:hAnsi="Arial"/>
          <w:sz w:val="16"/>
          <w:szCs w:val="16"/>
          <w:color w:val="auto"/>
        </w:rPr>
      </w:pPr>
      <w:r>
        <w:rPr>
          <w:rFonts w:ascii="Arial" w:cs="Arial" w:eastAsia="Arial" w:hAnsi="Arial"/>
          <w:sz w:val="16"/>
          <w:szCs w:val="16"/>
          <w:color w:val="auto"/>
        </w:rPr>
        <w:t>As of March 31, 2020 and December 31, 2019, the regulatory capital requirement (“patrimonio efectivo” in Peru) applicable to Credicorp subsidiaries engaged in financial services and insurance activities in Peru, determined under the provisions of the Peruvian banking and insurance regulator, SBS, totals approximately S/27,868.3 million and S/25,732 million, respectively. At those dates, the Group’s regulatory requirement exceeds by approximately S/7,202.4 million and S/4,151.6 million, respectively, the minimum regulatory capital required by the SBS</w:t>
      </w:r>
    </w:p>
    <w:p>
      <w:pPr>
        <w:spacing w:after="0" w:line="363" w:lineRule="exact"/>
        <w:rPr>
          <w:rFonts w:ascii="Arial" w:cs="Arial" w:eastAsia="Arial" w:hAnsi="Arial"/>
          <w:sz w:val="16"/>
          <w:szCs w:val="16"/>
          <w:color w:val="auto"/>
        </w:rPr>
      </w:pPr>
    </w:p>
    <w:p>
      <w:pPr>
        <w:ind w:left="5431" w:hanging="93"/>
        <w:spacing w:after="0"/>
        <w:tabs>
          <w:tab w:leader="none" w:pos="5431" w:val="left"/>
        </w:tabs>
        <w:numPr>
          <w:ilvl w:val="1"/>
          <w:numId w:val="60"/>
        </w:numPr>
        <w:rPr>
          <w:rFonts w:ascii="Arial" w:cs="Arial" w:eastAsia="Arial" w:hAnsi="Arial"/>
          <w:sz w:val="16"/>
          <w:szCs w:val="16"/>
          <w:color w:val="auto"/>
        </w:rPr>
      </w:pPr>
      <w:r>
        <w:rPr>
          <w:rFonts w:ascii="Arial" w:cs="Arial" w:eastAsia="Arial" w:hAnsi="Arial"/>
          <w:sz w:val="16"/>
          <w:szCs w:val="16"/>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15875</wp:posOffset>
            </wp:positionV>
            <wp:extent cx="714438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131"/>
          </w:cols>
          <w:pgMar w:left="429" w:top="839" w:right="339" w:bottom="1440" w:gutter="0" w:footer="0" w:header="0"/>
        </w:sectPr>
      </w:pPr>
    </w:p>
    <w:bookmarkStart w:id="61" w:name="page62"/>
    <w:bookmarkEnd w:id="61"/>
    <w:p>
      <w:pPr>
        <w:ind w:left="302" w:hanging="302"/>
        <w:spacing w:after="0"/>
        <w:tabs>
          <w:tab w:leader="none" w:pos="302"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TAX SITUATION</w:t>
      </w:r>
    </w:p>
    <w:p>
      <w:pPr>
        <w:spacing w:after="0" w:line="213" w:lineRule="exact"/>
        <w:rPr>
          <w:rFonts w:ascii="Arial" w:cs="Arial" w:eastAsia="Arial" w:hAnsi="Arial"/>
          <w:sz w:val="16"/>
          <w:szCs w:val="16"/>
          <w:b w:val="1"/>
          <w:bCs w:val="1"/>
          <w:color w:val="auto"/>
        </w:rPr>
      </w:pPr>
    </w:p>
    <w:p>
      <w:pPr>
        <w:ind w:left="342" w:right="100" w:hanging="231"/>
        <w:spacing w:after="0" w:line="287" w:lineRule="auto"/>
        <w:tabs>
          <w:tab w:leader="none" w:pos="342" w:val="left"/>
        </w:tabs>
        <w:numPr>
          <w:ilvl w:val="1"/>
          <w:numId w:val="61"/>
        </w:numPr>
        <w:rPr>
          <w:rFonts w:ascii="Arial" w:cs="Arial" w:eastAsia="Arial" w:hAnsi="Arial"/>
          <w:sz w:val="16"/>
          <w:szCs w:val="16"/>
          <w:color w:val="auto"/>
        </w:rPr>
      </w:pPr>
      <w:r>
        <w:rPr>
          <w:rFonts w:ascii="Arial" w:cs="Arial" w:eastAsia="Arial" w:hAnsi="Arial"/>
          <w:sz w:val="16"/>
          <w:szCs w:val="16"/>
          <w:color w:val="auto"/>
        </w:rPr>
        <w:t>Credicorp is not subject to income tax or any taxes on capital gains, equity or property in Bermuda. Credicorp’s Peruvian Subsidiaries are subject to the Peruvian tax regime.</w:t>
      </w:r>
    </w:p>
    <w:p>
      <w:pPr>
        <w:spacing w:after="0" w:line="150" w:lineRule="exact"/>
        <w:rPr>
          <w:sz w:val="20"/>
          <w:szCs w:val="20"/>
          <w:color w:val="auto"/>
        </w:rPr>
      </w:pPr>
    </w:p>
    <w:p>
      <w:pPr>
        <w:ind w:left="302" w:right="60"/>
        <w:spacing w:after="0" w:line="287" w:lineRule="auto"/>
        <w:rPr>
          <w:sz w:val="20"/>
          <w:szCs w:val="20"/>
          <w:color w:val="auto"/>
        </w:rPr>
      </w:pPr>
      <w:r>
        <w:rPr>
          <w:rFonts w:ascii="Arial" w:cs="Arial" w:eastAsia="Arial" w:hAnsi="Arial"/>
          <w:sz w:val="16"/>
          <w:szCs w:val="16"/>
          <w:color w:val="auto"/>
        </w:rPr>
        <w:t>The income tax rate in Peru as of March 31, 2020 and December 31, 2019 was 29.5 percent of the taxable income after calculating the worker's participation, which is determined using a rate of 5.0 percent.</w:t>
      </w:r>
    </w:p>
    <w:p>
      <w:pPr>
        <w:spacing w:after="0" w:line="150" w:lineRule="exact"/>
        <w:rPr>
          <w:sz w:val="20"/>
          <w:szCs w:val="20"/>
          <w:color w:val="auto"/>
        </w:rPr>
      </w:pPr>
    </w:p>
    <w:p>
      <w:pPr>
        <w:ind w:left="302" w:right="60"/>
        <w:spacing w:after="0" w:line="287" w:lineRule="auto"/>
        <w:rPr>
          <w:sz w:val="20"/>
          <w:szCs w:val="20"/>
          <w:color w:val="auto"/>
        </w:rPr>
      </w:pPr>
      <w:r>
        <w:rPr>
          <w:rFonts w:ascii="Arial" w:cs="Arial" w:eastAsia="Arial" w:hAnsi="Arial"/>
          <w:sz w:val="16"/>
          <w:szCs w:val="16"/>
          <w:color w:val="auto"/>
        </w:rPr>
        <w:t>The income tax rate in Bolivia is 25.0 percent as of March 31, 2020 and December 31, 2019. Financial entities have an additional rate if the ROE exceeds 6.0 percent; in that case, they must consider an additional 25.0 percent, with which the rate would be 50.0 percent.</w:t>
      </w:r>
    </w:p>
    <w:p>
      <w:pPr>
        <w:spacing w:after="0" w:line="150" w:lineRule="exact"/>
        <w:rPr>
          <w:sz w:val="20"/>
          <w:szCs w:val="20"/>
          <w:color w:val="auto"/>
        </w:rPr>
      </w:pPr>
    </w:p>
    <w:p>
      <w:pPr>
        <w:jc w:val="both"/>
        <w:ind w:left="302" w:right="140"/>
        <w:spacing w:after="0" w:line="322" w:lineRule="auto"/>
        <w:rPr>
          <w:sz w:val="20"/>
          <w:szCs w:val="20"/>
          <w:color w:val="auto"/>
        </w:rPr>
      </w:pPr>
      <w:r>
        <w:rPr>
          <w:rFonts w:ascii="Arial" w:cs="Arial" w:eastAsia="Arial" w:hAnsi="Arial"/>
          <w:sz w:val="15"/>
          <w:szCs w:val="15"/>
          <w:color w:val="auto"/>
        </w:rPr>
        <w:t>In the case of Chile, there are two tax regimes: partially integrated regime and attributed regime. Credicorp Capital Holding Chile and all their Subsidiaries are under partially integrated regime, whose tax rate for domiciled legal entities under this regime is 27.0 percent as of March 31, 2020 and December 31, 2019.</w:t>
      </w:r>
    </w:p>
    <w:p>
      <w:pPr>
        <w:spacing w:after="0" w:line="127" w:lineRule="exact"/>
        <w:rPr>
          <w:sz w:val="20"/>
          <w:szCs w:val="20"/>
          <w:color w:val="auto"/>
        </w:rPr>
      </w:pPr>
    </w:p>
    <w:p>
      <w:pPr>
        <w:jc w:val="both"/>
        <w:ind w:left="302" w:right="120"/>
        <w:spacing w:after="0" w:line="271" w:lineRule="auto"/>
        <w:rPr>
          <w:sz w:val="20"/>
          <w:szCs w:val="20"/>
          <w:color w:val="auto"/>
        </w:rPr>
      </w:pPr>
      <w:r>
        <w:rPr>
          <w:rFonts w:ascii="Arial" w:cs="Arial" w:eastAsia="Arial" w:hAnsi="Arial"/>
          <w:sz w:val="16"/>
          <w:szCs w:val="16"/>
          <w:color w:val="auto"/>
        </w:rPr>
        <w:t>On the other hand, individuals or legal entities not domiciled in Chile will be subject to a tax called "Additional income tax" whose rates are between 4.0 percent and 35.0 percent, depending on the nature of the income. Additionally, Chile has signed treaties to avoid double taxation with different countries so certain income could be released from withholding tax or for the use of reduced rates.</w:t>
      </w:r>
    </w:p>
    <w:p>
      <w:pPr>
        <w:spacing w:after="0" w:line="163" w:lineRule="exact"/>
        <w:rPr>
          <w:sz w:val="20"/>
          <w:szCs w:val="20"/>
          <w:color w:val="auto"/>
        </w:rPr>
      </w:pPr>
    </w:p>
    <w:p>
      <w:pPr>
        <w:ind w:left="302" w:right="140"/>
        <w:spacing w:after="0" w:line="271" w:lineRule="auto"/>
        <w:rPr>
          <w:sz w:val="20"/>
          <w:szCs w:val="20"/>
          <w:color w:val="auto"/>
        </w:rPr>
      </w:pPr>
      <w:r>
        <w:rPr>
          <w:rFonts w:ascii="Arial" w:cs="Arial" w:eastAsia="Arial" w:hAnsi="Arial"/>
          <w:sz w:val="16"/>
          <w:szCs w:val="16"/>
          <w:color w:val="auto"/>
        </w:rPr>
        <w:t>In the case of Colombia, the income tax rate as of December 31, 2019, under the law called “Financing Law” N° 1943 dated December 28, 2018, the income tax rate of 33.0 percent was established for all entities without surcharge. As of March 31, 2020, under the law N° 2010 issued in December 27, 2019, the tax rates are as follows:</w:t>
      </w:r>
    </w:p>
    <w:p>
      <w:pPr>
        <w:spacing w:after="0" w:line="159" w:lineRule="exact"/>
        <w:rPr>
          <w:sz w:val="20"/>
          <w:szCs w:val="20"/>
          <w:color w:val="auto"/>
        </w:rPr>
      </w:pPr>
    </w:p>
    <w:tbl>
      <w:tblPr>
        <w:tblLayout w:type="fixed"/>
        <w:tblInd w:w="302" w:type="dxa"/>
        <w:tblCellMar>
          <w:top w:w="0" w:type="dxa"/>
          <w:left w:w="0" w:type="dxa"/>
          <w:bottom w:w="0" w:type="dxa"/>
          <w:right w:w="0" w:type="dxa"/>
        </w:tblCellMar>
      </w:tblPr>
      <w:tr>
        <w:trPr>
          <w:trHeight w:val="197"/>
        </w:trPr>
        <w:tc>
          <w:tcPr>
            <w:tcW w:w="3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Additional rate</w:t>
            </w:r>
          </w:p>
        </w:tc>
      </w:tr>
      <w:tr>
        <w:trPr>
          <w:trHeight w:val="212"/>
        </w:trPr>
        <w:tc>
          <w:tcPr>
            <w:tcW w:w="3860" w:type="dxa"/>
            <w:vAlign w:val="bottom"/>
            <w:gridSpan w:val="2"/>
          </w:tcPr>
          <w:p>
            <w:pPr>
              <w:spacing w:after="0"/>
              <w:rPr>
                <w:sz w:val="20"/>
                <w:szCs w:val="20"/>
                <w:color w:val="auto"/>
              </w:rPr>
            </w:pPr>
            <w:r>
              <w:rPr>
                <w:rFonts w:ascii="Arial" w:cs="Arial" w:eastAsia="Arial" w:hAnsi="Arial"/>
                <w:sz w:val="16"/>
                <w:szCs w:val="16"/>
                <w:b w:val="1"/>
                <w:bCs w:val="1"/>
                <w:color w:val="auto"/>
              </w:rPr>
              <w:t>Taxable year</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Rate</w:t>
            </w:r>
          </w:p>
        </w:tc>
        <w:tc>
          <w:tcPr>
            <w:tcW w:w="1460" w:type="dxa"/>
            <w:vAlign w:val="bottom"/>
            <w:gridSpan w:val="2"/>
          </w:tcPr>
          <w:p>
            <w:pPr>
              <w:ind w:left="180"/>
              <w:spacing w:after="0"/>
              <w:rPr>
                <w:sz w:val="20"/>
                <w:szCs w:val="20"/>
                <w:color w:val="auto"/>
              </w:rPr>
            </w:pPr>
            <w:r>
              <w:rPr>
                <w:rFonts w:ascii="Arial" w:cs="Arial" w:eastAsia="Arial" w:hAnsi="Arial"/>
                <w:sz w:val="16"/>
                <w:szCs w:val="16"/>
                <w:b w:val="1"/>
                <w:bCs w:val="1"/>
                <w:color w:val="auto"/>
              </w:rPr>
              <w:t>(surcharge) (*)</w:t>
            </w:r>
          </w:p>
        </w:tc>
      </w:tr>
      <w:tr>
        <w:trPr>
          <w:trHeight w:val="19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2020</w:t>
            </w:r>
          </w:p>
        </w:tc>
        <w:tc>
          <w:tcPr>
            <w:tcW w:w="8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32</w:t>
            </w:r>
          </w:p>
        </w:tc>
        <w:tc>
          <w:tcPr>
            <w:tcW w:w="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60" w:type="dxa"/>
            <w:vAlign w:val="bottom"/>
            <w:tcBorders>
              <w:top w:val="single" w:sz="8" w:color="CCEEFF"/>
            </w:tcBorders>
            <w:shd w:val="clear" w:color="auto" w:fill="CCEEFF"/>
          </w:tcPr>
          <w:p>
            <w:pPr>
              <w:spacing w:after="0"/>
              <w:rPr>
                <w:sz w:val="16"/>
                <w:szCs w:val="16"/>
                <w:color w:val="auto"/>
              </w:rPr>
            </w:pPr>
          </w:p>
        </w:tc>
      </w:tr>
      <w:tr>
        <w:trPr>
          <w:trHeight w:val="197"/>
        </w:trPr>
        <w:tc>
          <w:tcPr>
            <w:tcW w:w="3780" w:type="dxa"/>
            <w:vAlign w:val="bottom"/>
          </w:tcPr>
          <w:p>
            <w:pPr>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8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r>
      <w:tr>
        <w:trPr>
          <w:trHeight w:val="197"/>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w:t>
            </w:r>
          </w:p>
        </w:tc>
        <w:tc>
          <w:tcPr>
            <w:tcW w:w="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r>
      <w:tr>
        <w:trPr>
          <w:trHeight w:val="208"/>
        </w:trPr>
        <w:tc>
          <w:tcPr>
            <w:tcW w:w="3860" w:type="dxa"/>
            <w:vAlign w:val="bottom"/>
            <w:gridSpan w:val="2"/>
          </w:tcPr>
          <w:p>
            <w:pPr>
              <w:spacing w:after="0"/>
              <w:rPr>
                <w:sz w:val="20"/>
                <w:szCs w:val="20"/>
                <w:color w:val="auto"/>
              </w:rPr>
            </w:pPr>
            <w:r>
              <w:rPr>
                <w:rFonts w:ascii="Arial" w:cs="Arial" w:eastAsia="Arial" w:hAnsi="Arial"/>
                <w:sz w:val="16"/>
                <w:szCs w:val="16"/>
                <w:color w:val="auto"/>
              </w:rPr>
              <w:t>As of 2023</w:t>
            </w: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30</w:t>
            </w:r>
          </w:p>
        </w:tc>
        <w:tc>
          <w:tcPr>
            <w:tcW w:w="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bl>
    <w:p>
      <w:pPr>
        <w:spacing w:after="0" w:line="173" w:lineRule="exact"/>
        <w:rPr>
          <w:sz w:val="20"/>
          <w:szCs w:val="20"/>
          <w:color w:val="auto"/>
        </w:rPr>
      </w:pPr>
    </w:p>
    <w:p>
      <w:pPr>
        <w:jc w:val="both"/>
        <w:ind w:left="582" w:hanging="287"/>
        <w:spacing w:after="0" w:line="271" w:lineRule="auto"/>
        <w:tabs>
          <w:tab w:leader="none" w:pos="58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additional rate (surcharge) will be applicable only to financial entities, that in the corresponding year, with a taxable rate equal or greater than 120,000 Unit of tax value (“UVT” from its Spanish acronym) which as of March 31, 2020 amounts to a total of S/3.9 million; in that sense, Credicorp Capital Colombia, Credicorp Capital Fiduciaria and Banco Compartir must pay the income tax taking into account the aforementioned.</w:t>
      </w:r>
    </w:p>
    <w:p>
      <w:pPr>
        <w:spacing w:after="0" w:line="163" w:lineRule="exact"/>
        <w:rPr>
          <w:sz w:val="20"/>
          <w:szCs w:val="20"/>
          <w:color w:val="auto"/>
        </w:rPr>
      </w:pPr>
    </w:p>
    <w:p>
      <w:pPr>
        <w:ind w:left="302" w:right="160"/>
        <w:spacing w:after="0" w:line="287" w:lineRule="auto"/>
        <w:rPr>
          <w:sz w:val="20"/>
          <w:szCs w:val="20"/>
          <w:color w:val="auto"/>
        </w:rPr>
      </w:pPr>
      <w:r>
        <w:rPr>
          <w:rFonts w:ascii="Arial" w:cs="Arial" w:eastAsia="Arial" w:hAnsi="Arial"/>
          <w:sz w:val="16"/>
          <w:szCs w:val="16"/>
          <w:color w:val="auto"/>
        </w:rPr>
        <w:t>Atlantic Security Holding Corporation and its Subsidiaries are not subject to taxes in the Cayman Islands or Panama. As of March 31, 2020 and December 31, 2019, no taxable income was generated from the operations in the United States of America.</w:t>
      </w:r>
    </w:p>
    <w:p>
      <w:pPr>
        <w:spacing w:after="0" w:line="34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35"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auto"/>
        </w:rPr>
        <w:t>b) Income tax expense for the three-month periods ended March 31, 2020 and 2019 comprises: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Current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-105410</wp:posOffset>
            </wp:positionV>
            <wp:extent cx="6715760" cy="1250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15760" cy="125095"/>
                    </a:xfrm>
                    <a:prstGeom prst="rect">
                      <a:avLst/>
                    </a:prstGeom>
                    <a:noFill/>
                  </pic:spPr>
                </pic:pic>
              </a:graphicData>
            </a:graphic>
          </wp:anchor>
        </w:drawing>
      </w: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Peru</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-115570</wp:posOffset>
            </wp:positionV>
            <wp:extent cx="6715760" cy="132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15760" cy="132715"/>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149225</wp:posOffset>
            </wp:positionV>
            <wp:extent cx="6715760" cy="132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15760" cy="1327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Deferred -</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-115570</wp:posOffset>
            </wp:positionV>
            <wp:extent cx="6715760" cy="1250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15760" cy="12509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In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16510</wp:posOffset>
            </wp:positionV>
            <wp:extent cx="6715760" cy="132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15760" cy="132715"/>
                    </a:xfrm>
                    <a:prstGeom prst="rect">
                      <a:avLst/>
                    </a:prstGeom>
                    <a:noFill/>
                  </pic:spPr>
                </pic:pic>
              </a:graphicData>
            </a:graphic>
          </wp:anchor>
        </w:drawing>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color w:val="auto"/>
        </w:rPr>
        <w:t>For the three-month</w:t>
      </w:r>
    </w:p>
    <w:p>
      <w:pPr>
        <w:spacing w:after="0" w:line="28" w:lineRule="exact"/>
        <w:rPr>
          <w:sz w:val="20"/>
          <w:szCs w:val="20"/>
          <w:color w:val="auto"/>
        </w:rPr>
      </w:pPr>
    </w:p>
    <w:p>
      <w:pPr>
        <w:jc w:val="center"/>
        <w:ind w:right="620"/>
        <w:spacing w:after="0"/>
        <w:rPr>
          <w:sz w:val="20"/>
          <w:szCs w:val="20"/>
          <w:color w:val="auto"/>
        </w:rPr>
      </w:pPr>
      <w:r>
        <w:rPr>
          <w:rFonts w:ascii="Arial" w:cs="Arial" w:eastAsia="Arial" w:hAnsi="Arial"/>
          <w:sz w:val="15"/>
          <w:szCs w:val="15"/>
          <w:b w:val="1"/>
          <w:bCs w:val="1"/>
          <w:color w:val="auto"/>
        </w:rPr>
        <w:t>periods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15875</wp:posOffset>
            </wp:positionV>
            <wp:extent cx="160655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06550" cy="7620"/>
                    </a:xfrm>
                    <a:prstGeom prst="rect">
                      <a:avLst/>
                    </a:prstGeom>
                    <a:noFill/>
                  </pic:spPr>
                </pic:pic>
              </a:graphicData>
            </a:graphic>
          </wp:anchor>
        </w:drawing>
      </w:r>
    </w:p>
    <w:p>
      <w:pPr>
        <w:spacing w:after="0" w:line="13" w:lineRule="exact"/>
        <w:rPr>
          <w:sz w:val="20"/>
          <w:szCs w:val="20"/>
          <w:color w:val="auto"/>
        </w:rPr>
      </w:pPr>
    </w:p>
    <w:p>
      <w:pPr>
        <w:ind w:left="80"/>
        <w:spacing w:after="0"/>
        <w:tabs>
          <w:tab w:leader="none" w:pos="142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8" w:lineRule="exact"/>
        <w:rPr>
          <w:sz w:val="20"/>
          <w:szCs w:val="20"/>
          <w:color w:val="auto"/>
        </w:rPr>
      </w:pPr>
    </w:p>
    <w:p>
      <w:pPr>
        <w:spacing w:after="0"/>
        <w:tabs>
          <w:tab w:leader="none" w:pos="1340" w:val="left"/>
        </w:tabs>
        <w:rPr>
          <w:sz w:val="20"/>
          <w:szCs w:val="20"/>
          <w:color w:val="auto"/>
        </w:rPr>
      </w:pPr>
      <w:r>
        <w:rPr>
          <w:rFonts w:ascii="Arial" w:cs="Arial" w:eastAsia="Arial" w:hAnsi="Arial"/>
          <w:sz w:val="16"/>
          <w:szCs w:val="16"/>
          <w:b w:val="1"/>
          <w:bCs w:val="1"/>
          <w:color w:val="auto"/>
        </w:rPr>
        <w:t>S/(000)</w:t>
      </w:r>
      <w:r>
        <w:rPr>
          <w:sz w:val="20"/>
          <w:szCs w:val="20"/>
          <w:color w:val="auto"/>
        </w:rPr>
        <w:tab/>
      </w:r>
      <w:r>
        <w:rPr>
          <w:rFonts w:ascii="Arial" w:cs="Arial" w:eastAsia="Arial" w:hAnsi="Arial"/>
          <w:sz w:val="16"/>
          <w:szCs w:val="16"/>
          <w:b w:val="1"/>
          <w:bCs w:val="1"/>
          <w:color w:val="auto"/>
        </w:rPr>
        <w:t>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-115570</wp:posOffset>
            </wp:positionV>
            <wp:extent cx="160655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06550" cy="7620"/>
                    </a:xfrm>
                    <a:prstGeom prst="rect">
                      <a:avLst/>
                    </a:prstGeom>
                    <a:noFill/>
                  </pic:spPr>
                </pic:pic>
              </a:graphicData>
            </a:graphic>
          </wp:anchor>
        </w:drawing>
      </w:r>
    </w:p>
    <w:p>
      <w:pPr>
        <w:spacing w:after="0" w:line="190" w:lineRule="exact"/>
        <w:rPr>
          <w:sz w:val="20"/>
          <w:szCs w:val="20"/>
          <w:color w:val="auto"/>
        </w:rPr>
      </w:pPr>
    </w:p>
    <w:p>
      <w:pPr>
        <w:ind w:left="300"/>
        <w:spacing w:after="0"/>
        <w:tabs>
          <w:tab w:leader="none" w:pos="1640" w:val="left"/>
        </w:tabs>
        <w:rPr>
          <w:sz w:val="20"/>
          <w:szCs w:val="20"/>
          <w:color w:val="auto"/>
        </w:rPr>
      </w:pPr>
      <w:r>
        <w:rPr>
          <w:rFonts w:ascii="Arial" w:cs="Arial" w:eastAsia="Arial" w:hAnsi="Arial"/>
          <w:sz w:val="16"/>
          <w:szCs w:val="16"/>
          <w:color w:val="auto"/>
        </w:rPr>
        <w:t>312,877</w:t>
      </w:r>
      <w:r>
        <w:rPr>
          <w:sz w:val="20"/>
          <w:szCs w:val="20"/>
          <w:color w:val="auto"/>
        </w:rPr>
        <w:tab/>
      </w:r>
      <w:r>
        <w:rPr>
          <w:rFonts w:ascii="Arial" w:cs="Arial" w:eastAsia="Arial" w:hAnsi="Arial"/>
          <w:sz w:val="16"/>
          <w:szCs w:val="16"/>
          <w:color w:val="auto"/>
        </w:rPr>
        <w:t>329,339</w:t>
      </w:r>
    </w:p>
    <w:p>
      <w:pPr>
        <w:spacing w:after="0" w:line="25" w:lineRule="exact"/>
        <w:rPr>
          <w:sz w:val="20"/>
          <w:szCs w:val="20"/>
          <w:color w:val="auto"/>
        </w:rPr>
      </w:pPr>
    </w:p>
    <w:p>
      <w:pPr>
        <w:ind w:left="380"/>
        <w:spacing w:after="0"/>
        <w:tabs>
          <w:tab w:leader="none" w:pos="1720" w:val="left"/>
        </w:tabs>
        <w:rPr>
          <w:sz w:val="20"/>
          <w:szCs w:val="20"/>
          <w:color w:val="auto"/>
        </w:rPr>
      </w:pPr>
      <w:r>
        <w:rPr>
          <w:rFonts w:ascii="Arial" w:cs="Arial" w:eastAsia="Arial" w:hAnsi="Arial"/>
          <w:sz w:val="16"/>
          <w:szCs w:val="16"/>
          <w:color w:val="auto"/>
        </w:rPr>
        <w:t>45,768</w:t>
      </w:r>
      <w:r>
        <w:rPr>
          <w:sz w:val="20"/>
          <w:szCs w:val="20"/>
          <w:color w:val="auto"/>
        </w:rPr>
        <w:tab/>
      </w:r>
      <w:r>
        <w:rPr>
          <w:rFonts w:ascii="Arial" w:cs="Arial" w:eastAsia="Arial" w:hAnsi="Arial"/>
          <w:sz w:val="16"/>
          <w:szCs w:val="16"/>
          <w:color w:val="auto"/>
        </w:rPr>
        <w:t>50,377</w:t>
      </w:r>
    </w:p>
    <w:p>
      <w:pPr>
        <w:spacing w:after="0" w:line="25" w:lineRule="exact"/>
        <w:rPr>
          <w:sz w:val="20"/>
          <w:szCs w:val="20"/>
          <w:color w:val="auto"/>
        </w:rPr>
      </w:pPr>
    </w:p>
    <w:p>
      <w:pPr>
        <w:ind w:left="300"/>
        <w:spacing w:after="0"/>
        <w:tabs>
          <w:tab w:leader="none" w:pos="1640" w:val="left"/>
        </w:tabs>
        <w:rPr>
          <w:sz w:val="20"/>
          <w:szCs w:val="20"/>
          <w:color w:val="auto"/>
        </w:rPr>
      </w:pPr>
      <w:r>
        <w:rPr>
          <w:rFonts w:ascii="Arial" w:cs="Arial" w:eastAsia="Arial" w:hAnsi="Arial"/>
          <w:sz w:val="16"/>
          <w:szCs w:val="16"/>
          <w:color w:val="auto"/>
        </w:rPr>
        <w:t>358,645</w:t>
      </w:r>
      <w:r>
        <w:rPr>
          <w:sz w:val="20"/>
          <w:szCs w:val="20"/>
          <w:color w:val="auto"/>
        </w:rPr>
        <w:tab/>
      </w:r>
      <w:r>
        <w:rPr>
          <w:rFonts w:ascii="Arial" w:cs="Arial" w:eastAsia="Arial" w:hAnsi="Arial"/>
          <w:sz w:val="16"/>
          <w:szCs w:val="16"/>
          <w:color w:val="auto"/>
        </w:rPr>
        <w:t>379,716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-116205</wp:posOffset>
            </wp:positionV>
            <wp:extent cx="160655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06550" cy="7620"/>
                    </a:xfrm>
                    <a:prstGeom prst="rect">
                      <a:avLst/>
                    </a:prstGeom>
                    <a:noFill/>
                  </pic:spPr>
                </pic:pic>
              </a:graphicData>
            </a:graphic>
          </wp:anchor>
        </w:drawing>
      </w:r>
    </w:p>
    <w:p>
      <w:pPr>
        <w:spacing w:after="0" w:line="398" w:lineRule="exact"/>
        <w:rPr>
          <w:sz w:val="20"/>
          <w:szCs w:val="20"/>
          <w:color w:val="auto"/>
        </w:rPr>
      </w:pPr>
    </w:p>
    <w:p>
      <w:pPr>
        <w:ind w:left="260"/>
        <w:spacing w:after="0"/>
        <w:tabs>
          <w:tab w:leader="none" w:pos="1720" w:val="left"/>
        </w:tabs>
        <w:rPr>
          <w:sz w:val="20"/>
          <w:szCs w:val="20"/>
          <w:color w:val="auto"/>
        </w:rPr>
      </w:pPr>
      <w:r>
        <w:rPr>
          <w:rFonts w:ascii="Arial" w:cs="Arial" w:eastAsia="Arial" w:hAnsi="Arial"/>
          <w:sz w:val="16"/>
          <w:szCs w:val="16"/>
          <w:color w:val="auto"/>
        </w:rPr>
        <w:t>(208,779)</w:t>
      </w:r>
      <w:r>
        <w:rPr>
          <w:sz w:val="20"/>
          <w:szCs w:val="20"/>
          <w:color w:val="auto"/>
        </w:rPr>
        <w:tab/>
      </w:r>
      <w:r>
        <w:rPr>
          <w:rFonts w:ascii="Arial" w:cs="Arial" w:eastAsia="Arial" w:hAnsi="Arial"/>
          <w:sz w:val="16"/>
          <w:szCs w:val="16"/>
          <w:color w:val="auto"/>
        </w:rPr>
        <w:t>51,522</w:t>
      </w:r>
    </w:p>
    <w:p>
      <w:pPr>
        <w:spacing w:after="0" w:line="24" w:lineRule="exact"/>
        <w:rPr>
          <w:sz w:val="20"/>
          <w:szCs w:val="20"/>
          <w:color w:val="auto"/>
        </w:rPr>
      </w:pPr>
    </w:p>
    <w:p>
      <w:pPr>
        <w:jc w:val="right"/>
        <w:ind w:right="220"/>
        <w:spacing w:after="0"/>
        <w:tabs>
          <w:tab w:leader="none" w:pos="460" w:val="left"/>
        </w:tabs>
        <w:rPr>
          <w:sz w:val="20"/>
          <w:szCs w:val="20"/>
          <w:color w:val="auto"/>
        </w:rPr>
      </w:pPr>
      <w:r>
        <w:rPr>
          <w:rFonts w:ascii="Arial" w:cs="Arial" w:eastAsia="Arial" w:hAnsi="Arial"/>
          <w:sz w:val="16"/>
          <w:szCs w:val="16"/>
          <w:color w:val="auto"/>
        </w:rPr>
        <w:t>(4,067)</w:t>
      </w:r>
      <w:r>
        <w:rPr>
          <w:sz w:val="20"/>
          <w:szCs w:val="20"/>
          <w:color w:val="auto"/>
        </w:rPr>
        <w:tab/>
      </w:r>
      <w:r>
        <w:rPr>
          <w:rFonts w:ascii="Arial" w:cs="Arial" w:eastAsia="Arial" w:hAnsi="Arial"/>
          <w:sz w:val="15"/>
          <w:szCs w:val="15"/>
          <w:color w:val="auto"/>
        </w:rPr>
        <w:t>(9,073)</w:t>
      </w:r>
    </w:p>
    <w:p>
      <w:pPr>
        <w:spacing w:after="0" w:line="25" w:lineRule="exact"/>
        <w:rPr>
          <w:sz w:val="20"/>
          <w:szCs w:val="20"/>
          <w:color w:val="auto"/>
        </w:rPr>
      </w:pPr>
    </w:p>
    <w:p>
      <w:pPr>
        <w:ind w:left="260"/>
        <w:spacing w:after="0"/>
        <w:tabs>
          <w:tab w:leader="none" w:pos="1720" w:val="left"/>
        </w:tabs>
        <w:rPr>
          <w:sz w:val="20"/>
          <w:szCs w:val="20"/>
          <w:color w:val="auto"/>
        </w:rPr>
      </w:pPr>
      <w:r>
        <w:rPr>
          <w:rFonts w:ascii="Arial" w:cs="Arial" w:eastAsia="Arial" w:hAnsi="Arial"/>
          <w:sz w:val="16"/>
          <w:szCs w:val="16"/>
          <w:color w:val="auto"/>
        </w:rPr>
        <w:t>(212,846)</w:t>
      </w:r>
      <w:r>
        <w:rPr>
          <w:sz w:val="20"/>
          <w:szCs w:val="20"/>
          <w:color w:val="auto"/>
        </w:rPr>
        <w:tab/>
      </w:r>
      <w:r>
        <w:rPr>
          <w:rFonts w:ascii="Arial" w:cs="Arial" w:eastAsia="Arial" w:hAnsi="Arial"/>
          <w:sz w:val="15"/>
          <w:szCs w:val="15"/>
          <w:color w:val="auto"/>
        </w:rPr>
        <w:t>42,449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16510</wp:posOffset>
            </wp:positionV>
            <wp:extent cx="160655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06550" cy="7620"/>
                    </a:xfrm>
                    <a:prstGeom prst="rect">
                      <a:avLst/>
                    </a:prstGeom>
                    <a:noFill/>
                  </pic:spPr>
                </pic:pic>
              </a:graphicData>
            </a:graphic>
          </wp:anchor>
        </w:drawing>
      </w:r>
    </w:p>
    <w:p>
      <w:pPr>
        <w:spacing w:after="0" w:line="18" w:lineRule="exact"/>
        <w:rPr>
          <w:sz w:val="20"/>
          <w:szCs w:val="20"/>
          <w:color w:val="auto"/>
        </w:rPr>
      </w:pPr>
    </w:p>
    <w:p>
      <w:pPr>
        <w:ind w:left="300"/>
        <w:spacing w:after="0"/>
        <w:tabs>
          <w:tab w:leader="none" w:pos="1640" w:val="left"/>
        </w:tabs>
        <w:rPr>
          <w:sz w:val="20"/>
          <w:szCs w:val="20"/>
          <w:color w:val="auto"/>
        </w:rPr>
      </w:pPr>
      <w:r>
        <w:rPr>
          <w:rFonts w:ascii="Arial" w:cs="Arial" w:eastAsia="Arial" w:hAnsi="Arial"/>
          <w:sz w:val="16"/>
          <w:szCs w:val="16"/>
          <w:color w:val="auto"/>
        </w:rPr>
        <w:t>145,799</w:t>
      </w:r>
      <w:r>
        <w:rPr>
          <w:sz w:val="20"/>
          <w:szCs w:val="20"/>
          <w:color w:val="auto"/>
        </w:rPr>
        <w:tab/>
      </w:r>
      <w:r>
        <w:rPr>
          <w:rFonts w:ascii="Arial" w:cs="Arial" w:eastAsia="Arial" w:hAnsi="Arial"/>
          <w:sz w:val="16"/>
          <w:szCs w:val="16"/>
          <w:color w:val="auto"/>
        </w:rPr>
        <w:t>422,165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15875</wp:posOffset>
            </wp:positionV>
            <wp:extent cx="1606550" cy="234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06550" cy="234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60" w:space="720"/>
            <w:col w:w="2460"/>
          </w:cols>
          <w:pgMar w:left="420" w:top="839" w:right="539" w:bottom="1440" w:gutter="0" w:footer="0" w:header="0"/>
        </w:sectPr>
      </w:pPr>
    </w:p>
    <w:p>
      <w:pPr>
        <w:spacing w:after="0" w:line="46" w:lineRule="exact"/>
        <w:rPr>
          <w:sz w:val="20"/>
          <w:szCs w:val="20"/>
          <w:color w:val="auto"/>
        </w:rPr>
      </w:pPr>
    </w:p>
    <w:p>
      <w:pPr>
        <w:ind w:left="200" w:right="800"/>
        <w:spacing w:after="0" w:line="287" w:lineRule="auto"/>
        <w:rPr>
          <w:sz w:val="20"/>
          <w:szCs w:val="20"/>
          <w:color w:val="auto"/>
        </w:rPr>
      </w:pPr>
      <w:r>
        <w:rPr>
          <w:rFonts w:ascii="Arial" w:cs="Arial" w:eastAsia="Arial" w:hAnsi="Arial"/>
          <w:sz w:val="16"/>
          <w:szCs w:val="16"/>
          <w:color w:val="auto"/>
        </w:rPr>
        <w:t>The deferred income tax has been calculated on all temporary differences, considering the income tax rates effective where Credicorp’s Subsidiaries are located.</w:t>
      </w:r>
    </w:p>
    <w:p>
      <w:pPr>
        <w:spacing w:after="0" w:line="150" w:lineRule="exact"/>
        <w:rPr>
          <w:sz w:val="20"/>
          <w:szCs w:val="20"/>
          <w:color w:val="auto"/>
        </w:rPr>
      </w:pPr>
    </w:p>
    <w:p>
      <w:pPr>
        <w:ind w:left="240" w:hanging="231"/>
        <w:spacing w:after="0" w:line="287" w:lineRule="auto"/>
        <w:tabs>
          <w:tab w:leader="none" w:pos="2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Peruvian Tax Authority has the right to review and, if necessary, amend the annual income tax returns filed by Peruvian subsidiaries up to four years after their filing date. Income tax returns of the major Subsidiaries open for examination by the tax authorities are as follows:</w:t>
      </w:r>
    </w:p>
    <w:p>
      <w:pPr>
        <w:spacing w:after="0" w:line="150" w:lineRule="exact"/>
        <w:rPr>
          <w:sz w:val="20"/>
          <w:szCs w:val="20"/>
          <w:color w:val="auto"/>
        </w:rPr>
      </w:pPr>
    </w:p>
    <w:tbl>
      <w:tblPr>
        <w:tblLayout w:type="fixed"/>
        <w:tblInd w:w="200" w:type="dxa"/>
        <w:tblCellMar>
          <w:top w:w="0" w:type="dxa"/>
          <w:left w:w="0" w:type="dxa"/>
          <w:bottom w:w="0" w:type="dxa"/>
          <w:right w:w="0" w:type="dxa"/>
        </w:tblCellMar>
      </w:tblPr>
      <w:tr>
        <w:trPr>
          <w:trHeight w:val="197"/>
        </w:trPr>
        <w:tc>
          <w:tcPr>
            <w:tcW w:w="4520" w:type="dxa"/>
            <w:vAlign w:val="bottom"/>
          </w:tcPr>
          <w:p>
            <w:pPr>
              <w:spacing w:after="0"/>
              <w:rPr>
                <w:sz w:val="20"/>
                <w:szCs w:val="20"/>
                <w:color w:val="auto"/>
              </w:rPr>
            </w:pPr>
            <w:r>
              <w:rPr>
                <w:rFonts w:ascii="Arial" w:cs="Arial" w:eastAsia="Arial" w:hAnsi="Arial"/>
                <w:sz w:val="16"/>
                <w:szCs w:val="16"/>
                <w:color w:val="auto"/>
              </w:rPr>
              <w:t>Banco de Crédito del Perú S.A.</w:t>
            </w:r>
          </w:p>
        </w:tc>
        <w:tc>
          <w:tcPr>
            <w:tcW w:w="2880" w:type="dxa"/>
            <w:vAlign w:val="bottom"/>
          </w:tcPr>
          <w:p>
            <w:pPr>
              <w:jc w:val="right"/>
              <w:spacing w:after="0"/>
              <w:rPr>
                <w:sz w:val="20"/>
                <w:szCs w:val="20"/>
                <w:color w:val="auto"/>
              </w:rPr>
            </w:pPr>
            <w:r>
              <w:rPr>
                <w:rFonts w:ascii="Arial" w:cs="Arial" w:eastAsia="Arial" w:hAnsi="Arial"/>
                <w:sz w:val="16"/>
                <w:szCs w:val="16"/>
                <w:color w:val="auto"/>
              </w:rPr>
              <w:t>2016 to 2019</w:t>
            </w:r>
          </w:p>
        </w:tc>
      </w:tr>
      <w:tr>
        <w:trPr>
          <w:trHeight w:val="197"/>
        </w:trPr>
        <w:tc>
          <w:tcPr>
            <w:tcW w:w="4520" w:type="dxa"/>
            <w:vAlign w:val="bottom"/>
          </w:tcPr>
          <w:p>
            <w:pPr>
              <w:spacing w:after="0"/>
              <w:rPr>
                <w:sz w:val="20"/>
                <w:szCs w:val="20"/>
                <w:color w:val="auto"/>
              </w:rPr>
            </w:pPr>
            <w:r>
              <w:rPr>
                <w:rFonts w:ascii="Arial" w:cs="Arial" w:eastAsia="Arial" w:hAnsi="Arial"/>
                <w:sz w:val="16"/>
                <w:szCs w:val="16"/>
                <w:color w:val="auto"/>
              </w:rPr>
              <w:t>Mibanco, Banco de la Microempresa S.A.</w:t>
            </w:r>
          </w:p>
        </w:tc>
        <w:tc>
          <w:tcPr>
            <w:tcW w:w="2880" w:type="dxa"/>
            <w:vAlign w:val="bottom"/>
          </w:tcPr>
          <w:p>
            <w:pPr>
              <w:jc w:val="right"/>
              <w:spacing w:after="0"/>
              <w:rPr>
                <w:sz w:val="20"/>
                <w:szCs w:val="20"/>
                <w:color w:val="auto"/>
              </w:rPr>
            </w:pPr>
            <w:r>
              <w:rPr>
                <w:rFonts w:ascii="Arial" w:cs="Arial" w:eastAsia="Arial" w:hAnsi="Arial"/>
                <w:sz w:val="16"/>
                <w:szCs w:val="16"/>
                <w:color w:val="auto"/>
              </w:rPr>
              <w:t>2015 to 2019</w:t>
            </w:r>
          </w:p>
        </w:tc>
      </w:tr>
      <w:tr>
        <w:trPr>
          <w:trHeight w:val="197"/>
        </w:trPr>
        <w:tc>
          <w:tcPr>
            <w:tcW w:w="4520" w:type="dxa"/>
            <w:vAlign w:val="bottom"/>
          </w:tcPr>
          <w:p>
            <w:pPr>
              <w:spacing w:after="0"/>
              <w:rPr>
                <w:sz w:val="20"/>
                <w:szCs w:val="20"/>
                <w:color w:val="auto"/>
              </w:rPr>
            </w:pPr>
            <w:r>
              <w:rPr>
                <w:rFonts w:ascii="Arial" w:cs="Arial" w:eastAsia="Arial" w:hAnsi="Arial"/>
                <w:sz w:val="16"/>
                <w:szCs w:val="16"/>
                <w:color w:val="auto"/>
              </w:rPr>
              <w:t>Prima AFP S.A</w:t>
            </w:r>
          </w:p>
        </w:tc>
        <w:tc>
          <w:tcPr>
            <w:tcW w:w="2880" w:type="dxa"/>
            <w:vAlign w:val="bottom"/>
          </w:tcPr>
          <w:p>
            <w:pPr>
              <w:jc w:val="right"/>
              <w:spacing w:after="0"/>
              <w:rPr>
                <w:sz w:val="20"/>
                <w:szCs w:val="20"/>
                <w:color w:val="auto"/>
              </w:rPr>
            </w:pPr>
            <w:r>
              <w:rPr>
                <w:rFonts w:ascii="Arial" w:cs="Arial" w:eastAsia="Arial" w:hAnsi="Arial"/>
                <w:sz w:val="16"/>
                <w:szCs w:val="16"/>
                <w:color w:val="auto"/>
              </w:rPr>
              <w:t>2016 to 2019</w:t>
            </w:r>
          </w:p>
        </w:tc>
      </w:tr>
      <w:tr>
        <w:trPr>
          <w:trHeight w:val="197"/>
        </w:trPr>
        <w:tc>
          <w:tcPr>
            <w:tcW w:w="4520" w:type="dxa"/>
            <w:vAlign w:val="bottom"/>
          </w:tcPr>
          <w:p>
            <w:pPr>
              <w:spacing w:after="0"/>
              <w:rPr>
                <w:sz w:val="20"/>
                <w:szCs w:val="20"/>
                <w:color w:val="auto"/>
              </w:rPr>
            </w:pPr>
            <w:r>
              <w:rPr>
                <w:rFonts w:ascii="Arial" w:cs="Arial" w:eastAsia="Arial" w:hAnsi="Arial"/>
                <w:sz w:val="16"/>
                <w:szCs w:val="16"/>
                <w:color w:val="auto"/>
              </w:rPr>
              <w:t>Pacífico Compañía de Seguros y Reaseguros</w:t>
            </w:r>
          </w:p>
        </w:tc>
        <w:tc>
          <w:tcPr>
            <w:tcW w:w="2880" w:type="dxa"/>
            <w:vAlign w:val="bottom"/>
          </w:tcPr>
          <w:p>
            <w:pPr>
              <w:jc w:val="right"/>
              <w:spacing w:after="0"/>
              <w:rPr>
                <w:sz w:val="20"/>
                <w:szCs w:val="20"/>
                <w:color w:val="auto"/>
              </w:rPr>
            </w:pPr>
            <w:r>
              <w:rPr>
                <w:rFonts w:ascii="Arial" w:cs="Arial" w:eastAsia="Arial" w:hAnsi="Arial"/>
                <w:sz w:val="16"/>
                <w:szCs w:val="16"/>
                <w:color w:val="auto"/>
              </w:rPr>
              <w:t>2015, 2017 to 2019</w:t>
            </w:r>
          </w:p>
        </w:tc>
      </w:tr>
      <w:tr>
        <w:trPr>
          <w:trHeight w:val="208"/>
        </w:trPr>
        <w:tc>
          <w:tcPr>
            <w:tcW w:w="4520" w:type="dxa"/>
            <w:vAlign w:val="bottom"/>
          </w:tcPr>
          <w:p>
            <w:pPr>
              <w:spacing w:after="0"/>
              <w:rPr>
                <w:sz w:val="20"/>
                <w:szCs w:val="20"/>
                <w:color w:val="auto"/>
              </w:rPr>
            </w:pPr>
            <w:r>
              <w:rPr>
                <w:rFonts w:ascii="Arial" w:cs="Arial" w:eastAsia="Arial" w:hAnsi="Arial"/>
                <w:sz w:val="16"/>
                <w:szCs w:val="16"/>
                <w:color w:val="auto"/>
              </w:rPr>
              <w:t>Pacífico Peruano Suiza</w:t>
            </w:r>
          </w:p>
        </w:tc>
        <w:tc>
          <w:tcPr>
            <w:tcW w:w="2880" w:type="dxa"/>
            <w:vAlign w:val="bottom"/>
          </w:tcPr>
          <w:p>
            <w:pPr>
              <w:jc w:val="right"/>
              <w:spacing w:after="0"/>
              <w:rPr>
                <w:sz w:val="20"/>
                <w:szCs w:val="20"/>
                <w:color w:val="auto"/>
              </w:rPr>
            </w:pPr>
            <w:r>
              <w:rPr>
                <w:rFonts w:ascii="Arial" w:cs="Arial" w:eastAsia="Arial" w:hAnsi="Arial"/>
                <w:sz w:val="16"/>
                <w:szCs w:val="16"/>
                <w:color w:val="auto"/>
              </w:rPr>
              <w:t>2015 to 2017</w:t>
            </w:r>
          </w:p>
        </w:tc>
      </w:tr>
    </w:tbl>
    <w:p>
      <w:pPr>
        <w:spacing w:after="0" w:line="185" w:lineRule="exact"/>
        <w:rPr>
          <w:sz w:val="20"/>
          <w:szCs w:val="20"/>
          <w:color w:val="auto"/>
        </w:rPr>
      </w:pPr>
    </w:p>
    <w:p>
      <w:pPr>
        <w:ind w:left="200" w:right="460"/>
        <w:spacing w:after="0" w:line="266" w:lineRule="auto"/>
        <w:rPr>
          <w:sz w:val="20"/>
          <w:szCs w:val="20"/>
          <w:color w:val="auto"/>
        </w:rPr>
      </w:pPr>
      <w:r>
        <w:rPr>
          <w:rFonts w:ascii="Arial" w:cs="Arial" w:eastAsia="Arial" w:hAnsi="Arial"/>
          <w:sz w:val="16"/>
          <w:szCs w:val="16"/>
          <w:color w:val="auto"/>
        </w:rPr>
        <w:t>On September 10, 2019 and December 20, 2019, the Peruvian Tax Authority started the examination of income tax returns of Banco de Crédito del Perú for the year 2014 and 2015, respectively, of Banco de Crédito del Perú, a tax control process that is still in process. Likewise, on December 10, 2019 the Tax Administration notified a Resolution finalizing the process of inspection of the Income Tax declaration of 2013 fiscal year in which a lower tax payment was determined.</w:t>
      </w:r>
    </w:p>
    <w:p>
      <w:pPr>
        <w:spacing w:after="0" w:line="167" w:lineRule="exact"/>
        <w:rPr>
          <w:sz w:val="20"/>
          <w:szCs w:val="20"/>
          <w:color w:val="auto"/>
        </w:rPr>
      </w:pPr>
    </w:p>
    <w:p>
      <w:pPr>
        <w:ind w:left="200" w:right="620"/>
        <w:spacing w:after="0" w:line="287" w:lineRule="auto"/>
        <w:rPr>
          <w:sz w:val="20"/>
          <w:szCs w:val="20"/>
          <w:color w:val="auto"/>
        </w:rPr>
      </w:pPr>
      <w:r>
        <w:rPr>
          <w:rFonts w:ascii="Arial" w:cs="Arial" w:eastAsia="Arial" w:hAnsi="Arial"/>
          <w:sz w:val="16"/>
          <w:szCs w:val="16"/>
          <w:color w:val="auto"/>
        </w:rPr>
        <w:t>It is important to mentioned that the Peruvian Tax Authority is auditing the Income Tax declaration of 2014 of Mibanco and the Income Tax declaration of 2016 of Pacífico Compañía de Seguros y Reaseguros.</w:t>
      </w: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15875</wp:posOffset>
            </wp:positionV>
            <wp:extent cx="714438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940"/>
          </w:cols>
          <w:pgMar w:left="420" w:top="839" w:right="539" w:bottom="1440" w:gutter="0" w:footer="0" w:header="0"/>
          <w:type w:val="continuous"/>
        </w:sectPr>
      </w:pPr>
    </w:p>
    <w:bookmarkStart w:id="63" w:name="page64"/>
    <w:bookmarkEnd w:id="63"/>
    <w:p>
      <w:pPr>
        <w:ind w:left="302" w:right="680"/>
        <w:spacing w:after="0" w:line="289" w:lineRule="auto"/>
        <w:rPr>
          <w:sz w:val="20"/>
          <w:szCs w:val="20"/>
          <w:color w:val="auto"/>
        </w:rPr>
      </w:pPr>
      <w:r>
        <w:rPr>
          <w:rFonts w:ascii="Arial" w:cs="Arial" w:eastAsia="Arial" w:hAnsi="Arial"/>
          <w:sz w:val="15"/>
          <w:szCs w:val="15"/>
          <w:color w:val="auto"/>
        </w:rPr>
        <w:t>The Bolivian, Chilean and Colombian Tax Authorities have the power to review and, if applicable, make a new determination for the income tax calculated by the Subsidiaries located in said countries in the previous 8 years, 3 years and 3 years, respectively, upon presentation of their Income Tax declarations. Additionally, in the case of Colombia, a period of 6 years was established for the taxpayers obliged to apply Transfer Prices or taxpayers who report tax losses. The annual income tax declarations pending examination by the overseas tax authorities are the following:</w:t>
      </w:r>
    </w:p>
    <w:p>
      <w:pPr>
        <w:spacing w:after="0" w:line="152" w:lineRule="exact"/>
        <w:rPr>
          <w:sz w:val="20"/>
          <w:szCs w:val="20"/>
          <w:color w:val="auto"/>
        </w:rPr>
      </w:pPr>
    </w:p>
    <w:tbl>
      <w:tblPr>
        <w:tblLayout w:type="fixed"/>
        <w:tblInd w:w="302" w:type="dxa"/>
        <w:tblCellMar>
          <w:top w:w="0" w:type="dxa"/>
          <w:left w:w="0" w:type="dxa"/>
          <w:bottom w:w="0" w:type="dxa"/>
          <w:right w:w="0" w:type="dxa"/>
        </w:tblCellMar>
      </w:tblPr>
      <w:tr>
        <w:trPr>
          <w:trHeight w:val="197"/>
        </w:trPr>
        <w:tc>
          <w:tcPr>
            <w:tcW w:w="3920" w:type="dxa"/>
            <w:vAlign w:val="bottom"/>
          </w:tcPr>
          <w:p>
            <w:pPr>
              <w:spacing w:after="0"/>
              <w:rPr>
                <w:sz w:val="20"/>
                <w:szCs w:val="20"/>
                <w:color w:val="auto"/>
              </w:rPr>
            </w:pPr>
            <w:r>
              <w:rPr>
                <w:rFonts w:ascii="Arial" w:cs="Arial" w:eastAsia="Arial" w:hAnsi="Arial"/>
                <w:sz w:val="16"/>
                <w:szCs w:val="16"/>
                <w:color w:val="auto"/>
              </w:rPr>
              <w:t>Banco de Crédito de Bolivia</w:t>
            </w:r>
          </w:p>
        </w:tc>
        <w:tc>
          <w:tcPr>
            <w:tcW w:w="3480" w:type="dxa"/>
            <w:vAlign w:val="bottom"/>
          </w:tcPr>
          <w:p>
            <w:pPr>
              <w:jc w:val="right"/>
              <w:spacing w:after="0"/>
              <w:rPr>
                <w:sz w:val="20"/>
                <w:szCs w:val="20"/>
                <w:color w:val="auto"/>
              </w:rPr>
            </w:pPr>
            <w:r>
              <w:rPr>
                <w:rFonts w:ascii="Arial" w:cs="Arial" w:eastAsia="Arial" w:hAnsi="Arial"/>
                <w:sz w:val="16"/>
                <w:szCs w:val="16"/>
                <w:color w:val="auto"/>
              </w:rPr>
              <w:t>2011, 2012, 2014 to 2019</w:t>
            </w:r>
          </w:p>
        </w:tc>
      </w:tr>
      <w:tr>
        <w:trPr>
          <w:trHeight w:val="197"/>
        </w:trPr>
        <w:tc>
          <w:tcPr>
            <w:tcW w:w="3920" w:type="dxa"/>
            <w:vAlign w:val="bottom"/>
          </w:tcPr>
          <w:p>
            <w:pPr>
              <w:spacing w:after="0"/>
              <w:rPr>
                <w:sz w:val="20"/>
                <w:szCs w:val="20"/>
                <w:color w:val="auto"/>
              </w:rPr>
            </w:pPr>
            <w:r>
              <w:rPr>
                <w:rFonts w:ascii="Arial" w:cs="Arial" w:eastAsia="Arial" w:hAnsi="Arial"/>
                <w:sz w:val="16"/>
                <w:szCs w:val="16"/>
                <w:color w:val="auto"/>
              </w:rPr>
              <w:t>Credicorp Capital Colombia</w:t>
            </w:r>
          </w:p>
        </w:tc>
        <w:tc>
          <w:tcPr>
            <w:tcW w:w="3480" w:type="dxa"/>
            <w:vAlign w:val="bottom"/>
          </w:tcPr>
          <w:p>
            <w:pPr>
              <w:jc w:val="right"/>
              <w:spacing w:after="0"/>
              <w:rPr>
                <w:sz w:val="20"/>
                <w:szCs w:val="20"/>
                <w:color w:val="auto"/>
              </w:rPr>
            </w:pPr>
            <w:r>
              <w:rPr>
                <w:rFonts w:ascii="Arial" w:cs="Arial" w:eastAsia="Arial" w:hAnsi="Arial"/>
                <w:sz w:val="16"/>
                <w:szCs w:val="16"/>
                <w:color w:val="auto"/>
              </w:rPr>
              <w:t>2016 to 2019</w:t>
            </w:r>
          </w:p>
        </w:tc>
      </w:tr>
      <w:tr>
        <w:trPr>
          <w:trHeight w:val="208"/>
        </w:trPr>
        <w:tc>
          <w:tcPr>
            <w:tcW w:w="3920" w:type="dxa"/>
            <w:vAlign w:val="bottom"/>
          </w:tcPr>
          <w:p>
            <w:pPr>
              <w:spacing w:after="0"/>
              <w:rPr>
                <w:sz w:val="20"/>
                <w:szCs w:val="20"/>
                <w:color w:val="auto"/>
              </w:rPr>
            </w:pPr>
            <w:r>
              <w:rPr>
                <w:rFonts w:ascii="Arial" w:cs="Arial" w:eastAsia="Arial" w:hAnsi="Arial"/>
                <w:sz w:val="16"/>
                <w:szCs w:val="16"/>
                <w:color w:val="auto"/>
              </w:rPr>
              <w:t>Credicorp Capital Holding Chile</w:t>
            </w:r>
          </w:p>
        </w:tc>
        <w:tc>
          <w:tcPr>
            <w:tcW w:w="3480" w:type="dxa"/>
            <w:vAlign w:val="bottom"/>
          </w:tcPr>
          <w:p>
            <w:pPr>
              <w:jc w:val="right"/>
              <w:spacing w:after="0"/>
              <w:rPr>
                <w:sz w:val="20"/>
                <w:szCs w:val="20"/>
                <w:color w:val="auto"/>
              </w:rPr>
            </w:pPr>
            <w:r>
              <w:rPr>
                <w:rFonts w:ascii="Arial" w:cs="Arial" w:eastAsia="Arial" w:hAnsi="Arial"/>
                <w:sz w:val="16"/>
                <w:szCs w:val="16"/>
                <w:color w:val="auto"/>
              </w:rPr>
              <w:t>2018 to 2019</w:t>
            </w:r>
          </w:p>
        </w:tc>
      </w:tr>
    </w:tbl>
    <w:p>
      <w:pPr>
        <w:spacing w:after="0" w:line="185" w:lineRule="exact"/>
        <w:rPr>
          <w:sz w:val="20"/>
          <w:szCs w:val="20"/>
          <w:color w:val="auto"/>
        </w:rPr>
      </w:pPr>
    </w:p>
    <w:p>
      <w:pPr>
        <w:ind w:left="302" w:right="540"/>
        <w:spacing w:after="0" w:line="264" w:lineRule="auto"/>
        <w:rPr>
          <w:sz w:val="20"/>
          <w:szCs w:val="20"/>
          <w:color w:val="auto"/>
        </w:rPr>
      </w:pPr>
      <w:r>
        <w:rPr>
          <w:rFonts w:ascii="Arial" w:cs="Arial" w:eastAsia="Arial" w:hAnsi="Arial"/>
          <w:sz w:val="16"/>
          <w:szCs w:val="16"/>
          <w:color w:val="auto"/>
        </w:rPr>
        <w:t>Since tax regulations are subject to interpretation by the different Tax Authorities where Credicorp’s Subsidiaries are located, it is not possible to determine at the present date whether any significant additional liabilities may arise from any eventual tax examinations of the Credicorp’s Subsidiaries. Any resulting unpaid taxes, tax penalties or interest that may arise will be recognized as expenses in the year in which they are determined. However, Management of Credicorp and its Subsidiaries and their legal counsel consider that any additional tax assessments would not have a significant impact on the interim condensed consolidated financial statements as of March 31, 2020 and December 31, 2019.</w:t>
      </w:r>
    </w:p>
    <w:p>
      <w:pPr>
        <w:spacing w:after="0" w:line="163" w:lineRule="exact"/>
        <w:rPr>
          <w:sz w:val="20"/>
          <w:szCs w:val="20"/>
          <w:color w:val="auto"/>
        </w:rPr>
      </w:pPr>
    </w:p>
    <w:p>
      <w:pPr>
        <w:ind w:left="302" w:hanging="302"/>
        <w:spacing w:after="0"/>
        <w:tabs>
          <w:tab w:leader="none" w:pos="302"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SHARE-BASED COMPENSATION PLANS</w:t>
      </w:r>
    </w:p>
    <w:p>
      <w:pPr>
        <w:spacing w:after="0" w:line="213" w:lineRule="exact"/>
        <w:rPr>
          <w:rFonts w:ascii="Arial" w:cs="Arial" w:eastAsia="Arial" w:hAnsi="Arial"/>
          <w:sz w:val="16"/>
          <w:szCs w:val="16"/>
          <w:b w:val="1"/>
          <w:bCs w:val="1"/>
          <w:color w:val="auto"/>
        </w:rPr>
      </w:pPr>
    </w:p>
    <w:p>
      <w:pPr>
        <w:ind w:left="302"/>
        <w:spacing w:after="0" w:line="271" w:lineRule="auto"/>
        <w:rPr>
          <w:rFonts w:ascii="Arial" w:cs="Arial" w:eastAsia="Arial" w:hAnsi="Arial"/>
          <w:sz w:val="16"/>
          <w:szCs w:val="16"/>
          <w:b w:val="1"/>
          <w:bCs w:val="1"/>
          <w:color w:val="auto"/>
        </w:rPr>
      </w:pPr>
      <w:r>
        <w:rPr>
          <w:rFonts w:ascii="Arial" w:cs="Arial" w:eastAsia="Arial" w:hAnsi="Arial"/>
          <w:sz w:val="16"/>
          <w:szCs w:val="16"/>
          <w:color w:val="auto"/>
        </w:rPr>
        <w:t>On March of each year, the Group grants its own shares to certain key employees. The awarded shares are liberated in the three following years for up to 33.3 percent of the shares granted in each of the three previous years. The Group assumes the payment of the related income tax on behalf of its employees, which depend on the country of residence and the annual compensation of the employee.</w:t>
      </w:r>
    </w:p>
    <w:p>
      <w:pPr>
        <w:spacing w:after="0" w:line="162" w:lineRule="exact"/>
        <w:rPr>
          <w:rFonts w:ascii="Arial" w:cs="Arial" w:eastAsia="Arial" w:hAnsi="Arial"/>
          <w:sz w:val="16"/>
          <w:szCs w:val="16"/>
          <w:b w:val="1"/>
          <w:bCs w:val="1"/>
          <w:color w:val="auto"/>
        </w:rPr>
      </w:pPr>
    </w:p>
    <w:p>
      <w:pPr>
        <w:ind w:left="302" w:right="120"/>
        <w:spacing w:after="0" w:line="271" w:lineRule="auto"/>
        <w:rPr>
          <w:rFonts w:ascii="Arial" w:cs="Arial" w:eastAsia="Arial" w:hAnsi="Arial"/>
          <w:sz w:val="16"/>
          <w:szCs w:val="16"/>
          <w:b w:val="1"/>
          <w:bCs w:val="1"/>
          <w:color w:val="auto"/>
        </w:rPr>
      </w:pPr>
      <w:r>
        <w:rPr>
          <w:rFonts w:ascii="Arial" w:cs="Arial" w:eastAsia="Arial" w:hAnsi="Arial"/>
          <w:sz w:val="16"/>
          <w:szCs w:val="16"/>
          <w:color w:val="auto"/>
        </w:rPr>
        <w:t>As of March 31, 2020 and December 31, 2019, the Group has granted 175,564 and 116,594 Credicorp shares, of which 293,240 and 246,931 shares not vested as of March 31, 2020 and December 31, 2019, respectively. During the three-month periods ended March 31, 2020 and 2019, the recorded expense amounted to approximately S/20.1 million and S/26.4 million, respectively, see Note 27.</w:t>
      </w:r>
    </w:p>
    <w:p>
      <w:pPr>
        <w:spacing w:after="0" w:line="359" w:lineRule="exact"/>
        <w:rPr>
          <w:rFonts w:ascii="Arial" w:cs="Arial" w:eastAsia="Arial" w:hAnsi="Arial"/>
          <w:sz w:val="16"/>
          <w:szCs w:val="16"/>
          <w:b w:val="1"/>
          <w:bCs w:val="1"/>
          <w:color w:val="auto"/>
        </w:rPr>
      </w:pPr>
    </w:p>
    <w:p>
      <w:pPr>
        <w:ind w:left="5542" w:hanging="93"/>
        <w:spacing w:after="0"/>
        <w:tabs>
          <w:tab w:leader="none" w:pos="5542" w:val="left"/>
        </w:tabs>
        <w:numPr>
          <w:ilvl w:val="1"/>
          <w:numId w:val="64"/>
        </w:numPr>
        <w:rPr>
          <w:rFonts w:ascii="Arial" w:cs="Arial" w:eastAsia="Arial" w:hAnsi="Arial"/>
          <w:sz w:val="16"/>
          <w:szCs w:val="16"/>
          <w:color w:val="auto"/>
        </w:rPr>
      </w:pPr>
      <w:r>
        <w:rPr>
          <w:rFonts w:ascii="Arial" w:cs="Arial" w:eastAsia="Arial" w:hAnsi="Arial"/>
          <w:sz w:val="16"/>
          <w:szCs w:val="16"/>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162"/>
          </w:cols>
          <w:pgMar w:left="318" w:top="839" w:right="4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2"/>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21  OFF-BALANCE SHEET ACCOUNTS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8120" w:type="dxa"/>
            <w:vAlign w:val="bottom"/>
            <w:gridSpan w:val="2"/>
          </w:tcPr>
          <w:p>
            <w:pPr>
              <w:ind w:left="100"/>
              <w:spacing w:after="0"/>
              <w:rPr>
                <w:sz w:val="20"/>
                <w:szCs w:val="20"/>
                <w:color w:val="auto"/>
              </w:rPr>
            </w:pPr>
            <w:r>
              <w:rPr>
                <w:rFonts w:ascii="Arial" w:cs="Arial" w:eastAsia="Arial" w:hAnsi="Arial"/>
                <w:sz w:val="16"/>
                <w:szCs w:val="16"/>
                <w:color w:val="auto"/>
              </w:rPr>
              <w:t>a)  This item consists of the following:</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820" w:type="dxa"/>
            <w:vAlign w:val="bottom"/>
            <w:gridSpan w:val="4"/>
          </w:tcPr>
          <w:p>
            <w:pPr>
              <w:ind w:left="20"/>
              <w:spacing w:after="0"/>
              <w:rPr>
                <w:sz w:val="20"/>
                <w:szCs w:val="20"/>
                <w:color w:val="auto"/>
              </w:rPr>
            </w:pPr>
            <w:r>
              <w:rPr>
                <w:rFonts w:ascii="Arial" w:cs="Arial" w:eastAsia="Arial" w:hAnsi="Arial"/>
                <w:sz w:val="16"/>
                <w:szCs w:val="16"/>
                <w:b w:val="1"/>
                <w:bCs w:val="1"/>
                <w:color w:val="auto"/>
                <w:w w:val="99"/>
              </w:rPr>
              <w:t>As of March 31,   As of December 31,</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16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3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Contingent credits – indirect loans (b)</w:t>
            </w: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7760" w:type="dxa"/>
            <w:vAlign w:val="bottom"/>
          </w:tcPr>
          <w:p>
            <w:pPr>
              <w:spacing w:after="0"/>
              <w:rPr>
                <w:sz w:val="20"/>
                <w:szCs w:val="20"/>
                <w:color w:val="auto"/>
              </w:rPr>
            </w:pPr>
            <w:r>
              <w:rPr>
                <w:rFonts w:ascii="Arial" w:cs="Arial" w:eastAsia="Arial" w:hAnsi="Arial"/>
                <w:sz w:val="16"/>
                <w:szCs w:val="16"/>
                <w:color w:val="auto"/>
              </w:rPr>
              <w:t>Guarantees and standby letters</w:t>
            </w:r>
          </w:p>
        </w:tc>
        <w:tc>
          <w:tcPr>
            <w:tcW w:w="1160" w:type="dxa"/>
            <w:vAlign w:val="bottom"/>
          </w:tcPr>
          <w:p>
            <w:pPr>
              <w:jc w:val="right"/>
              <w:spacing w:after="0"/>
              <w:rPr>
                <w:sz w:val="20"/>
                <w:szCs w:val="20"/>
                <w:color w:val="auto"/>
              </w:rPr>
            </w:pPr>
            <w:r>
              <w:rPr>
                <w:rFonts w:ascii="Arial" w:cs="Arial" w:eastAsia="Arial" w:hAnsi="Arial"/>
                <w:sz w:val="16"/>
                <w:szCs w:val="16"/>
                <w:color w:val="auto"/>
              </w:rPr>
              <w:t>18,138,220</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18,894,456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Import and export letters of credit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2,288,182</w:t>
            </w:r>
          </w:p>
        </w:tc>
        <w:tc>
          <w:tcPr>
            <w:tcW w:w="2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2,186,579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7760" w:type="dxa"/>
            <w:vAlign w:val="bottom"/>
          </w:tcPr>
          <w:p>
            <w:pPr>
              <w:spacing w:after="0"/>
              <w:rPr>
                <w:sz w:val="20"/>
                <w:szCs w:val="20"/>
                <w:color w:val="auto"/>
              </w:rPr>
            </w:pPr>
            <w:r>
              <w:rPr>
                <w:rFonts w:ascii="Arial" w:cs="Arial" w:eastAsia="Arial" w:hAnsi="Arial"/>
                <w:sz w:val="16"/>
                <w:szCs w:val="16"/>
                <w:color w:val="auto"/>
              </w:rPr>
              <w:t>Sub-total, Note 7(b)</w:t>
            </w:r>
          </w:p>
        </w:tc>
        <w:tc>
          <w:tcPr>
            <w:tcW w:w="1160" w:type="dxa"/>
            <w:vAlign w:val="bottom"/>
          </w:tcPr>
          <w:p>
            <w:pPr>
              <w:jc w:val="right"/>
              <w:spacing w:after="0"/>
              <w:rPr>
                <w:sz w:val="20"/>
                <w:szCs w:val="20"/>
                <w:color w:val="auto"/>
              </w:rPr>
            </w:pPr>
            <w:r>
              <w:rPr>
                <w:rFonts w:ascii="Arial" w:cs="Arial" w:eastAsia="Arial" w:hAnsi="Arial"/>
                <w:sz w:val="16"/>
                <w:szCs w:val="16"/>
                <w:color w:val="auto"/>
              </w:rPr>
              <w:t>20,426,402</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21,081,035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0" w:type="dxa"/>
            <w:vAlign w:val="bottom"/>
            <w:vMerge w:val="restart"/>
          </w:tcPr>
          <w:p>
            <w:pPr>
              <w:spacing w:after="0"/>
              <w:rPr>
                <w:sz w:val="17"/>
                <w:szCs w:val="17"/>
                <w:color w:val="auto"/>
              </w:rPr>
            </w:pPr>
          </w:p>
        </w:tc>
        <w:tc>
          <w:tcPr>
            <w:tcW w:w="77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60" w:type="dxa"/>
            <w:vAlign w:val="bottom"/>
            <w:vMerge w:val="continue"/>
          </w:tcPr>
          <w:p>
            <w:pPr>
              <w:spacing w:after="0"/>
              <w:rPr>
                <w:sz w:val="18"/>
                <w:szCs w:val="18"/>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Responsibilities under credit line agreements (c)</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79,706,040</w:t>
            </w:r>
          </w:p>
        </w:tc>
        <w:tc>
          <w:tcPr>
            <w:tcW w:w="2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75,615,563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100,132,442</w:t>
            </w: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96,696,598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Reference values of operations with derivatives are recorded in off-balance sheet accounts in the committed currency, as shown in Note 13(b).</w:t>
      </w:r>
    </w:p>
    <w:p>
      <w:pPr>
        <w:spacing w:after="0" w:line="209" w:lineRule="exact"/>
        <w:rPr>
          <w:sz w:val="20"/>
          <w:szCs w:val="20"/>
          <w:color w:val="auto"/>
        </w:rPr>
      </w:pPr>
    </w:p>
    <w:p>
      <w:pPr>
        <w:ind w:left="340" w:hanging="231"/>
        <w:spacing w:after="0" w:line="287"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the normal course of their business, the Group’s banking Subsidiaries are party to transactions with off-balance sheet risk. These transactions expose them to credit risk in addition to the amounts recognized in the interim condensed consolidated statement of financial position.</w:t>
      </w:r>
    </w:p>
    <w:p>
      <w:pPr>
        <w:spacing w:after="0" w:line="150" w:lineRule="exact"/>
        <w:rPr>
          <w:sz w:val="20"/>
          <w:szCs w:val="20"/>
          <w:color w:val="auto"/>
        </w:rPr>
      </w:pPr>
    </w:p>
    <w:p>
      <w:pPr>
        <w:ind w:left="300"/>
        <w:spacing w:after="0" w:line="266" w:lineRule="auto"/>
        <w:rPr>
          <w:sz w:val="20"/>
          <w:szCs w:val="20"/>
          <w:color w:val="auto"/>
        </w:rPr>
      </w:pPr>
      <w:r>
        <w:rPr>
          <w:rFonts w:ascii="Arial" w:cs="Arial" w:eastAsia="Arial" w:hAnsi="Arial"/>
          <w:sz w:val="16"/>
          <w:szCs w:val="16"/>
          <w:color w:val="auto"/>
        </w:rPr>
        <w:t>Credit risk for contingent credits is defined as the possibility of sustaining a loss because one of the parties to a financial instrument fails to comply with the terms of the contract. The risk of credit losses is represented by the contractual amounts specified in the related contracts. The Group applies the same credit policies in making contingent commitments and other obligations as it does for on-balance sheet instruments (Note 7(a)), including the requirement to obtain collateral when it is deemed necessary.</w:t>
      </w:r>
    </w:p>
    <w:p>
      <w:pPr>
        <w:spacing w:after="0" w:line="167" w:lineRule="exact"/>
        <w:rPr>
          <w:sz w:val="20"/>
          <w:szCs w:val="20"/>
          <w:color w:val="auto"/>
        </w:rPr>
      </w:pPr>
    </w:p>
    <w:p>
      <w:pPr>
        <w:ind w:left="300" w:right="320"/>
        <w:spacing w:after="0" w:line="287" w:lineRule="auto"/>
        <w:rPr>
          <w:sz w:val="20"/>
          <w:szCs w:val="20"/>
          <w:color w:val="auto"/>
        </w:rPr>
      </w:pPr>
      <w:r>
        <w:rPr>
          <w:rFonts w:ascii="Arial" w:cs="Arial" w:eastAsia="Arial" w:hAnsi="Arial"/>
          <w:sz w:val="16"/>
          <w:szCs w:val="16"/>
          <w:color w:val="auto"/>
        </w:rPr>
        <w:t>Collateral held varies, but may include deposits in financial institutions, securities or other assets. Many of the contingent transactions reach maturity without any performance being required; therefore, the total committed amounts do not necessarily represent future cash requirements.</w:t>
      </w:r>
    </w:p>
    <w:p>
      <w:pPr>
        <w:spacing w:after="0" w:line="150" w:lineRule="exact"/>
        <w:rPr>
          <w:sz w:val="20"/>
          <w:szCs w:val="20"/>
          <w:color w:val="auto"/>
        </w:rPr>
      </w:pPr>
    </w:p>
    <w:p>
      <w:pPr>
        <w:ind w:left="340" w:right="80" w:hanging="231"/>
        <w:spacing w:after="0" w:line="287"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Lines of credit include consumer loans and other consumer loan facilities (credit card receivables) granted to customers and are cancelable upon related notice to the customer.</w:t>
      </w:r>
    </w:p>
    <w:p>
      <w:pPr>
        <w:spacing w:after="0" w:line="346" w:lineRule="exact"/>
        <w:rPr>
          <w:rFonts w:ascii="Arial" w:cs="Arial" w:eastAsia="Arial" w:hAnsi="Arial"/>
          <w:sz w:val="16"/>
          <w:szCs w:val="16"/>
          <w:color w:val="auto"/>
        </w:rPr>
      </w:pPr>
    </w:p>
    <w:p>
      <w:pPr>
        <w:ind w:left="5540" w:hanging="93"/>
        <w:spacing w:after="0"/>
        <w:tabs>
          <w:tab w:leader="none" w:pos="55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00"/>
          </w:cols>
          <w:pgMar w:left="320" w:top="835" w:right="37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2"/>
        </w:trPr>
        <w:tc>
          <w:tcPr>
            <w:tcW w:w="5280" w:type="dxa"/>
            <w:vAlign w:val="bottom"/>
            <w:gridSpan w:val="2"/>
          </w:tcPr>
          <w:p>
            <w:pPr>
              <w:spacing w:after="0"/>
              <w:rPr>
                <w:sz w:val="20"/>
                <w:szCs w:val="20"/>
                <w:color w:val="auto"/>
              </w:rPr>
            </w:pPr>
            <w:r>
              <w:rPr>
                <w:rFonts w:ascii="Arial" w:cs="Arial" w:eastAsia="Arial" w:hAnsi="Arial"/>
                <w:sz w:val="16"/>
                <w:szCs w:val="16"/>
                <w:b w:val="1"/>
                <w:bCs w:val="1"/>
                <w:color w:val="auto"/>
              </w:rPr>
              <w:t>22  INTEREST, SIMILAR INCOME AND SIMILAR EXPENSES</w:t>
            </w:r>
          </w:p>
        </w:tc>
        <w:tc>
          <w:tcPr>
            <w:tcW w:w="3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5280" w:type="dxa"/>
            <w:vAlign w:val="bottom"/>
            <w:gridSpan w:val="2"/>
          </w:tcPr>
          <w:p>
            <w:pPr>
              <w:ind w:left="300"/>
              <w:spacing w:after="0"/>
              <w:rPr>
                <w:sz w:val="20"/>
                <w:szCs w:val="20"/>
                <w:color w:val="auto"/>
              </w:rPr>
            </w:pPr>
            <w:r>
              <w:rPr>
                <w:rFonts w:ascii="Arial" w:cs="Arial" w:eastAsia="Arial" w:hAnsi="Arial"/>
                <w:sz w:val="16"/>
                <w:szCs w:val="16"/>
                <w:color w:val="auto"/>
              </w:rPr>
              <w:t>This item consists of the following:</w:t>
            </w:r>
          </w:p>
        </w:tc>
        <w:tc>
          <w:tcPr>
            <w:tcW w:w="3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660" w:type="dxa"/>
            <w:vAlign w:val="bottom"/>
            <w:gridSpan w:val="4"/>
          </w:tcPr>
          <w:p>
            <w:pPr>
              <w:jc w:val="right"/>
              <w:ind w:right="618"/>
              <w:spacing w:after="0"/>
              <w:rPr>
                <w:sz w:val="20"/>
                <w:szCs w:val="20"/>
                <w:color w:val="auto"/>
              </w:rPr>
            </w:pPr>
            <w:r>
              <w:rPr>
                <w:rFonts w:ascii="Arial" w:cs="Arial" w:eastAsia="Arial" w:hAnsi="Arial"/>
                <w:sz w:val="16"/>
                <w:szCs w:val="16"/>
                <w:b w:val="1"/>
                <w:bCs w:val="1"/>
                <w:color w:val="auto"/>
              </w:rPr>
              <w:t>For the three-month</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660" w:type="dxa"/>
            <w:vAlign w:val="bottom"/>
            <w:gridSpan w:val="4"/>
          </w:tcPr>
          <w:p>
            <w:pPr>
              <w:jc w:val="right"/>
              <w:ind w:right="438"/>
              <w:spacing w:after="0"/>
              <w:rPr>
                <w:sz w:val="20"/>
                <w:szCs w:val="20"/>
                <w:color w:val="auto"/>
              </w:rPr>
            </w:pPr>
            <w:r>
              <w:rPr>
                <w:rFonts w:ascii="Arial" w:cs="Arial" w:eastAsia="Arial" w:hAnsi="Arial"/>
                <w:sz w:val="16"/>
                <w:szCs w:val="16"/>
                <w:b w:val="1"/>
                <w:bCs w:val="1"/>
                <w:color w:val="auto"/>
              </w:rPr>
              <w:t>periods ended March 31,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Interest and similar income</w:t>
            </w:r>
          </w:p>
        </w:tc>
        <w:tc>
          <w:tcPr>
            <w:tcW w:w="30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Interest on loans</w:t>
            </w:r>
          </w:p>
        </w:tc>
        <w:tc>
          <w:tcPr>
            <w:tcW w:w="4440" w:type="dxa"/>
            <w:vAlign w:val="bottom"/>
            <w:gridSpan w:val="3"/>
          </w:tcPr>
          <w:p>
            <w:pPr>
              <w:jc w:val="right"/>
              <w:ind w:right="138"/>
              <w:spacing w:after="0"/>
              <w:rPr>
                <w:sz w:val="20"/>
                <w:szCs w:val="20"/>
                <w:color w:val="auto"/>
              </w:rPr>
            </w:pPr>
            <w:r>
              <w:rPr>
                <w:rFonts w:ascii="Arial" w:cs="Arial" w:eastAsia="Arial" w:hAnsi="Arial"/>
                <w:sz w:val="16"/>
                <w:szCs w:val="16"/>
                <w:color w:val="auto"/>
              </w:rPr>
              <w:t>2,770,351</w:t>
            </w:r>
          </w:p>
        </w:tc>
        <w:tc>
          <w:tcPr>
            <w:tcW w:w="1160" w:type="dxa"/>
            <w:vAlign w:val="bottom"/>
          </w:tcPr>
          <w:p>
            <w:pPr>
              <w:jc w:val="right"/>
              <w:spacing w:after="0"/>
              <w:rPr>
                <w:sz w:val="20"/>
                <w:szCs w:val="20"/>
                <w:color w:val="auto"/>
              </w:rPr>
            </w:pPr>
            <w:r>
              <w:rPr>
                <w:rFonts w:ascii="Arial" w:cs="Arial" w:eastAsia="Arial" w:hAnsi="Arial"/>
                <w:sz w:val="16"/>
                <w:szCs w:val="16"/>
                <w:color w:val="auto"/>
              </w:rPr>
              <w:t>2,562,286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w w:val="95"/>
              </w:rPr>
              <w:t>Interest on investments at fair value through other comprehensive income</w:t>
            </w:r>
          </w:p>
        </w:tc>
        <w:tc>
          <w:tcPr>
            <w:tcW w:w="4440" w:type="dxa"/>
            <w:vAlign w:val="bottom"/>
            <w:gridSpan w:val="3"/>
            <w:shd w:val="clear" w:color="auto" w:fill="CCEEFF"/>
          </w:tcPr>
          <w:p>
            <w:pPr>
              <w:jc w:val="right"/>
              <w:ind w:right="138"/>
              <w:spacing w:after="0"/>
              <w:rPr>
                <w:sz w:val="20"/>
                <w:szCs w:val="20"/>
                <w:color w:val="auto"/>
              </w:rPr>
            </w:pPr>
            <w:r>
              <w:rPr>
                <w:rFonts w:ascii="Arial" w:cs="Arial" w:eastAsia="Arial" w:hAnsi="Arial"/>
                <w:sz w:val="16"/>
                <w:szCs w:val="16"/>
                <w:color w:val="auto"/>
              </w:rPr>
              <w:t>261,189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269,603</w:t>
            </w:r>
          </w:p>
        </w:tc>
        <w:tc>
          <w:tcPr>
            <w:tcW w:w="10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Interest on investments at amortized cost</w:t>
            </w:r>
          </w:p>
        </w:tc>
        <w:tc>
          <w:tcPr>
            <w:tcW w:w="4440" w:type="dxa"/>
            <w:vAlign w:val="bottom"/>
            <w:gridSpan w:val="3"/>
          </w:tcPr>
          <w:p>
            <w:pPr>
              <w:jc w:val="right"/>
              <w:ind w:right="138"/>
              <w:spacing w:after="0"/>
              <w:rPr>
                <w:sz w:val="20"/>
                <w:szCs w:val="20"/>
                <w:color w:val="auto"/>
              </w:rPr>
            </w:pPr>
            <w:r>
              <w:rPr>
                <w:rFonts w:ascii="Arial" w:cs="Arial" w:eastAsia="Arial" w:hAnsi="Arial"/>
                <w:sz w:val="16"/>
                <w:szCs w:val="16"/>
                <w:color w:val="auto"/>
              </w:rPr>
              <w:t>50,848</w:t>
            </w:r>
          </w:p>
        </w:tc>
        <w:tc>
          <w:tcPr>
            <w:tcW w:w="1260" w:type="dxa"/>
            <w:vAlign w:val="bottom"/>
            <w:gridSpan w:val="2"/>
          </w:tcPr>
          <w:p>
            <w:pPr>
              <w:jc w:val="right"/>
              <w:ind w:right="18"/>
              <w:spacing w:after="0"/>
              <w:rPr>
                <w:sz w:val="20"/>
                <w:szCs w:val="20"/>
                <w:color w:val="auto"/>
              </w:rPr>
            </w:pPr>
            <w:r>
              <w:rPr>
                <w:rFonts w:ascii="Arial" w:cs="Arial" w:eastAsia="Arial" w:hAnsi="Arial"/>
                <w:sz w:val="16"/>
                <w:szCs w:val="16"/>
                <w:color w:val="auto"/>
              </w:rPr>
              <w:t>51,531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Interest on due from banks</w:t>
            </w:r>
          </w:p>
        </w:tc>
        <w:tc>
          <w:tcPr>
            <w:tcW w:w="4440" w:type="dxa"/>
            <w:vAlign w:val="bottom"/>
            <w:gridSpan w:val="3"/>
            <w:shd w:val="clear" w:color="auto" w:fill="CCEEFF"/>
          </w:tcPr>
          <w:p>
            <w:pPr>
              <w:jc w:val="right"/>
              <w:ind w:right="138"/>
              <w:spacing w:after="0"/>
              <w:rPr>
                <w:sz w:val="20"/>
                <w:szCs w:val="20"/>
                <w:color w:val="auto"/>
              </w:rPr>
            </w:pPr>
            <w:r>
              <w:rPr>
                <w:rFonts w:ascii="Arial" w:cs="Arial" w:eastAsia="Arial" w:hAnsi="Arial"/>
                <w:sz w:val="16"/>
                <w:szCs w:val="16"/>
                <w:color w:val="auto"/>
              </w:rPr>
              <w:t>49,113</w:t>
            </w:r>
          </w:p>
        </w:tc>
        <w:tc>
          <w:tcPr>
            <w:tcW w:w="12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86,699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Interest on investments at fair value through profit or loss</w:t>
            </w:r>
          </w:p>
        </w:tc>
        <w:tc>
          <w:tcPr>
            <w:tcW w:w="4440" w:type="dxa"/>
            <w:vAlign w:val="bottom"/>
            <w:gridSpan w:val="3"/>
          </w:tcPr>
          <w:p>
            <w:pPr>
              <w:jc w:val="right"/>
              <w:ind w:right="138"/>
              <w:spacing w:after="0"/>
              <w:rPr>
                <w:sz w:val="20"/>
                <w:szCs w:val="20"/>
                <w:color w:val="auto"/>
              </w:rPr>
            </w:pPr>
            <w:r>
              <w:rPr>
                <w:rFonts w:ascii="Arial" w:cs="Arial" w:eastAsia="Arial" w:hAnsi="Arial"/>
                <w:sz w:val="16"/>
                <w:szCs w:val="16"/>
                <w:color w:val="auto"/>
              </w:rPr>
              <w:t>10,697</w:t>
            </w:r>
          </w:p>
        </w:tc>
        <w:tc>
          <w:tcPr>
            <w:tcW w:w="1160" w:type="dxa"/>
            <w:vAlign w:val="bottom"/>
          </w:tcPr>
          <w:p>
            <w:pPr>
              <w:jc w:val="right"/>
              <w:spacing w:after="0"/>
              <w:rPr>
                <w:sz w:val="20"/>
                <w:szCs w:val="20"/>
                <w:color w:val="auto"/>
              </w:rPr>
            </w:pPr>
            <w:r>
              <w:rPr>
                <w:rFonts w:ascii="Arial" w:cs="Arial" w:eastAsia="Arial" w:hAnsi="Arial"/>
                <w:sz w:val="16"/>
                <w:szCs w:val="16"/>
                <w:color w:val="auto"/>
              </w:rPr>
              <w:t>11,654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Dividends received</w:t>
            </w:r>
          </w:p>
        </w:tc>
        <w:tc>
          <w:tcPr>
            <w:tcW w:w="4440" w:type="dxa"/>
            <w:vAlign w:val="bottom"/>
            <w:gridSpan w:val="3"/>
            <w:shd w:val="clear" w:color="auto" w:fill="CCEEFF"/>
          </w:tcPr>
          <w:p>
            <w:pPr>
              <w:jc w:val="right"/>
              <w:ind w:right="138"/>
              <w:spacing w:after="0"/>
              <w:rPr>
                <w:sz w:val="20"/>
                <w:szCs w:val="20"/>
                <w:color w:val="auto"/>
              </w:rPr>
            </w:pPr>
            <w:r>
              <w:rPr>
                <w:rFonts w:ascii="Arial" w:cs="Arial" w:eastAsia="Arial" w:hAnsi="Arial"/>
                <w:sz w:val="16"/>
                <w:szCs w:val="16"/>
                <w:color w:val="auto"/>
              </w:rPr>
              <w:t>7,879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9,667</w:t>
            </w:r>
          </w:p>
        </w:tc>
        <w:tc>
          <w:tcPr>
            <w:tcW w:w="10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Other interest and similar income</w:t>
            </w:r>
          </w:p>
        </w:tc>
        <w:tc>
          <w:tcPr>
            <w:tcW w:w="4440" w:type="dxa"/>
            <w:vAlign w:val="bottom"/>
            <w:gridSpan w:val="3"/>
          </w:tcPr>
          <w:p>
            <w:pPr>
              <w:jc w:val="right"/>
              <w:ind w:right="138"/>
              <w:spacing w:after="0"/>
              <w:rPr>
                <w:sz w:val="20"/>
                <w:szCs w:val="20"/>
                <w:color w:val="auto"/>
              </w:rPr>
            </w:pPr>
            <w:r>
              <w:rPr>
                <w:rFonts w:ascii="Arial" w:cs="Arial" w:eastAsia="Arial" w:hAnsi="Arial"/>
                <w:sz w:val="16"/>
                <w:szCs w:val="16"/>
                <w:color w:val="auto"/>
              </w:rPr>
              <w:t>13,532</w:t>
            </w:r>
          </w:p>
        </w:tc>
        <w:tc>
          <w:tcPr>
            <w:tcW w:w="1260" w:type="dxa"/>
            <w:vAlign w:val="bottom"/>
            <w:gridSpan w:val="2"/>
          </w:tcPr>
          <w:p>
            <w:pPr>
              <w:jc w:val="right"/>
              <w:ind w:right="18"/>
              <w:spacing w:after="0"/>
              <w:rPr>
                <w:sz w:val="20"/>
                <w:szCs w:val="20"/>
                <w:color w:val="auto"/>
              </w:rPr>
            </w:pPr>
            <w:r>
              <w:rPr>
                <w:rFonts w:ascii="Arial" w:cs="Arial" w:eastAsia="Arial" w:hAnsi="Arial"/>
                <w:sz w:val="16"/>
                <w:szCs w:val="16"/>
                <w:color w:val="auto"/>
              </w:rPr>
              <w:t>10,234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04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3,163,609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3,001,674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00" w:type="dxa"/>
            <w:vAlign w:val="bottom"/>
            <w:vMerge w:val="restart"/>
          </w:tcPr>
          <w:p>
            <w:pPr>
              <w:spacing w:after="0"/>
              <w:rPr>
                <w:sz w:val="15"/>
                <w:szCs w:val="15"/>
                <w:color w:val="auto"/>
              </w:rPr>
            </w:pPr>
          </w:p>
        </w:tc>
        <w:tc>
          <w:tcPr>
            <w:tcW w:w="49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0" w:type="dxa"/>
            <w:vAlign w:val="bottom"/>
            <w:vMerge w:val="continue"/>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Interest and similar expense</w:t>
            </w:r>
          </w:p>
        </w:tc>
        <w:tc>
          <w:tcPr>
            <w:tcW w:w="30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Interest on deposits and obligations</w:t>
            </w:r>
          </w:p>
        </w:tc>
        <w:tc>
          <w:tcPr>
            <w:tcW w:w="4440" w:type="dxa"/>
            <w:vAlign w:val="bottom"/>
            <w:gridSpan w:val="3"/>
          </w:tcPr>
          <w:p>
            <w:pPr>
              <w:jc w:val="right"/>
              <w:ind w:right="78"/>
              <w:spacing w:after="0"/>
              <w:rPr>
                <w:sz w:val="20"/>
                <w:szCs w:val="20"/>
                <w:color w:val="auto"/>
              </w:rPr>
            </w:pPr>
            <w:r>
              <w:rPr>
                <w:rFonts w:ascii="Arial" w:cs="Arial" w:eastAsia="Arial" w:hAnsi="Arial"/>
                <w:sz w:val="16"/>
                <w:szCs w:val="16"/>
                <w:color w:val="auto"/>
              </w:rPr>
              <w:t>(364,107)</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(353,834)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Interest on bonds and notes issued</w:t>
            </w:r>
          </w:p>
        </w:tc>
        <w:tc>
          <w:tcPr>
            <w:tcW w:w="4440" w:type="dxa"/>
            <w:vAlign w:val="bottom"/>
            <w:gridSpan w:val="3"/>
            <w:shd w:val="clear" w:color="auto" w:fill="CCEEFF"/>
          </w:tcPr>
          <w:p>
            <w:pPr>
              <w:jc w:val="right"/>
              <w:ind w:right="78"/>
              <w:spacing w:after="0"/>
              <w:rPr>
                <w:sz w:val="20"/>
                <w:szCs w:val="20"/>
                <w:color w:val="auto"/>
              </w:rPr>
            </w:pPr>
            <w:r>
              <w:rPr>
                <w:rFonts w:ascii="Arial" w:cs="Arial" w:eastAsia="Arial" w:hAnsi="Arial"/>
                <w:sz w:val="16"/>
                <w:szCs w:val="16"/>
                <w:color w:val="auto"/>
              </w:rPr>
              <w:t>(198,114)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(226,498)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Interest on due to banks and correspondents</w:t>
            </w:r>
          </w:p>
        </w:tc>
        <w:tc>
          <w:tcPr>
            <w:tcW w:w="4440" w:type="dxa"/>
            <w:vAlign w:val="bottom"/>
            <w:gridSpan w:val="3"/>
          </w:tcPr>
          <w:p>
            <w:pPr>
              <w:jc w:val="right"/>
              <w:ind w:right="78"/>
              <w:spacing w:after="0"/>
              <w:rPr>
                <w:sz w:val="20"/>
                <w:szCs w:val="20"/>
                <w:color w:val="auto"/>
              </w:rPr>
            </w:pPr>
            <w:r>
              <w:rPr>
                <w:rFonts w:ascii="Arial" w:cs="Arial" w:eastAsia="Arial" w:hAnsi="Arial"/>
                <w:sz w:val="16"/>
                <w:szCs w:val="16"/>
                <w:color w:val="auto"/>
              </w:rPr>
              <w:t>(137,126)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(145,303)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Deposit Insurance Fund</w:t>
            </w:r>
          </w:p>
        </w:tc>
        <w:tc>
          <w:tcPr>
            <w:tcW w:w="4440" w:type="dxa"/>
            <w:vAlign w:val="bottom"/>
            <w:gridSpan w:val="3"/>
            <w:shd w:val="clear" w:color="auto" w:fill="CCEEFF"/>
          </w:tcPr>
          <w:p>
            <w:pPr>
              <w:jc w:val="right"/>
              <w:ind w:right="78"/>
              <w:spacing w:after="0"/>
              <w:rPr>
                <w:sz w:val="20"/>
                <w:szCs w:val="20"/>
                <w:color w:val="auto"/>
              </w:rPr>
            </w:pPr>
            <w:r>
              <w:rPr>
                <w:rFonts w:ascii="Arial" w:cs="Arial" w:eastAsia="Arial" w:hAnsi="Arial"/>
                <w:sz w:val="16"/>
                <w:szCs w:val="16"/>
                <w:color w:val="auto"/>
              </w:rPr>
              <w:t>(40,030)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(36,857)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Interest on lease liabilities</w:t>
            </w:r>
          </w:p>
        </w:tc>
        <w:tc>
          <w:tcPr>
            <w:tcW w:w="4440" w:type="dxa"/>
            <w:vAlign w:val="bottom"/>
            <w:gridSpan w:val="3"/>
          </w:tcPr>
          <w:p>
            <w:pPr>
              <w:jc w:val="right"/>
              <w:ind w:right="78"/>
              <w:spacing w:after="0"/>
              <w:rPr>
                <w:sz w:val="20"/>
                <w:szCs w:val="20"/>
                <w:color w:val="auto"/>
              </w:rPr>
            </w:pPr>
            <w:r>
              <w:rPr>
                <w:rFonts w:ascii="Arial" w:cs="Arial" w:eastAsia="Arial" w:hAnsi="Arial"/>
                <w:sz w:val="16"/>
                <w:szCs w:val="16"/>
                <w:color w:val="auto"/>
              </w:rPr>
              <w:t>(7,803)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(5,985)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Other interest and similar expense</w:t>
            </w:r>
          </w:p>
        </w:tc>
        <w:tc>
          <w:tcPr>
            <w:tcW w:w="4440" w:type="dxa"/>
            <w:vAlign w:val="bottom"/>
            <w:gridSpan w:val="3"/>
            <w:shd w:val="clear" w:color="auto" w:fill="CCEEFF"/>
          </w:tcPr>
          <w:p>
            <w:pPr>
              <w:jc w:val="right"/>
              <w:ind w:right="78"/>
              <w:spacing w:after="0"/>
              <w:rPr>
                <w:sz w:val="20"/>
                <w:szCs w:val="20"/>
                <w:color w:val="auto"/>
              </w:rPr>
            </w:pPr>
            <w:r>
              <w:rPr>
                <w:rFonts w:ascii="Arial" w:cs="Arial" w:eastAsia="Arial" w:hAnsi="Arial"/>
                <w:sz w:val="16"/>
                <w:szCs w:val="16"/>
                <w:color w:val="auto"/>
              </w:rPr>
              <w:t>(37,129)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(36,029)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304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(784,309</w:t>
            </w:r>
          </w:p>
        </w:tc>
        <w:tc>
          <w:tcPr>
            <w:tcW w:w="220" w:type="dxa"/>
            <w:vAlign w:val="bottom"/>
          </w:tcPr>
          <w:p>
            <w:pPr>
              <w:jc w:val="right"/>
              <w:ind w:right="78"/>
              <w:spacing w:after="0"/>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(804,506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040" w:type="dxa"/>
            <w:vAlign w:val="bottom"/>
            <w:vMerge w:val="restart"/>
          </w:tcPr>
          <w:p>
            <w:pPr>
              <w:jc w:val="right"/>
              <w:ind w:right="2438"/>
              <w:spacing w:after="0"/>
              <w:rPr>
                <w:sz w:val="20"/>
                <w:szCs w:val="20"/>
                <w:color w:val="auto"/>
              </w:rPr>
            </w:pPr>
            <w:r>
              <w:rPr>
                <w:rFonts w:ascii="Arial" w:cs="Arial" w:eastAsia="Arial" w:hAnsi="Arial"/>
                <w:sz w:val="16"/>
                <w:szCs w:val="16"/>
                <w:color w:val="auto"/>
              </w:rPr>
              <w:t>-60-</w:t>
            </w: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3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35" w:right="3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20" w:type="dxa"/>
            <w:vAlign w:val="bottom"/>
            <w:gridSpan w:val="2"/>
          </w:tcPr>
          <w:p>
            <w:pPr>
              <w:spacing w:after="0"/>
              <w:rPr>
                <w:sz w:val="20"/>
                <w:szCs w:val="20"/>
                <w:color w:val="auto"/>
              </w:rPr>
            </w:pPr>
            <w:r>
              <w:rPr>
                <w:rFonts w:ascii="Arial" w:cs="Arial" w:eastAsia="Arial" w:hAnsi="Arial"/>
                <w:sz w:val="16"/>
                <w:szCs w:val="16"/>
                <w:b w:val="1"/>
                <w:bCs w:val="1"/>
                <w:color w:val="auto"/>
              </w:rPr>
              <w:t>23  COMMISSIONS AND FEES</w:t>
            </w:r>
          </w:p>
        </w:tc>
        <w:tc>
          <w:tcPr>
            <w:tcW w:w="3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6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rPr>
              <w:t>For the three-month periods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60" w:type="dxa"/>
            <w:vAlign w:val="bottom"/>
            <w:gridSpan w:val="4"/>
          </w:tcPr>
          <w:p>
            <w:pPr>
              <w:jc w:val="right"/>
              <w:ind w:right="800"/>
              <w:spacing w:after="0"/>
              <w:rPr>
                <w:sz w:val="20"/>
                <w:szCs w:val="20"/>
                <w:color w:val="auto"/>
              </w:rPr>
            </w:pPr>
            <w:r>
              <w:rPr>
                <w:rFonts w:ascii="Arial" w:cs="Arial" w:eastAsia="Arial" w:hAnsi="Arial"/>
                <w:sz w:val="16"/>
                <w:szCs w:val="16"/>
                <w:b w:val="1"/>
                <w:bCs w:val="1"/>
                <w:color w:val="auto"/>
              </w:rPr>
              <w:t>ended March 31,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w w:val="97"/>
              </w:rPr>
              <w:t>Maintenance of accounts, transfers and credit and debit card services</w:t>
            </w:r>
          </w:p>
        </w:tc>
        <w:tc>
          <w:tcPr>
            <w:tcW w:w="46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306,906</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319,612</w:t>
            </w:r>
          </w:p>
        </w:tc>
        <w:tc>
          <w:tcPr>
            <w:tcW w:w="10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Funds and equity management</w:t>
            </w:r>
          </w:p>
        </w:tc>
        <w:tc>
          <w:tcPr>
            <w:tcW w:w="4600" w:type="dxa"/>
            <w:vAlign w:val="bottom"/>
            <w:gridSpan w:val="3"/>
          </w:tcPr>
          <w:p>
            <w:pPr>
              <w:jc w:val="right"/>
              <w:ind w:right="220"/>
              <w:spacing w:after="0"/>
              <w:rPr>
                <w:sz w:val="20"/>
                <w:szCs w:val="20"/>
                <w:color w:val="auto"/>
              </w:rPr>
            </w:pPr>
            <w:r>
              <w:rPr>
                <w:rFonts w:ascii="Arial" w:cs="Arial" w:eastAsia="Arial" w:hAnsi="Arial"/>
                <w:sz w:val="16"/>
                <w:szCs w:val="16"/>
                <w:color w:val="auto"/>
              </w:rPr>
              <w:t>180,307</w:t>
            </w:r>
          </w:p>
        </w:tc>
        <w:tc>
          <w:tcPr>
            <w:tcW w:w="1160" w:type="dxa"/>
            <w:vAlign w:val="bottom"/>
          </w:tcPr>
          <w:p>
            <w:pPr>
              <w:jc w:val="right"/>
              <w:spacing w:after="0"/>
              <w:rPr>
                <w:sz w:val="20"/>
                <w:szCs w:val="20"/>
                <w:color w:val="auto"/>
              </w:rPr>
            </w:pPr>
            <w:r>
              <w:rPr>
                <w:rFonts w:ascii="Arial" w:cs="Arial" w:eastAsia="Arial" w:hAnsi="Arial"/>
                <w:sz w:val="16"/>
                <w:szCs w:val="16"/>
                <w:color w:val="auto"/>
              </w:rPr>
              <w:t>169,738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Contingent loans and foreign trade fees</w:t>
            </w:r>
          </w:p>
        </w:tc>
        <w:tc>
          <w:tcPr>
            <w:tcW w:w="46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90,596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87,439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Commissions for banking services</w:t>
            </w:r>
          </w:p>
        </w:tc>
        <w:tc>
          <w:tcPr>
            <w:tcW w:w="4600" w:type="dxa"/>
            <w:vAlign w:val="bottom"/>
            <w:gridSpan w:val="3"/>
          </w:tcPr>
          <w:p>
            <w:pPr>
              <w:jc w:val="right"/>
              <w:ind w:right="220"/>
              <w:spacing w:after="0"/>
              <w:rPr>
                <w:sz w:val="20"/>
                <w:szCs w:val="20"/>
                <w:color w:val="auto"/>
              </w:rPr>
            </w:pPr>
            <w:r>
              <w:rPr>
                <w:rFonts w:ascii="Arial" w:cs="Arial" w:eastAsia="Arial" w:hAnsi="Arial"/>
                <w:sz w:val="16"/>
                <w:szCs w:val="16"/>
                <w:color w:val="auto"/>
              </w:rPr>
              <w:t>57,878</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69,095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Brokerage, securities and custody services</w:t>
            </w:r>
          </w:p>
        </w:tc>
        <w:tc>
          <w:tcPr>
            <w:tcW w:w="46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22,122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13,091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Penalty commissions</w:t>
            </w:r>
          </w:p>
        </w:tc>
        <w:tc>
          <w:tcPr>
            <w:tcW w:w="4600" w:type="dxa"/>
            <w:vAlign w:val="bottom"/>
            <w:gridSpan w:val="3"/>
          </w:tcPr>
          <w:p>
            <w:pPr>
              <w:jc w:val="right"/>
              <w:ind w:right="220"/>
              <w:spacing w:after="0"/>
              <w:rPr>
                <w:sz w:val="20"/>
                <w:szCs w:val="20"/>
                <w:color w:val="auto"/>
              </w:rPr>
            </w:pPr>
            <w:r>
              <w:rPr>
                <w:rFonts w:ascii="Arial" w:cs="Arial" w:eastAsia="Arial" w:hAnsi="Arial"/>
                <w:sz w:val="16"/>
                <w:szCs w:val="16"/>
                <w:color w:val="auto"/>
              </w:rPr>
              <w:t>19,809</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20,304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Collection services</w:t>
            </w:r>
          </w:p>
        </w:tc>
        <w:tc>
          <w:tcPr>
            <w:tcW w:w="46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28,984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32,866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Others</w:t>
            </w:r>
          </w:p>
        </w:tc>
        <w:tc>
          <w:tcPr>
            <w:tcW w:w="4600" w:type="dxa"/>
            <w:vAlign w:val="bottom"/>
            <w:gridSpan w:val="3"/>
          </w:tcPr>
          <w:p>
            <w:pPr>
              <w:jc w:val="right"/>
              <w:ind w:right="220"/>
              <w:spacing w:after="0"/>
              <w:rPr>
                <w:sz w:val="20"/>
                <w:szCs w:val="20"/>
                <w:color w:val="auto"/>
              </w:rPr>
            </w:pPr>
            <w:r>
              <w:rPr>
                <w:rFonts w:ascii="Arial" w:cs="Arial" w:eastAsia="Arial" w:hAnsi="Arial"/>
                <w:sz w:val="16"/>
                <w:szCs w:val="16"/>
                <w:color w:val="auto"/>
              </w:rPr>
              <w:t>53,727</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70,777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320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760,329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782,922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200" w:type="dxa"/>
            <w:vAlign w:val="bottom"/>
            <w:vMerge w:val="restart"/>
          </w:tcPr>
          <w:p>
            <w:pPr>
              <w:jc w:val="right"/>
              <w:ind w:right="2438"/>
              <w:spacing w:after="0"/>
              <w:rPr>
                <w:sz w:val="20"/>
                <w:szCs w:val="20"/>
                <w:color w:val="auto"/>
              </w:rPr>
            </w:pPr>
            <w:r>
              <w:rPr>
                <w:rFonts w:ascii="Arial" w:cs="Arial" w:eastAsia="Arial" w:hAnsi="Arial"/>
                <w:sz w:val="16"/>
                <w:szCs w:val="16"/>
                <w:color w:val="auto"/>
              </w:rPr>
              <w:t>-61-</w:t>
            </w: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3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35" w:right="3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 w:type="dxa"/>
            <w:vAlign w:val="bottom"/>
          </w:tcPr>
          <w:p>
            <w:pPr>
              <w:jc w:val="right"/>
              <w:ind w:right="318"/>
              <w:spacing w:after="0"/>
              <w:rPr>
                <w:sz w:val="20"/>
                <w:szCs w:val="20"/>
                <w:color w:val="auto"/>
              </w:rPr>
            </w:pPr>
            <w:r>
              <w:rPr>
                <w:rFonts w:ascii="Arial" w:cs="Arial" w:eastAsia="Arial" w:hAnsi="Arial"/>
                <w:sz w:val="16"/>
                <w:szCs w:val="16"/>
                <w:b w:val="1"/>
                <w:bCs w:val="1"/>
                <w:color w:val="auto"/>
                <w:w w:val="78"/>
              </w:rPr>
              <w:t>24</w:t>
            </w:r>
          </w:p>
        </w:tc>
        <w:tc>
          <w:tcPr>
            <w:tcW w:w="77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GAIN ON SECURITIES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3"/>
        </w:trPr>
        <w:tc>
          <w:tcPr>
            <w:tcW w:w="560" w:type="dxa"/>
            <w:vAlign w:val="bottom"/>
          </w:tcPr>
          <w:p>
            <w:pPr>
              <w:spacing w:after="0"/>
              <w:rPr>
                <w:sz w:val="24"/>
                <w:szCs w:val="24"/>
                <w:color w:val="auto"/>
              </w:rPr>
            </w:pPr>
          </w:p>
        </w:tc>
        <w:tc>
          <w:tcPr>
            <w:tcW w:w="7720" w:type="dxa"/>
            <w:vAlign w:val="bottom"/>
            <w:gridSpan w:val="2"/>
          </w:tcPr>
          <w:p>
            <w:pPr>
              <w:ind w:left="20"/>
              <w:spacing w:after="0"/>
              <w:rPr>
                <w:sz w:val="20"/>
                <w:szCs w:val="20"/>
                <w:color w:val="auto"/>
              </w:rPr>
            </w:pPr>
            <w:r>
              <w:rPr>
                <w:rFonts w:ascii="Arial" w:cs="Arial" w:eastAsia="Arial" w:hAnsi="Arial"/>
                <w:sz w:val="16"/>
                <w:szCs w:val="16"/>
                <w:color w:val="auto"/>
              </w:rPr>
              <w:t>This item consists of the following:</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56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5"/>
          </w:tcPr>
          <w:p>
            <w:pPr>
              <w:jc w:val="right"/>
              <w:ind w:right="320"/>
              <w:spacing w:after="0"/>
              <w:rPr>
                <w:sz w:val="20"/>
                <w:szCs w:val="20"/>
                <w:color w:val="auto"/>
              </w:rPr>
            </w:pPr>
            <w:r>
              <w:rPr>
                <w:rFonts w:ascii="Arial" w:cs="Arial" w:eastAsia="Arial" w:hAnsi="Arial"/>
                <w:sz w:val="16"/>
                <w:szCs w:val="16"/>
                <w:b w:val="1"/>
                <w:bCs w:val="1"/>
                <w:color w:val="auto"/>
                <w:w w:val="96"/>
              </w:rPr>
              <w:t>For the three-month periods</w:t>
            </w:r>
          </w:p>
        </w:tc>
      </w:tr>
      <w:tr>
        <w:trPr>
          <w:trHeight w:val="212"/>
        </w:trPr>
        <w:tc>
          <w:tcPr>
            <w:tcW w:w="56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ended March 31,</w:t>
            </w:r>
          </w:p>
        </w:tc>
      </w:tr>
      <w:tr>
        <w:trPr>
          <w:trHeight w:val="189"/>
        </w:trPr>
        <w:tc>
          <w:tcPr>
            <w:tcW w:w="56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8"/>
              <w:spacing w:after="0"/>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8"/>
              <w:spacing w:after="0"/>
              <w:rPr>
                <w:sz w:val="20"/>
                <w:szCs w:val="20"/>
                <w:color w:val="auto"/>
              </w:rPr>
            </w:pPr>
            <w:r>
              <w:rPr>
                <w:rFonts w:ascii="Arial" w:cs="Arial" w:eastAsia="Arial" w:hAnsi="Arial"/>
                <w:sz w:val="16"/>
                <w:szCs w:val="16"/>
                <w:b w:val="1"/>
                <w:bCs w:val="1"/>
                <w:color w:val="auto"/>
                <w:w w:val="95"/>
              </w:rPr>
              <w:t>S/(000)</w:t>
            </w:r>
          </w:p>
        </w:tc>
        <w:tc>
          <w:tcPr>
            <w:tcW w:w="100" w:type="dxa"/>
            <w:vAlign w:val="bottom"/>
          </w:tcPr>
          <w:p>
            <w:pPr>
              <w:spacing w:after="0"/>
              <w:rPr>
                <w:sz w:val="16"/>
                <w:szCs w:val="16"/>
                <w:color w:val="auto"/>
              </w:rPr>
            </w:pPr>
          </w:p>
        </w:tc>
      </w:tr>
      <w:tr>
        <w:trPr>
          <w:trHeight w:val="197"/>
        </w:trPr>
        <w:tc>
          <w:tcPr>
            <w:tcW w:w="560" w:type="dxa"/>
            <w:vAlign w:val="bottom"/>
          </w:tcPr>
          <w:p>
            <w:pPr>
              <w:spacing w:after="0"/>
              <w:rPr>
                <w:sz w:val="17"/>
                <w:szCs w:val="17"/>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gain on investments at fair value through other comprehensive income</w:t>
            </w:r>
          </w:p>
        </w:tc>
        <w:tc>
          <w:tcPr>
            <w:tcW w:w="120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37,531</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50,588</w:t>
            </w:r>
          </w:p>
        </w:tc>
      </w:tr>
      <w:tr>
        <w:trPr>
          <w:trHeight w:val="197"/>
        </w:trPr>
        <w:tc>
          <w:tcPr>
            <w:tcW w:w="560" w:type="dxa"/>
            <w:vAlign w:val="bottom"/>
          </w:tcPr>
          <w:p>
            <w:pPr>
              <w:spacing w:after="0"/>
              <w:rPr>
                <w:sz w:val="17"/>
                <w:szCs w:val="17"/>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Net gain in associates (*)</w:t>
            </w:r>
          </w:p>
        </w:tc>
        <w:tc>
          <w:tcPr>
            <w:tcW w:w="1200" w:type="dxa"/>
            <w:vAlign w:val="bottom"/>
            <w:gridSpan w:val="2"/>
          </w:tcPr>
          <w:p>
            <w:pPr>
              <w:jc w:val="right"/>
              <w:ind w:right="118"/>
              <w:spacing w:after="0"/>
              <w:rPr>
                <w:sz w:val="20"/>
                <w:szCs w:val="20"/>
                <w:color w:val="auto"/>
              </w:rPr>
            </w:pPr>
            <w:r>
              <w:rPr>
                <w:rFonts w:ascii="Arial" w:cs="Arial" w:eastAsia="Arial" w:hAnsi="Arial"/>
                <w:sz w:val="16"/>
                <w:szCs w:val="16"/>
                <w:color w:val="auto"/>
              </w:rPr>
              <w:t>19,225</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14,786</w:t>
            </w:r>
          </w:p>
        </w:tc>
      </w:tr>
      <w:tr>
        <w:trPr>
          <w:trHeight w:val="197"/>
        </w:trPr>
        <w:tc>
          <w:tcPr>
            <w:tcW w:w="560" w:type="dxa"/>
            <w:vAlign w:val="bottom"/>
          </w:tcPr>
          <w:p>
            <w:pPr>
              <w:spacing w:after="0"/>
              <w:rPr>
                <w:sz w:val="17"/>
                <w:szCs w:val="17"/>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gain on financial assets at fair value through profit or loss (**)</w:t>
            </w:r>
          </w:p>
        </w:tc>
        <w:tc>
          <w:tcPr>
            <w:tcW w:w="12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(146,020)</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62,235</w:t>
            </w:r>
          </w:p>
        </w:tc>
      </w:tr>
      <w:tr>
        <w:trPr>
          <w:trHeight w:val="197"/>
        </w:trPr>
        <w:tc>
          <w:tcPr>
            <w:tcW w:w="560" w:type="dxa"/>
            <w:vAlign w:val="bottom"/>
          </w:tcPr>
          <w:p>
            <w:pPr>
              <w:spacing w:after="0"/>
              <w:rPr>
                <w:sz w:val="17"/>
                <w:szCs w:val="17"/>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w w:val="98"/>
              </w:rPr>
              <w:t>(Provision) recovery of credit loss for investments at fair value through other comprehensive income, Note 6(b)</w:t>
            </w:r>
          </w:p>
        </w:tc>
        <w:tc>
          <w:tcPr>
            <w:tcW w:w="1200" w:type="dxa"/>
            <w:vAlign w:val="bottom"/>
            <w:gridSpan w:val="2"/>
          </w:tcPr>
          <w:p>
            <w:pPr>
              <w:jc w:val="right"/>
              <w:ind w:right="58"/>
              <w:spacing w:after="0"/>
              <w:rPr>
                <w:sz w:val="20"/>
                <w:szCs w:val="20"/>
                <w:color w:val="auto"/>
              </w:rPr>
            </w:pPr>
            <w:r>
              <w:rPr>
                <w:rFonts w:ascii="Arial" w:cs="Arial" w:eastAsia="Arial" w:hAnsi="Arial"/>
                <w:sz w:val="16"/>
                <w:szCs w:val="16"/>
                <w:color w:val="auto"/>
              </w:rPr>
              <w:t>(11,752)</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r>
      <w:tr>
        <w:trPr>
          <w:trHeight w:val="209"/>
        </w:trPr>
        <w:tc>
          <w:tcPr>
            <w:tcW w:w="5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Others</w:t>
            </w:r>
          </w:p>
        </w:tc>
        <w:tc>
          <w:tcPr>
            <w:tcW w:w="12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650</w:t>
            </w:r>
          </w:p>
        </w:tc>
      </w:tr>
      <w:tr>
        <w:trPr>
          <w:trHeight w:val="213"/>
        </w:trPr>
        <w:tc>
          <w:tcPr>
            <w:tcW w:w="56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(101,408</w:t>
            </w:r>
          </w:p>
        </w:tc>
        <w:tc>
          <w:tcPr>
            <w:tcW w:w="200" w:type="dxa"/>
            <w:vAlign w:val="bottom"/>
          </w:tcPr>
          <w:p>
            <w:pPr>
              <w:jc w:val="right"/>
              <w:ind w:right="58"/>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128,331</w:t>
            </w:r>
          </w:p>
        </w:tc>
        <w:tc>
          <w:tcPr>
            <w:tcW w:w="10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880" w:right="140" w:hanging="292"/>
        <w:spacing w:after="0" w:line="287" w:lineRule="auto"/>
        <w:tabs>
          <w:tab w:leader="none" w:pos="8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It mainly includes the gain of its associated “Entidad Prestadora de Salud” for approximately S/17.2 million during the three-month period ended March, 31 2020 (S/8.9 million during the three-month period ended March 31, 2019).</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variation is due to the realized losses mainly from the following Subsidiaries occurred during the three-month period ended March 31, 2020:</w:t>
      </w:r>
    </w:p>
    <w:p>
      <w:pPr>
        <w:spacing w:after="0" w:line="209" w:lineRule="exact"/>
        <w:rPr>
          <w:sz w:val="20"/>
          <w:szCs w:val="20"/>
          <w:color w:val="auto"/>
        </w:rPr>
      </w:pPr>
    </w:p>
    <w:p>
      <w:pPr>
        <w:ind w:left="1160" w:hanging="277"/>
        <w:spacing w:after="0" w:line="271" w:lineRule="auto"/>
        <w:tabs>
          <w:tab w:leader="none" w:pos="11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Banco de Crédito del Perú for approximately S/64.9 million, of which: (i) S/63.0 million correspond to realized losses on the sale of financial investments mainly from the Peruvian Treasury bonds (S/37.1 million), Colombian Treasury bonds (S/19.8 million), Colombian Treasury bonds (S/3.3 million) and Mexico Treasury bonds (S/2.5 million), y (ii) S/1.9 million correspond to unrealized losses.</w:t>
      </w:r>
    </w:p>
    <w:p>
      <w:pPr>
        <w:spacing w:after="0" w:line="162" w:lineRule="exact"/>
        <w:rPr>
          <w:rFonts w:ascii="Arial" w:cs="Arial" w:eastAsia="Arial" w:hAnsi="Arial"/>
          <w:sz w:val="16"/>
          <w:szCs w:val="16"/>
          <w:color w:val="auto"/>
        </w:rPr>
      </w:pPr>
    </w:p>
    <w:p>
      <w:pPr>
        <w:ind w:left="1160" w:right="60" w:hanging="277"/>
        <w:spacing w:after="0" w:line="266" w:lineRule="auto"/>
        <w:tabs>
          <w:tab w:leader="none" w:pos="11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Prima AFP for approximately S/62.1 million. It corresponds to the drop of the restricted mutual funds, which was due to the reduction in the profitability of Fund 1 in 10.93 percent, Fund 2 in 13.22 percent and Fund 3 in 18.90 percent, all of this caused by the global crisis of COVID-19. These losses are mainly concentrated in fixed income government securities from emerging countries (Fund 1), and in emerging variable income and local variable income assets (Fund 2 and Fund 3).</w:t>
      </w:r>
    </w:p>
    <w:p>
      <w:pPr>
        <w:spacing w:after="0" w:line="363" w:lineRule="exact"/>
        <w:rPr>
          <w:rFonts w:ascii="Arial" w:cs="Arial" w:eastAsia="Arial" w:hAnsi="Arial"/>
          <w:sz w:val="16"/>
          <w:szCs w:val="16"/>
          <w:color w:val="auto"/>
        </w:rPr>
      </w:pPr>
    </w:p>
    <w:p>
      <w:pPr>
        <w:ind w:left="5540" w:hanging="93"/>
        <w:spacing w:after="0"/>
        <w:tabs>
          <w:tab w:leader="none" w:pos="5540" w:val="left"/>
        </w:tabs>
        <w:numPr>
          <w:ilvl w:val="1"/>
          <w:numId w:val="68"/>
        </w:numPr>
        <w:rPr>
          <w:rFonts w:ascii="Arial" w:cs="Arial" w:eastAsia="Arial" w:hAnsi="Arial"/>
          <w:sz w:val="16"/>
          <w:szCs w:val="16"/>
          <w:color w:val="auto"/>
        </w:rPr>
      </w:pPr>
      <w:r>
        <w:rPr>
          <w:rFonts w:ascii="Arial" w:cs="Arial" w:eastAsia="Arial" w:hAnsi="Arial"/>
          <w:sz w:val="16"/>
          <w:szCs w:val="16"/>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68" w:name="page69"/>
    <w:bookmarkEnd w:id="68"/>
    <w:p>
      <w:pPr>
        <w:ind w:left="582" w:hanging="582"/>
        <w:spacing w:after="0"/>
        <w:tabs>
          <w:tab w:leader="none" w:pos="582"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NET PREMIUMS EARNED</w:t>
      </w:r>
    </w:p>
    <w:p>
      <w:pPr>
        <w:spacing w:after="0" w:line="213" w:lineRule="exact"/>
        <w:rPr>
          <w:rFonts w:ascii="Arial" w:cs="Arial" w:eastAsia="Arial" w:hAnsi="Arial"/>
          <w:sz w:val="16"/>
          <w:szCs w:val="16"/>
          <w:b w:val="1"/>
          <w:bCs w:val="1"/>
          <w:color w:val="auto"/>
        </w:rPr>
      </w:pPr>
    </w:p>
    <w:p>
      <w:pPr>
        <w:ind w:left="942" w:hanging="352"/>
        <w:spacing w:after="0"/>
        <w:tabs>
          <w:tab w:leader="none" w:pos="942" w:val="left"/>
        </w:tabs>
        <w:numPr>
          <w:ilvl w:val="1"/>
          <w:numId w:val="69"/>
        </w:numPr>
        <w:rPr>
          <w:rFonts w:ascii="Arial" w:cs="Arial" w:eastAsia="Arial" w:hAnsi="Arial"/>
          <w:sz w:val="15"/>
          <w:szCs w:val="15"/>
          <w:color w:val="auto"/>
        </w:rPr>
      </w:pPr>
      <w:r>
        <w:rPr>
          <w:rFonts w:ascii="Arial" w:cs="Arial" w:eastAsia="Arial" w:hAnsi="Arial"/>
          <w:sz w:val="15"/>
          <w:szCs w:val="15"/>
          <w:color w:val="auto"/>
        </w:rPr>
        <w:t>This item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62"/>
        <w:spacing w:after="0"/>
        <w:rPr>
          <w:sz w:val="20"/>
          <w:szCs w:val="20"/>
          <w:color w:val="auto"/>
        </w:rPr>
      </w:pPr>
      <w:r>
        <w:rPr>
          <w:rFonts w:ascii="Arial" w:cs="Arial" w:eastAsia="Arial" w:hAnsi="Arial"/>
          <w:sz w:val="15"/>
          <w:szCs w:val="15"/>
          <w:b w:val="1"/>
          <w:bCs w:val="1"/>
          <w:color w:val="auto"/>
        </w:rPr>
        <w:t>For the three-month</w:t>
      </w:r>
    </w:p>
    <w:p>
      <w:pPr>
        <w:spacing w:after="0" w:line="19" w:lineRule="exact"/>
        <w:rPr>
          <w:sz w:val="20"/>
          <w:szCs w:val="20"/>
          <w:color w:val="auto"/>
        </w:rPr>
      </w:pPr>
    </w:p>
    <w:p>
      <w:pPr>
        <w:ind w:left="562"/>
        <w:spacing w:after="0"/>
        <w:rPr>
          <w:sz w:val="20"/>
          <w:szCs w:val="20"/>
          <w:color w:val="auto"/>
        </w:rPr>
      </w:pPr>
      <w:r>
        <w:rPr>
          <w:rFonts w:ascii="Arial" w:cs="Arial" w:eastAsia="Arial" w:hAnsi="Arial"/>
          <w:sz w:val="15"/>
          <w:szCs w:val="15"/>
          <w:b w:val="1"/>
          <w:bCs w:val="1"/>
          <w:color w:val="auto"/>
        </w:rPr>
        <w:t>periods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10795</wp:posOffset>
            </wp:positionV>
            <wp:extent cx="172402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24025" cy="7620"/>
                    </a:xfrm>
                    <a:prstGeom prst="rect">
                      <a:avLst/>
                    </a:prstGeom>
                    <a:noFill/>
                  </pic:spPr>
                </pic:pic>
              </a:graphicData>
            </a:graphic>
          </wp:anchor>
        </w:drawing>
      </w:r>
    </w:p>
    <w:p>
      <w:pPr>
        <w:spacing w:after="0" w:line="181" w:lineRule="exact"/>
        <w:rPr>
          <w:sz w:val="20"/>
          <w:szCs w:val="20"/>
          <w:color w:val="auto"/>
        </w:rPr>
      </w:pPr>
    </w:p>
    <w:p>
      <w:pPr>
        <w:ind w:left="562"/>
        <w:spacing w:after="0"/>
        <w:rPr>
          <w:sz w:val="20"/>
          <w:szCs w:val="20"/>
          <w:color w:val="auto"/>
        </w:rPr>
      </w:pPr>
      <w:r>
        <w:rPr>
          <w:rFonts w:ascii="Arial" w:cs="Arial" w:eastAsia="Arial" w:hAnsi="Arial"/>
          <w:sz w:val="15"/>
          <w:szCs w:val="15"/>
          <w:b w:val="1"/>
          <w:bCs w:val="1"/>
          <w:color w:val="auto"/>
        </w:rPr>
        <w:t>2020</w:t>
      </w:r>
    </w:p>
    <w:p>
      <w:pPr>
        <w:spacing w:after="0" w:line="19" w:lineRule="exact"/>
        <w:rPr>
          <w:sz w:val="20"/>
          <w:szCs w:val="20"/>
          <w:color w:val="auto"/>
        </w:rPr>
      </w:pPr>
    </w:p>
    <w:p>
      <w:pPr>
        <w:ind w:left="562"/>
        <w:spacing w:after="0"/>
        <w:rPr>
          <w:sz w:val="20"/>
          <w:szCs w:val="20"/>
          <w:color w:val="auto"/>
        </w:rPr>
      </w:pPr>
      <w:r>
        <w:rPr>
          <w:rFonts w:ascii="Arial" w:cs="Arial" w:eastAsia="Arial" w:hAnsi="Arial"/>
          <w:sz w:val="15"/>
          <w:szCs w:val="15"/>
          <w:color w:val="auto"/>
        </w:rPr>
        <w:t>Life insurance</w:t>
      </w:r>
    </w:p>
    <w:p>
      <w:pPr>
        <w:spacing w:after="0" w:line="12" w:lineRule="exact"/>
        <w:rPr>
          <w:sz w:val="20"/>
          <w:szCs w:val="20"/>
          <w:color w:val="auto"/>
        </w:rPr>
      </w:pPr>
    </w:p>
    <w:p>
      <w:pPr>
        <w:ind w:left="562"/>
        <w:spacing w:after="0"/>
        <w:rPr>
          <w:sz w:val="20"/>
          <w:szCs w:val="20"/>
          <w:color w:val="auto"/>
        </w:rPr>
      </w:pPr>
      <w:r>
        <w:rPr>
          <w:rFonts w:ascii="Arial" w:cs="Arial" w:eastAsia="Arial" w:hAnsi="Arial"/>
          <w:sz w:val="15"/>
          <w:szCs w:val="15"/>
          <w:color w:val="auto"/>
        </w:rPr>
        <w:t>Health insurance</w:t>
      </w:r>
    </w:p>
    <w:p>
      <w:pPr>
        <w:spacing w:after="0" w:line="12" w:lineRule="exact"/>
        <w:rPr>
          <w:sz w:val="20"/>
          <w:szCs w:val="20"/>
          <w:color w:val="auto"/>
        </w:rPr>
      </w:pPr>
    </w:p>
    <w:p>
      <w:pPr>
        <w:ind w:left="562"/>
        <w:spacing w:after="0"/>
        <w:rPr>
          <w:sz w:val="20"/>
          <w:szCs w:val="20"/>
          <w:color w:val="auto"/>
        </w:rPr>
      </w:pPr>
      <w:r>
        <w:rPr>
          <w:rFonts w:ascii="Arial" w:cs="Arial" w:eastAsia="Arial" w:hAnsi="Arial"/>
          <w:sz w:val="15"/>
          <w:szCs w:val="15"/>
          <w:color w:val="auto"/>
        </w:rPr>
        <w:t>General insurance</w:t>
      </w:r>
    </w:p>
    <w:p>
      <w:pPr>
        <w:spacing w:after="0" w:line="29" w:lineRule="exact"/>
        <w:rPr>
          <w:sz w:val="20"/>
          <w:szCs w:val="20"/>
          <w:color w:val="auto"/>
        </w:rPr>
      </w:pPr>
    </w:p>
    <w:p>
      <w:pPr>
        <w:ind w:left="562"/>
        <w:spacing w:after="0"/>
        <w:rPr>
          <w:sz w:val="20"/>
          <w:szCs w:val="20"/>
          <w:color w:val="auto"/>
        </w:rPr>
      </w:pPr>
      <w:r>
        <w:rPr>
          <w:rFonts w:ascii="Arial" w:cs="Arial" w:eastAsia="Arial" w:hAnsi="Arial"/>
          <w:sz w:val="15"/>
          <w:szCs w:val="15"/>
          <w:b w:val="1"/>
          <w:bCs w:val="1"/>
          <w:color w:val="auto"/>
        </w:rPr>
        <w:t>Total</w:t>
      </w:r>
    </w:p>
    <w:p>
      <w:pPr>
        <w:spacing w:after="0" w:line="257" w:lineRule="exact"/>
        <w:rPr>
          <w:sz w:val="20"/>
          <w:szCs w:val="20"/>
          <w:color w:val="auto"/>
        </w:rPr>
      </w:pPr>
    </w:p>
    <w:p>
      <w:pPr>
        <w:ind w:left="562"/>
        <w:spacing w:after="0"/>
        <w:rPr>
          <w:sz w:val="20"/>
          <w:szCs w:val="20"/>
          <w:color w:val="auto"/>
        </w:rPr>
      </w:pPr>
      <w:r>
        <w:rPr>
          <w:rFonts w:ascii="Arial" w:cs="Arial" w:eastAsia="Arial" w:hAnsi="Arial"/>
          <w:sz w:val="15"/>
          <w:szCs w:val="15"/>
          <w:b w:val="1"/>
          <w:bCs w:val="1"/>
          <w:color w:val="auto"/>
        </w:rPr>
        <w:t>2019</w:t>
      </w:r>
    </w:p>
    <w:p>
      <w:pPr>
        <w:spacing w:after="0" w:line="19" w:lineRule="exact"/>
        <w:rPr>
          <w:sz w:val="20"/>
          <w:szCs w:val="20"/>
          <w:color w:val="auto"/>
        </w:rPr>
      </w:pPr>
    </w:p>
    <w:p>
      <w:pPr>
        <w:ind w:left="562"/>
        <w:spacing w:after="0"/>
        <w:rPr>
          <w:sz w:val="20"/>
          <w:szCs w:val="20"/>
          <w:color w:val="auto"/>
        </w:rPr>
      </w:pPr>
      <w:r>
        <w:rPr>
          <w:rFonts w:ascii="Arial" w:cs="Arial" w:eastAsia="Arial" w:hAnsi="Arial"/>
          <w:sz w:val="15"/>
          <w:szCs w:val="15"/>
          <w:color w:val="auto"/>
        </w:rPr>
        <w:t>Life insurance</w:t>
      </w:r>
    </w:p>
    <w:p>
      <w:pPr>
        <w:spacing w:after="0" w:line="12" w:lineRule="exact"/>
        <w:rPr>
          <w:sz w:val="20"/>
          <w:szCs w:val="20"/>
          <w:color w:val="auto"/>
        </w:rPr>
      </w:pPr>
    </w:p>
    <w:p>
      <w:pPr>
        <w:ind w:left="562"/>
        <w:spacing w:after="0"/>
        <w:rPr>
          <w:sz w:val="20"/>
          <w:szCs w:val="20"/>
          <w:color w:val="auto"/>
        </w:rPr>
      </w:pPr>
      <w:r>
        <w:rPr>
          <w:rFonts w:ascii="Arial" w:cs="Arial" w:eastAsia="Arial" w:hAnsi="Arial"/>
          <w:sz w:val="15"/>
          <w:szCs w:val="15"/>
          <w:color w:val="auto"/>
        </w:rPr>
        <w:t>Health insurance</w:t>
      </w:r>
    </w:p>
    <w:p>
      <w:pPr>
        <w:spacing w:after="0" w:line="12" w:lineRule="exact"/>
        <w:rPr>
          <w:sz w:val="20"/>
          <w:szCs w:val="20"/>
          <w:color w:val="auto"/>
        </w:rPr>
      </w:pPr>
    </w:p>
    <w:p>
      <w:pPr>
        <w:ind w:left="562"/>
        <w:spacing w:after="0"/>
        <w:rPr>
          <w:sz w:val="20"/>
          <w:szCs w:val="20"/>
          <w:color w:val="auto"/>
        </w:rPr>
      </w:pPr>
      <w:r>
        <w:rPr>
          <w:rFonts w:ascii="Arial" w:cs="Arial" w:eastAsia="Arial" w:hAnsi="Arial"/>
          <w:sz w:val="15"/>
          <w:szCs w:val="15"/>
          <w:color w:val="auto"/>
        </w:rPr>
        <w:t>General insurance</w:t>
      </w:r>
    </w:p>
    <w:p>
      <w:pPr>
        <w:spacing w:after="0" w:line="29" w:lineRule="exact"/>
        <w:rPr>
          <w:sz w:val="20"/>
          <w:szCs w:val="20"/>
          <w:color w:val="auto"/>
        </w:rPr>
      </w:pPr>
    </w:p>
    <w:p>
      <w:pPr>
        <w:ind w:left="562"/>
        <w:spacing w:after="0"/>
        <w:rPr>
          <w:sz w:val="20"/>
          <w:szCs w:val="20"/>
          <w:color w:val="auto"/>
        </w:rPr>
      </w:pP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5"/>
                <w:szCs w:val="15"/>
                <w:b w:val="1"/>
                <w:bCs w:val="1"/>
                <w:color w:val="auto"/>
                <w:w w:val="85"/>
              </w:rPr>
              <w:t>Results of</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4"/>
          </w:tcPr>
          <w:p>
            <w:pPr>
              <w:jc w:val="center"/>
              <w:ind w:right="260"/>
              <w:spacing w:after="0"/>
              <w:rPr>
                <w:sz w:val="20"/>
                <w:szCs w:val="20"/>
                <w:color w:val="auto"/>
              </w:rPr>
            </w:pPr>
            <w:r>
              <w:rPr>
                <w:rFonts w:ascii="Arial" w:cs="Arial" w:eastAsia="Arial" w:hAnsi="Arial"/>
                <w:sz w:val="15"/>
                <w:szCs w:val="15"/>
                <w:b w:val="1"/>
                <w:bCs w:val="1"/>
                <w:color w:val="auto"/>
                <w:w w:val="84"/>
              </w:rPr>
              <w:t>financial assets</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4"/>
          </w:tcPr>
          <w:p>
            <w:pPr>
              <w:jc w:val="center"/>
              <w:ind w:right="260"/>
              <w:spacing w:after="0"/>
              <w:rPr>
                <w:sz w:val="20"/>
                <w:szCs w:val="20"/>
                <w:color w:val="auto"/>
              </w:rPr>
            </w:pPr>
            <w:r>
              <w:rPr>
                <w:rFonts w:ascii="Arial" w:cs="Arial" w:eastAsia="Arial" w:hAnsi="Arial"/>
                <w:sz w:val="15"/>
                <w:szCs w:val="15"/>
                <w:b w:val="1"/>
                <w:bCs w:val="1"/>
                <w:color w:val="auto"/>
                <w:w w:val="88"/>
              </w:rPr>
              <w:t>designated at fair</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5"/>
                <w:szCs w:val="15"/>
                <w:b w:val="1"/>
                <w:bCs w:val="1"/>
                <w:color w:val="auto"/>
              </w:rPr>
              <w:t>Total gross</w:t>
            </w:r>
          </w:p>
        </w:tc>
        <w:tc>
          <w:tcPr>
            <w:tcW w:w="80" w:type="dxa"/>
            <w:vAlign w:val="bottom"/>
          </w:tcPr>
          <w:p>
            <w:pPr>
              <w:spacing w:after="0"/>
              <w:rPr>
                <w:sz w:val="16"/>
                <w:szCs w:val="16"/>
                <w:color w:val="auto"/>
              </w:rPr>
            </w:pPr>
          </w:p>
        </w:tc>
        <w:tc>
          <w:tcPr>
            <w:tcW w:w="1500" w:type="dxa"/>
            <w:vAlign w:val="bottom"/>
            <w:gridSpan w:val="3"/>
          </w:tcPr>
          <w:p>
            <w:pPr>
              <w:jc w:val="center"/>
              <w:ind w:right="98"/>
              <w:spacing w:after="0"/>
              <w:rPr>
                <w:sz w:val="20"/>
                <w:szCs w:val="20"/>
                <w:color w:val="auto"/>
              </w:rPr>
            </w:pPr>
            <w:r>
              <w:rPr>
                <w:rFonts w:ascii="Arial" w:cs="Arial" w:eastAsia="Arial" w:hAnsi="Arial"/>
                <w:sz w:val="15"/>
                <w:szCs w:val="15"/>
                <w:b w:val="1"/>
                <w:bCs w:val="1"/>
                <w:color w:val="auto"/>
                <w:w w:val="86"/>
              </w:rPr>
              <w:t>Premiums ceded</w:t>
            </w:r>
          </w:p>
        </w:tc>
        <w:tc>
          <w:tcPr>
            <w:tcW w:w="120" w:type="dxa"/>
            <w:vAlign w:val="bottom"/>
          </w:tcPr>
          <w:p>
            <w:pPr>
              <w:spacing w:after="0"/>
              <w:rPr>
                <w:sz w:val="16"/>
                <w:szCs w:val="16"/>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5"/>
                <w:szCs w:val="15"/>
                <w:b w:val="1"/>
                <w:bCs w:val="1"/>
                <w:color w:val="auto"/>
                <w:w w:val="86"/>
              </w:rPr>
              <w:t>value through</w:t>
            </w:r>
          </w:p>
        </w:tc>
        <w:tc>
          <w:tcPr>
            <w:tcW w:w="7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0"/>
              </w:rPr>
              <w:t>Total Net</w:t>
            </w:r>
          </w:p>
        </w:tc>
        <w:tc>
          <w:tcPr>
            <w:tcW w:w="0" w:type="dxa"/>
            <w:vAlign w:val="bottom"/>
          </w:tcPr>
          <w:p>
            <w:pPr>
              <w:spacing w:after="0"/>
              <w:rPr>
                <w:sz w:val="1"/>
                <w:szCs w:val="1"/>
                <w:color w:val="auto"/>
              </w:rPr>
            </w:pPr>
          </w:p>
        </w:tc>
      </w:tr>
      <w:tr>
        <w:trPr>
          <w:trHeight w:val="184"/>
        </w:trPr>
        <w:tc>
          <w:tcPr>
            <w:tcW w:w="108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88"/>
              </w:rPr>
              <w:t>Gross written</w:t>
            </w:r>
          </w:p>
        </w:tc>
        <w:tc>
          <w:tcPr>
            <w:tcW w:w="1180" w:type="dxa"/>
            <w:vAlign w:val="bottom"/>
            <w:gridSpan w:val="3"/>
          </w:tcPr>
          <w:p>
            <w:pPr>
              <w:jc w:val="center"/>
              <w:ind w:right="58"/>
              <w:spacing w:after="0"/>
              <w:rPr>
                <w:sz w:val="20"/>
                <w:szCs w:val="20"/>
                <w:color w:val="auto"/>
              </w:rPr>
            </w:pPr>
            <w:r>
              <w:rPr>
                <w:rFonts w:ascii="Arial" w:cs="Arial" w:eastAsia="Arial" w:hAnsi="Arial"/>
                <w:sz w:val="15"/>
                <w:szCs w:val="15"/>
                <w:b w:val="1"/>
                <w:bCs w:val="1"/>
                <w:color w:val="auto"/>
                <w:w w:val="85"/>
              </w:rPr>
              <w:t>Technical reserve</w:t>
            </w:r>
          </w:p>
        </w:tc>
        <w:tc>
          <w:tcPr>
            <w:tcW w:w="1280" w:type="dxa"/>
            <w:vAlign w:val="bottom"/>
            <w:gridSpan w:val="4"/>
          </w:tcPr>
          <w:p>
            <w:pPr>
              <w:jc w:val="right"/>
              <w:ind w:right="80"/>
              <w:spacing w:after="0"/>
              <w:rPr>
                <w:sz w:val="20"/>
                <w:szCs w:val="20"/>
                <w:color w:val="auto"/>
              </w:rPr>
            </w:pPr>
            <w:r>
              <w:rPr>
                <w:rFonts w:ascii="Arial" w:cs="Arial" w:eastAsia="Arial" w:hAnsi="Arial"/>
                <w:sz w:val="15"/>
                <w:szCs w:val="15"/>
                <w:b w:val="1"/>
                <w:bCs w:val="1"/>
                <w:color w:val="auto"/>
                <w:w w:val="94"/>
              </w:rPr>
              <w:t>written premiums</w:t>
            </w:r>
          </w:p>
        </w:tc>
        <w:tc>
          <w:tcPr>
            <w:tcW w:w="80" w:type="dxa"/>
            <w:vAlign w:val="bottom"/>
          </w:tcPr>
          <w:p>
            <w:pPr>
              <w:spacing w:after="0"/>
              <w:rPr>
                <w:sz w:val="16"/>
                <w:szCs w:val="16"/>
                <w:color w:val="auto"/>
              </w:rPr>
            </w:pPr>
          </w:p>
        </w:tc>
        <w:tc>
          <w:tcPr>
            <w:tcW w:w="1500" w:type="dxa"/>
            <w:vAlign w:val="bottom"/>
            <w:gridSpan w:val="3"/>
          </w:tcPr>
          <w:p>
            <w:pPr>
              <w:jc w:val="center"/>
              <w:ind w:right="118"/>
              <w:spacing w:after="0"/>
              <w:rPr>
                <w:sz w:val="20"/>
                <w:szCs w:val="20"/>
                <w:color w:val="auto"/>
              </w:rPr>
            </w:pPr>
            <w:r>
              <w:rPr>
                <w:rFonts w:ascii="Arial" w:cs="Arial" w:eastAsia="Arial" w:hAnsi="Arial"/>
                <w:sz w:val="15"/>
                <w:szCs w:val="15"/>
                <w:b w:val="1"/>
                <w:bCs w:val="1"/>
                <w:color w:val="auto"/>
                <w:w w:val="86"/>
              </w:rPr>
              <w:t>to reinsurers and</w:t>
            </w:r>
          </w:p>
        </w:tc>
        <w:tc>
          <w:tcPr>
            <w:tcW w:w="1400" w:type="dxa"/>
            <w:vAlign w:val="bottom"/>
            <w:gridSpan w:val="4"/>
          </w:tcPr>
          <w:p>
            <w:pPr>
              <w:jc w:val="center"/>
              <w:ind w:right="260"/>
              <w:spacing w:after="0"/>
              <w:rPr>
                <w:sz w:val="20"/>
                <w:szCs w:val="20"/>
                <w:color w:val="auto"/>
              </w:rPr>
            </w:pPr>
            <w:r>
              <w:rPr>
                <w:rFonts w:ascii="Arial" w:cs="Arial" w:eastAsia="Arial" w:hAnsi="Arial"/>
                <w:sz w:val="15"/>
                <w:szCs w:val="15"/>
                <w:b w:val="1"/>
                <w:bCs w:val="1"/>
                <w:color w:val="auto"/>
                <w:w w:val="87"/>
              </w:rPr>
              <w:t>profit and loss,</w:t>
            </w:r>
          </w:p>
        </w:tc>
        <w:tc>
          <w:tcPr>
            <w:tcW w:w="7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9"/>
              </w:rPr>
              <w:t>premiums</w:t>
            </w: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premiums</w:t>
            </w:r>
          </w:p>
        </w:tc>
        <w:tc>
          <w:tcPr>
            <w:tcW w:w="1180" w:type="dxa"/>
            <w:vAlign w:val="bottom"/>
            <w:gridSpan w:val="3"/>
          </w:tcPr>
          <w:p>
            <w:pPr>
              <w:jc w:val="center"/>
              <w:ind w:right="58"/>
              <w:spacing w:after="0"/>
              <w:rPr>
                <w:sz w:val="20"/>
                <w:szCs w:val="20"/>
                <w:color w:val="auto"/>
              </w:rPr>
            </w:pPr>
            <w:r>
              <w:rPr>
                <w:rFonts w:ascii="Arial" w:cs="Arial" w:eastAsia="Arial" w:hAnsi="Arial"/>
                <w:sz w:val="15"/>
                <w:szCs w:val="15"/>
                <w:b w:val="1"/>
                <w:bCs w:val="1"/>
                <w:color w:val="auto"/>
                <w:w w:val="91"/>
              </w:rPr>
              <w:t>adjustment(*)</w:t>
            </w:r>
          </w:p>
        </w:tc>
        <w:tc>
          <w:tcPr>
            <w:tcW w:w="1200" w:type="dxa"/>
            <w:vAlign w:val="bottom"/>
            <w:gridSpan w:val="3"/>
          </w:tcPr>
          <w:p>
            <w:pPr>
              <w:jc w:val="right"/>
              <w:ind w:right="366"/>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6"/>
                <w:szCs w:val="16"/>
                <w:color w:val="auto"/>
              </w:rPr>
            </w:pPr>
          </w:p>
        </w:tc>
        <w:tc>
          <w:tcPr>
            <w:tcW w:w="1580" w:type="dxa"/>
            <w:vAlign w:val="bottom"/>
            <w:gridSpan w:val="4"/>
          </w:tcPr>
          <w:p>
            <w:pPr>
              <w:jc w:val="center"/>
              <w:ind w:right="38"/>
              <w:spacing w:after="0"/>
              <w:rPr>
                <w:sz w:val="20"/>
                <w:szCs w:val="20"/>
                <w:color w:val="auto"/>
              </w:rPr>
            </w:pPr>
            <w:r>
              <w:rPr>
                <w:rFonts w:ascii="Arial" w:cs="Arial" w:eastAsia="Arial" w:hAnsi="Arial"/>
                <w:sz w:val="15"/>
                <w:szCs w:val="15"/>
                <w:b w:val="1"/>
                <w:bCs w:val="1"/>
                <w:color w:val="auto"/>
                <w:w w:val="92"/>
              </w:rPr>
              <w:t>co-insurers, net (***)</w:t>
            </w:r>
          </w:p>
        </w:tc>
        <w:tc>
          <w:tcPr>
            <w:tcW w:w="120" w:type="dxa"/>
            <w:vAlign w:val="bottom"/>
          </w:tcPr>
          <w:p>
            <w:pPr>
              <w:spacing w:after="0"/>
              <w:rPr>
                <w:sz w:val="16"/>
                <w:szCs w:val="16"/>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5"/>
                <w:szCs w:val="15"/>
                <w:b w:val="1"/>
                <w:bCs w:val="1"/>
                <w:color w:val="auto"/>
                <w:w w:val="91"/>
              </w:rPr>
              <w:t>Note 8</w:t>
            </w:r>
          </w:p>
        </w:tc>
        <w:tc>
          <w:tcPr>
            <w:tcW w:w="7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9"/>
              </w:rPr>
              <w:t>earned</w:t>
            </w:r>
          </w:p>
        </w:tc>
        <w:tc>
          <w:tcPr>
            <w:tcW w:w="0" w:type="dxa"/>
            <w:vAlign w:val="bottom"/>
          </w:tcPr>
          <w:p>
            <w:pPr>
              <w:spacing w:after="0"/>
              <w:rPr>
                <w:sz w:val="1"/>
                <w:szCs w:val="1"/>
                <w:color w:val="auto"/>
              </w:rPr>
            </w:pPr>
          </w:p>
        </w:tc>
      </w:tr>
      <w:tr>
        <w:trPr>
          <w:trHeight w:val="186"/>
        </w:trPr>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89"/>
              </w:rPr>
              <w:t>S/(000)</w:t>
            </w: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26"/>
              <w:spacing w:after="0"/>
              <w:rPr>
                <w:sz w:val="20"/>
                <w:szCs w:val="20"/>
                <w:color w:val="auto"/>
              </w:rPr>
            </w:pPr>
            <w:r>
              <w:rPr>
                <w:rFonts w:ascii="Arial" w:cs="Arial" w:eastAsia="Arial" w:hAnsi="Arial"/>
                <w:sz w:val="15"/>
                <w:szCs w:val="15"/>
                <w:b w:val="1"/>
                <w:bCs w:val="1"/>
                <w:color w:val="auto"/>
                <w:w w:val="89"/>
              </w:rPr>
              <w:t>S/(000)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46"/>
              <w:spacing w:after="0"/>
              <w:rPr>
                <w:sz w:val="20"/>
                <w:szCs w:val="20"/>
                <w:color w:val="auto"/>
              </w:rPr>
            </w:pPr>
            <w:r>
              <w:rPr>
                <w:rFonts w:ascii="Arial" w:cs="Arial" w:eastAsia="Arial" w:hAnsi="Arial"/>
                <w:sz w:val="15"/>
                <w:szCs w:val="15"/>
                <w:b w:val="1"/>
                <w:bCs w:val="1"/>
                <w:color w:val="auto"/>
                <w:w w:val="93"/>
              </w:rPr>
              <w:t>S/(000)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86"/>
              <w:spacing w:after="0"/>
              <w:rPr>
                <w:sz w:val="20"/>
                <w:szCs w:val="20"/>
                <w:color w:val="auto"/>
              </w:rPr>
            </w:pPr>
            <w:r>
              <w:rPr>
                <w:rFonts w:ascii="Arial" w:cs="Arial" w:eastAsia="Arial" w:hAnsi="Arial"/>
                <w:sz w:val="15"/>
                <w:szCs w:val="15"/>
                <w:b w:val="1"/>
                <w:bCs w:val="1"/>
                <w:color w:val="auto"/>
                <w:w w:val="93"/>
              </w:rPr>
              <w:t>S/(000)</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26"/>
              <w:spacing w:after="0"/>
              <w:rPr>
                <w:sz w:val="20"/>
                <w:szCs w:val="20"/>
                <w:color w:val="auto"/>
              </w:rPr>
            </w:pPr>
            <w:r>
              <w:rPr>
                <w:rFonts w:ascii="Arial" w:cs="Arial" w:eastAsia="Arial" w:hAnsi="Arial"/>
                <w:sz w:val="15"/>
                <w:szCs w:val="15"/>
                <w:b w:val="1"/>
                <w:bCs w:val="1"/>
                <w:color w:val="auto"/>
                <w:w w:val="89"/>
              </w:rPr>
              <w:t>S/(000)</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center"/>
              <w:ind w:right="6"/>
              <w:spacing w:after="0"/>
              <w:rPr>
                <w:sz w:val="20"/>
                <w:szCs w:val="20"/>
                <w:color w:val="auto"/>
              </w:rPr>
            </w:pPr>
            <w:r>
              <w:rPr>
                <w:rFonts w:ascii="Arial" w:cs="Arial" w:eastAsia="Arial" w:hAnsi="Arial"/>
                <w:sz w:val="15"/>
                <w:szCs w:val="15"/>
                <w:b w:val="1"/>
                <w:bCs w:val="1"/>
                <w:color w:val="auto"/>
                <w:w w:val="89"/>
              </w:rPr>
              <w:t>S/(000)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3"/>
        </w:trPr>
        <w:tc>
          <w:tcPr>
            <w:tcW w:w="1080" w:type="dxa"/>
            <w:vAlign w:val="bottom"/>
            <w:gridSpan w:val="3"/>
          </w:tcPr>
          <w:p>
            <w:pPr>
              <w:jc w:val="right"/>
              <w:ind w:right="180"/>
              <w:spacing w:after="0"/>
              <w:rPr>
                <w:sz w:val="20"/>
                <w:szCs w:val="20"/>
                <w:color w:val="auto"/>
              </w:rPr>
            </w:pPr>
            <w:r>
              <w:rPr>
                <w:rFonts w:ascii="Arial" w:cs="Arial" w:eastAsia="Arial" w:hAnsi="Arial"/>
                <w:sz w:val="15"/>
                <w:szCs w:val="15"/>
                <w:color w:val="auto"/>
              </w:rPr>
              <w:t>512,946</w:t>
            </w:r>
          </w:p>
        </w:tc>
        <w:tc>
          <w:tcPr>
            <w:tcW w:w="1180" w:type="dxa"/>
            <w:vAlign w:val="bottom"/>
            <w:gridSpan w:val="3"/>
          </w:tcPr>
          <w:p>
            <w:pPr>
              <w:jc w:val="right"/>
              <w:ind w:right="18"/>
              <w:spacing w:after="0"/>
              <w:rPr>
                <w:sz w:val="20"/>
                <w:szCs w:val="20"/>
                <w:color w:val="auto"/>
              </w:rPr>
            </w:pPr>
            <w:r>
              <w:rPr>
                <w:rFonts w:ascii="Arial" w:cs="Arial" w:eastAsia="Arial" w:hAnsi="Arial"/>
                <w:sz w:val="15"/>
                <w:szCs w:val="15"/>
                <w:color w:val="auto"/>
              </w:rPr>
              <w:t>(48,867)</w:t>
            </w:r>
          </w:p>
        </w:tc>
        <w:tc>
          <w:tcPr>
            <w:tcW w:w="1200" w:type="dxa"/>
            <w:vAlign w:val="bottom"/>
            <w:gridSpan w:val="3"/>
          </w:tcPr>
          <w:p>
            <w:pPr>
              <w:jc w:val="right"/>
              <w:spacing w:after="0"/>
              <w:rPr>
                <w:sz w:val="20"/>
                <w:szCs w:val="20"/>
                <w:color w:val="auto"/>
              </w:rPr>
            </w:pPr>
            <w:r>
              <w:rPr>
                <w:rFonts w:ascii="Arial" w:cs="Arial" w:eastAsia="Arial" w:hAnsi="Arial"/>
                <w:sz w:val="15"/>
                <w:szCs w:val="15"/>
                <w:color w:val="auto"/>
              </w:rPr>
              <w:t>464,079</w:t>
            </w:r>
          </w:p>
        </w:tc>
        <w:tc>
          <w:tcPr>
            <w:tcW w:w="80" w:type="dxa"/>
            <w:vAlign w:val="bottom"/>
          </w:tcPr>
          <w:p>
            <w:pPr>
              <w:spacing w:after="0"/>
              <w:rPr>
                <w:sz w:val="24"/>
                <w:szCs w:val="24"/>
                <w:color w:val="auto"/>
              </w:rPr>
            </w:pPr>
          </w:p>
        </w:tc>
        <w:tc>
          <w:tcPr>
            <w:tcW w:w="1580" w:type="dxa"/>
            <w:vAlign w:val="bottom"/>
            <w:gridSpan w:val="4"/>
          </w:tcPr>
          <w:p>
            <w:pPr>
              <w:jc w:val="right"/>
              <w:ind w:right="78"/>
              <w:spacing w:after="0"/>
              <w:rPr>
                <w:sz w:val="20"/>
                <w:szCs w:val="20"/>
                <w:color w:val="auto"/>
              </w:rPr>
            </w:pPr>
            <w:r>
              <w:rPr>
                <w:rFonts w:ascii="Arial" w:cs="Arial" w:eastAsia="Arial" w:hAnsi="Arial"/>
                <w:sz w:val="15"/>
                <w:szCs w:val="15"/>
                <w:color w:val="auto"/>
              </w:rPr>
              <w:t>(30,130)</w:t>
            </w:r>
          </w:p>
        </w:tc>
        <w:tc>
          <w:tcPr>
            <w:tcW w:w="1300" w:type="dxa"/>
            <w:vAlign w:val="bottom"/>
            <w:gridSpan w:val="3"/>
          </w:tcPr>
          <w:p>
            <w:pPr>
              <w:jc w:val="right"/>
              <w:ind w:right="78"/>
              <w:spacing w:after="0"/>
              <w:rPr>
                <w:sz w:val="20"/>
                <w:szCs w:val="20"/>
                <w:color w:val="auto"/>
              </w:rPr>
            </w:pPr>
            <w:r>
              <w:rPr>
                <w:rFonts w:ascii="Arial" w:cs="Arial" w:eastAsia="Arial" w:hAnsi="Arial"/>
                <w:sz w:val="15"/>
                <w:szCs w:val="15"/>
                <w:color w:val="auto"/>
              </w:rPr>
              <w:t>(98,243)</w:t>
            </w:r>
          </w:p>
        </w:tc>
        <w:tc>
          <w:tcPr>
            <w:tcW w:w="1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335,706</w:t>
            </w:r>
          </w:p>
        </w:tc>
        <w:tc>
          <w:tcPr>
            <w:tcW w:w="0" w:type="dxa"/>
            <w:vAlign w:val="bottom"/>
          </w:tcPr>
          <w:p>
            <w:pPr>
              <w:spacing w:after="0"/>
              <w:rPr>
                <w:sz w:val="1"/>
                <w:szCs w:val="1"/>
                <w:color w:val="auto"/>
              </w:rPr>
            </w:pPr>
          </w:p>
        </w:tc>
      </w:tr>
      <w:tr>
        <w:trPr>
          <w:trHeight w:val="184"/>
        </w:trPr>
        <w:tc>
          <w:tcPr>
            <w:tcW w:w="1080" w:type="dxa"/>
            <w:vAlign w:val="bottom"/>
            <w:gridSpan w:val="3"/>
          </w:tcPr>
          <w:p>
            <w:pPr>
              <w:jc w:val="right"/>
              <w:ind w:right="180"/>
              <w:spacing w:after="0"/>
              <w:rPr>
                <w:sz w:val="20"/>
                <w:szCs w:val="20"/>
                <w:color w:val="auto"/>
              </w:rPr>
            </w:pPr>
            <w:r>
              <w:rPr>
                <w:rFonts w:ascii="Arial" w:cs="Arial" w:eastAsia="Arial" w:hAnsi="Arial"/>
                <w:sz w:val="15"/>
                <w:szCs w:val="15"/>
                <w:color w:val="auto"/>
              </w:rPr>
              <w:t>147,757</w:t>
            </w:r>
          </w:p>
        </w:tc>
        <w:tc>
          <w:tcPr>
            <w:tcW w:w="1180" w:type="dxa"/>
            <w:vAlign w:val="bottom"/>
            <w:gridSpan w:val="3"/>
          </w:tcPr>
          <w:p>
            <w:pPr>
              <w:jc w:val="right"/>
              <w:ind w:right="18"/>
              <w:spacing w:after="0"/>
              <w:rPr>
                <w:sz w:val="20"/>
                <w:szCs w:val="20"/>
                <w:color w:val="auto"/>
              </w:rPr>
            </w:pPr>
            <w:r>
              <w:rPr>
                <w:rFonts w:ascii="Arial" w:cs="Arial" w:eastAsia="Arial" w:hAnsi="Arial"/>
                <w:sz w:val="15"/>
                <w:szCs w:val="15"/>
                <w:color w:val="auto"/>
              </w:rPr>
              <w:t>(8,427)</w:t>
            </w:r>
          </w:p>
        </w:tc>
        <w:tc>
          <w:tcPr>
            <w:tcW w:w="1200" w:type="dxa"/>
            <w:vAlign w:val="bottom"/>
            <w:gridSpan w:val="3"/>
          </w:tcPr>
          <w:p>
            <w:pPr>
              <w:jc w:val="right"/>
              <w:spacing w:after="0"/>
              <w:rPr>
                <w:sz w:val="20"/>
                <w:szCs w:val="20"/>
                <w:color w:val="auto"/>
              </w:rPr>
            </w:pPr>
            <w:r>
              <w:rPr>
                <w:rFonts w:ascii="Arial" w:cs="Arial" w:eastAsia="Arial" w:hAnsi="Arial"/>
                <w:sz w:val="15"/>
                <w:szCs w:val="15"/>
                <w:color w:val="auto"/>
              </w:rPr>
              <w:t>139,330</w:t>
            </w:r>
          </w:p>
        </w:tc>
        <w:tc>
          <w:tcPr>
            <w:tcW w:w="80" w:type="dxa"/>
            <w:vAlign w:val="bottom"/>
          </w:tcPr>
          <w:p>
            <w:pPr>
              <w:spacing w:after="0"/>
              <w:rPr>
                <w:sz w:val="16"/>
                <w:szCs w:val="16"/>
                <w:color w:val="auto"/>
              </w:rPr>
            </w:pPr>
          </w:p>
        </w:tc>
        <w:tc>
          <w:tcPr>
            <w:tcW w:w="1580" w:type="dxa"/>
            <w:vAlign w:val="bottom"/>
            <w:gridSpan w:val="4"/>
          </w:tcPr>
          <w:p>
            <w:pPr>
              <w:jc w:val="right"/>
              <w:ind w:right="78"/>
              <w:spacing w:after="0"/>
              <w:rPr>
                <w:sz w:val="20"/>
                <w:szCs w:val="20"/>
                <w:color w:val="auto"/>
              </w:rPr>
            </w:pPr>
            <w:r>
              <w:rPr>
                <w:rFonts w:ascii="Arial" w:cs="Arial" w:eastAsia="Arial" w:hAnsi="Arial"/>
                <w:sz w:val="15"/>
                <w:szCs w:val="15"/>
                <w:color w:val="auto"/>
              </w:rPr>
              <w:t>(3,281)</w:t>
            </w:r>
          </w:p>
        </w:tc>
        <w:tc>
          <w:tcPr>
            <w:tcW w:w="120" w:type="dxa"/>
            <w:vAlign w:val="bottom"/>
          </w:tcPr>
          <w:p>
            <w:pPr>
              <w:spacing w:after="0"/>
              <w:rPr>
                <w:sz w:val="16"/>
                <w:szCs w:val="16"/>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136,049</w:t>
            </w:r>
          </w:p>
        </w:tc>
        <w:tc>
          <w:tcPr>
            <w:tcW w:w="0" w:type="dxa"/>
            <w:vAlign w:val="bottom"/>
          </w:tcPr>
          <w:p>
            <w:pPr>
              <w:spacing w:after="0"/>
              <w:rPr>
                <w:sz w:val="1"/>
                <w:szCs w:val="1"/>
                <w:color w:val="auto"/>
              </w:rPr>
            </w:pPr>
          </w:p>
        </w:tc>
      </w:tr>
      <w:tr>
        <w:trPr>
          <w:trHeight w:val="202"/>
        </w:trPr>
        <w:tc>
          <w:tcPr>
            <w:tcW w:w="1080" w:type="dxa"/>
            <w:vAlign w:val="bottom"/>
            <w:gridSpan w:val="3"/>
          </w:tcPr>
          <w:p>
            <w:pPr>
              <w:jc w:val="right"/>
              <w:ind w:right="180"/>
              <w:spacing w:after="0"/>
              <w:rPr>
                <w:sz w:val="20"/>
                <w:szCs w:val="20"/>
                <w:color w:val="auto"/>
              </w:rPr>
            </w:pPr>
            <w:r>
              <w:rPr>
                <w:rFonts w:ascii="Arial" w:cs="Arial" w:eastAsia="Arial" w:hAnsi="Arial"/>
                <w:sz w:val="15"/>
                <w:szCs w:val="15"/>
                <w:color w:val="auto"/>
              </w:rPr>
              <w:t>240,850</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35,373</w:t>
            </w:r>
          </w:p>
        </w:tc>
        <w:tc>
          <w:tcPr>
            <w:tcW w:w="10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5"/>
                <w:szCs w:val="15"/>
                <w:color w:val="auto"/>
              </w:rPr>
              <w:t>276,223</w:t>
            </w:r>
          </w:p>
        </w:tc>
        <w:tc>
          <w:tcPr>
            <w:tcW w:w="80" w:type="dxa"/>
            <w:vAlign w:val="bottom"/>
          </w:tcPr>
          <w:p>
            <w:pPr>
              <w:spacing w:after="0"/>
              <w:rPr>
                <w:sz w:val="17"/>
                <w:szCs w:val="17"/>
                <w:color w:val="auto"/>
              </w:rPr>
            </w:pPr>
          </w:p>
        </w:tc>
        <w:tc>
          <w:tcPr>
            <w:tcW w:w="1580" w:type="dxa"/>
            <w:vAlign w:val="bottom"/>
            <w:gridSpan w:val="4"/>
          </w:tcPr>
          <w:p>
            <w:pPr>
              <w:jc w:val="right"/>
              <w:ind w:right="78"/>
              <w:spacing w:after="0"/>
              <w:rPr>
                <w:sz w:val="20"/>
                <w:szCs w:val="20"/>
                <w:color w:val="auto"/>
              </w:rPr>
            </w:pPr>
            <w:r>
              <w:rPr>
                <w:rFonts w:ascii="Arial" w:cs="Arial" w:eastAsia="Arial" w:hAnsi="Arial"/>
                <w:sz w:val="15"/>
                <w:szCs w:val="15"/>
                <w:color w:val="auto"/>
              </w:rPr>
              <w:t>(120,043)</w:t>
            </w:r>
          </w:p>
        </w:tc>
        <w:tc>
          <w:tcPr>
            <w:tcW w:w="120" w:type="dxa"/>
            <w:vAlign w:val="bottom"/>
          </w:tcPr>
          <w:p>
            <w:pPr>
              <w:spacing w:after="0"/>
              <w:rPr>
                <w:sz w:val="17"/>
                <w:szCs w:val="17"/>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156,180</w:t>
            </w: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jc w:val="right"/>
              <w:ind w:right="18"/>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jc w:val="right"/>
              <w:ind w:right="78"/>
              <w:spacing w:after="0"/>
              <w:rPr>
                <w:sz w:val="20"/>
                <w:szCs w:val="20"/>
                <w:color w:val="auto"/>
              </w:rPr>
            </w:pPr>
            <w:r>
              <w:rPr>
                <w:rFonts w:ascii="Arial" w:cs="Arial" w:eastAsia="Arial" w:hAnsi="Arial"/>
                <w:sz w:val="8"/>
                <w:szCs w:val="8"/>
                <w:color w:val="auto"/>
                <w:w w:val="73"/>
              </w:rPr>
              <w:t>)</w:t>
            </w:r>
          </w:p>
        </w:tc>
        <w:tc>
          <w:tcPr>
            <w:tcW w:w="114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jc w:val="right"/>
              <w:ind w:right="7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901,553</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(21,921</w:t>
            </w:r>
          </w:p>
        </w:tc>
        <w:tc>
          <w:tcPr>
            <w:tcW w:w="100" w:type="dxa"/>
            <w:vAlign w:val="bottom"/>
            <w:vMerge w:val="continue"/>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5"/>
                <w:szCs w:val="15"/>
                <w:color w:val="auto"/>
              </w:rPr>
              <w:t>879,632</w:t>
            </w:r>
          </w:p>
        </w:tc>
        <w:tc>
          <w:tcPr>
            <w:tcW w:w="8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(153,454</w:t>
            </w:r>
          </w:p>
        </w:tc>
        <w:tc>
          <w:tcPr>
            <w:tcW w:w="160" w:type="dxa"/>
            <w:vAlign w:val="bottom"/>
            <w:vMerge w:val="continue"/>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(98,243</w:t>
            </w:r>
          </w:p>
        </w:tc>
        <w:tc>
          <w:tcPr>
            <w:tcW w:w="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627,935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1080" w:type="dxa"/>
            <w:vAlign w:val="bottom"/>
            <w:gridSpan w:val="3"/>
          </w:tcPr>
          <w:p>
            <w:pPr>
              <w:jc w:val="right"/>
              <w:ind w:right="180"/>
              <w:spacing w:after="0"/>
              <w:rPr>
                <w:sz w:val="20"/>
                <w:szCs w:val="20"/>
                <w:color w:val="auto"/>
              </w:rPr>
            </w:pPr>
            <w:r>
              <w:rPr>
                <w:rFonts w:ascii="Arial" w:cs="Arial" w:eastAsia="Arial" w:hAnsi="Arial"/>
                <w:sz w:val="15"/>
                <w:szCs w:val="15"/>
                <w:color w:val="auto"/>
              </w:rPr>
              <w:t>513,409</w:t>
            </w:r>
          </w:p>
        </w:tc>
        <w:tc>
          <w:tcPr>
            <w:tcW w:w="1180" w:type="dxa"/>
            <w:vAlign w:val="bottom"/>
            <w:gridSpan w:val="3"/>
          </w:tcPr>
          <w:p>
            <w:pPr>
              <w:jc w:val="right"/>
              <w:ind w:right="18"/>
              <w:spacing w:after="0"/>
              <w:rPr>
                <w:sz w:val="20"/>
                <w:szCs w:val="20"/>
                <w:color w:val="auto"/>
              </w:rPr>
            </w:pPr>
            <w:r>
              <w:rPr>
                <w:rFonts w:ascii="Arial" w:cs="Arial" w:eastAsia="Arial" w:hAnsi="Arial"/>
                <w:sz w:val="15"/>
                <w:szCs w:val="15"/>
                <w:color w:val="auto"/>
              </w:rPr>
              <w:t>(221,772)</w:t>
            </w:r>
          </w:p>
        </w:tc>
        <w:tc>
          <w:tcPr>
            <w:tcW w:w="1200" w:type="dxa"/>
            <w:vAlign w:val="bottom"/>
            <w:gridSpan w:val="3"/>
          </w:tcPr>
          <w:p>
            <w:pPr>
              <w:jc w:val="right"/>
              <w:spacing w:after="0"/>
              <w:rPr>
                <w:sz w:val="20"/>
                <w:szCs w:val="20"/>
                <w:color w:val="auto"/>
              </w:rPr>
            </w:pPr>
            <w:r>
              <w:rPr>
                <w:rFonts w:ascii="Arial" w:cs="Arial" w:eastAsia="Arial" w:hAnsi="Arial"/>
                <w:sz w:val="15"/>
                <w:szCs w:val="15"/>
                <w:color w:val="auto"/>
              </w:rPr>
              <w:t>291,637</w:t>
            </w:r>
          </w:p>
        </w:tc>
        <w:tc>
          <w:tcPr>
            <w:tcW w:w="80" w:type="dxa"/>
            <w:vAlign w:val="bottom"/>
          </w:tcPr>
          <w:p>
            <w:pPr>
              <w:spacing w:after="0"/>
              <w:rPr>
                <w:sz w:val="24"/>
                <w:szCs w:val="24"/>
                <w:color w:val="auto"/>
              </w:rPr>
            </w:pPr>
          </w:p>
        </w:tc>
        <w:tc>
          <w:tcPr>
            <w:tcW w:w="1580" w:type="dxa"/>
            <w:vAlign w:val="bottom"/>
            <w:gridSpan w:val="4"/>
          </w:tcPr>
          <w:p>
            <w:pPr>
              <w:jc w:val="right"/>
              <w:ind w:right="78"/>
              <w:spacing w:after="0"/>
              <w:rPr>
                <w:sz w:val="20"/>
                <w:szCs w:val="20"/>
                <w:color w:val="auto"/>
              </w:rPr>
            </w:pPr>
            <w:r>
              <w:rPr>
                <w:rFonts w:ascii="Arial" w:cs="Arial" w:eastAsia="Arial" w:hAnsi="Arial"/>
                <w:sz w:val="15"/>
                <w:szCs w:val="15"/>
                <w:color w:val="auto"/>
              </w:rPr>
              <w:t>(32,402)</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47,242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306,477</w:t>
            </w:r>
          </w:p>
        </w:tc>
        <w:tc>
          <w:tcPr>
            <w:tcW w:w="0" w:type="dxa"/>
            <w:vAlign w:val="bottom"/>
          </w:tcPr>
          <w:p>
            <w:pPr>
              <w:spacing w:after="0"/>
              <w:rPr>
                <w:sz w:val="1"/>
                <w:szCs w:val="1"/>
                <w:color w:val="auto"/>
              </w:rPr>
            </w:pPr>
          </w:p>
        </w:tc>
      </w:tr>
      <w:tr>
        <w:trPr>
          <w:trHeight w:val="184"/>
        </w:trPr>
        <w:tc>
          <w:tcPr>
            <w:tcW w:w="1080" w:type="dxa"/>
            <w:vAlign w:val="bottom"/>
            <w:gridSpan w:val="3"/>
          </w:tcPr>
          <w:p>
            <w:pPr>
              <w:jc w:val="right"/>
              <w:ind w:right="180"/>
              <w:spacing w:after="0"/>
              <w:rPr>
                <w:sz w:val="20"/>
                <w:szCs w:val="20"/>
                <w:color w:val="auto"/>
              </w:rPr>
            </w:pPr>
            <w:r>
              <w:rPr>
                <w:rFonts w:ascii="Arial" w:cs="Arial" w:eastAsia="Arial" w:hAnsi="Arial"/>
                <w:sz w:val="15"/>
                <w:szCs w:val="15"/>
                <w:color w:val="auto"/>
              </w:rPr>
              <w:t>141,596</w:t>
            </w:r>
          </w:p>
        </w:tc>
        <w:tc>
          <w:tcPr>
            <w:tcW w:w="1180" w:type="dxa"/>
            <w:vAlign w:val="bottom"/>
            <w:gridSpan w:val="3"/>
          </w:tcPr>
          <w:p>
            <w:pPr>
              <w:jc w:val="right"/>
              <w:ind w:right="18"/>
              <w:spacing w:after="0"/>
              <w:rPr>
                <w:sz w:val="20"/>
                <w:szCs w:val="20"/>
                <w:color w:val="auto"/>
              </w:rPr>
            </w:pPr>
            <w:r>
              <w:rPr>
                <w:rFonts w:ascii="Arial" w:cs="Arial" w:eastAsia="Arial" w:hAnsi="Arial"/>
                <w:sz w:val="15"/>
                <w:szCs w:val="15"/>
                <w:color w:val="auto"/>
              </w:rPr>
              <w:t>(9,974)</w:t>
            </w:r>
          </w:p>
        </w:tc>
        <w:tc>
          <w:tcPr>
            <w:tcW w:w="1200" w:type="dxa"/>
            <w:vAlign w:val="bottom"/>
            <w:gridSpan w:val="3"/>
          </w:tcPr>
          <w:p>
            <w:pPr>
              <w:jc w:val="right"/>
              <w:spacing w:after="0"/>
              <w:rPr>
                <w:sz w:val="20"/>
                <w:szCs w:val="20"/>
                <w:color w:val="auto"/>
              </w:rPr>
            </w:pPr>
            <w:r>
              <w:rPr>
                <w:rFonts w:ascii="Arial" w:cs="Arial" w:eastAsia="Arial" w:hAnsi="Arial"/>
                <w:sz w:val="15"/>
                <w:szCs w:val="15"/>
                <w:color w:val="auto"/>
              </w:rPr>
              <w:t>131,622</w:t>
            </w:r>
          </w:p>
        </w:tc>
        <w:tc>
          <w:tcPr>
            <w:tcW w:w="80" w:type="dxa"/>
            <w:vAlign w:val="bottom"/>
          </w:tcPr>
          <w:p>
            <w:pPr>
              <w:spacing w:after="0"/>
              <w:rPr>
                <w:sz w:val="16"/>
                <w:szCs w:val="16"/>
                <w:color w:val="auto"/>
              </w:rPr>
            </w:pPr>
          </w:p>
        </w:tc>
        <w:tc>
          <w:tcPr>
            <w:tcW w:w="1580" w:type="dxa"/>
            <w:vAlign w:val="bottom"/>
            <w:gridSpan w:val="4"/>
          </w:tcPr>
          <w:p>
            <w:pPr>
              <w:jc w:val="right"/>
              <w:ind w:right="78"/>
              <w:spacing w:after="0"/>
              <w:rPr>
                <w:sz w:val="20"/>
                <w:szCs w:val="20"/>
                <w:color w:val="auto"/>
              </w:rPr>
            </w:pPr>
            <w:r>
              <w:rPr>
                <w:rFonts w:ascii="Arial" w:cs="Arial" w:eastAsia="Arial" w:hAnsi="Arial"/>
                <w:sz w:val="15"/>
                <w:szCs w:val="15"/>
                <w:color w:val="auto"/>
              </w:rPr>
              <w:t>(2,995)</w:t>
            </w:r>
          </w:p>
        </w:tc>
        <w:tc>
          <w:tcPr>
            <w:tcW w:w="120" w:type="dxa"/>
            <w:vAlign w:val="bottom"/>
          </w:tcPr>
          <w:p>
            <w:pPr>
              <w:spacing w:after="0"/>
              <w:rPr>
                <w:sz w:val="16"/>
                <w:szCs w:val="16"/>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128,627</w:t>
            </w:r>
          </w:p>
        </w:tc>
        <w:tc>
          <w:tcPr>
            <w:tcW w:w="0" w:type="dxa"/>
            <w:vAlign w:val="bottom"/>
          </w:tcPr>
          <w:p>
            <w:pPr>
              <w:spacing w:after="0"/>
              <w:rPr>
                <w:sz w:val="1"/>
                <w:szCs w:val="1"/>
                <w:color w:val="auto"/>
              </w:rPr>
            </w:pPr>
          </w:p>
        </w:tc>
      </w:tr>
      <w:tr>
        <w:trPr>
          <w:trHeight w:val="202"/>
        </w:trPr>
        <w:tc>
          <w:tcPr>
            <w:tcW w:w="1080" w:type="dxa"/>
            <w:vAlign w:val="bottom"/>
            <w:gridSpan w:val="3"/>
          </w:tcPr>
          <w:p>
            <w:pPr>
              <w:jc w:val="right"/>
              <w:ind w:right="180"/>
              <w:spacing w:after="0"/>
              <w:rPr>
                <w:sz w:val="20"/>
                <w:szCs w:val="20"/>
                <w:color w:val="auto"/>
              </w:rPr>
            </w:pPr>
            <w:r>
              <w:rPr>
                <w:rFonts w:ascii="Arial" w:cs="Arial" w:eastAsia="Arial" w:hAnsi="Arial"/>
                <w:sz w:val="15"/>
                <w:szCs w:val="15"/>
                <w:color w:val="auto"/>
              </w:rPr>
              <w:t>237,533</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13,294</w:t>
            </w:r>
          </w:p>
        </w:tc>
        <w:tc>
          <w:tcPr>
            <w:tcW w:w="10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5"/>
                <w:szCs w:val="15"/>
                <w:color w:val="auto"/>
              </w:rPr>
              <w:t>250,827</w:t>
            </w:r>
          </w:p>
        </w:tc>
        <w:tc>
          <w:tcPr>
            <w:tcW w:w="80" w:type="dxa"/>
            <w:vAlign w:val="bottom"/>
          </w:tcPr>
          <w:p>
            <w:pPr>
              <w:spacing w:after="0"/>
              <w:rPr>
                <w:sz w:val="17"/>
                <w:szCs w:val="17"/>
                <w:color w:val="auto"/>
              </w:rPr>
            </w:pPr>
          </w:p>
        </w:tc>
        <w:tc>
          <w:tcPr>
            <w:tcW w:w="1580" w:type="dxa"/>
            <w:vAlign w:val="bottom"/>
            <w:gridSpan w:val="4"/>
          </w:tcPr>
          <w:p>
            <w:pPr>
              <w:jc w:val="right"/>
              <w:ind w:right="78"/>
              <w:spacing w:after="0"/>
              <w:rPr>
                <w:sz w:val="20"/>
                <w:szCs w:val="20"/>
                <w:color w:val="auto"/>
              </w:rPr>
            </w:pPr>
            <w:r>
              <w:rPr>
                <w:rFonts w:ascii="Arial" w:cs="Arial" w:eastAsia="Arial" w:hAnsi="Arial"/>
                <w:sz w:val="15"/>
                <w:szCs w:val="15"/>
                <w:color w:val="auto"/>
              </w:rPr>
              <w:t>(101,722)</w:t>
            </w:r>
          </w:p>
        </w:tc>
        <w:tc>
          <w:tcPr>
            <w:tcW w:w="120" w:type="dxa"/>
            <w:vAlign w:val="bottom"/>
          </w:tcPr>
          <w:p>
            <w:pPr>
              <w:spacing w:after="0"/>
              <w:rPr>
                <w:sz w:val="17"/>
                <w:szCs w:val="17"/>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149,105</w:t>
            </w: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jc w:val="right"/>
              <w:ind w:right="18"/>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jc w:val="right"/>
              <w:ind w:right="78"/>
              <w:spacing w:after="0"/>
              <w:rPr>
                <w:sz w:val="20"/>
                <w:szCs w:val="20"/>
                <w:color w:val="auto"/>
              </w:rPr>
            </w:pPr>
            <w:r>
              <w:rPr>
                <w:rFonts w:ascii="Arial" w:cs="Arial" w:eastAsia="Arial" w:hAnsi="Arial"/>
                <w:sz w:val="8"/>
                <w:szCs w:val="8"/>
                <w:color w:val="auto"/>
                <w:w w:val="73"/>
              </w:rPr>
              <w:t>)</w:t>
            </w:r>
          </w:p>
        </w:tc>
        <w:tc>
          <w:tcPr>
            <w:tcW w:w="11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80" w:type="dxa"/>
            <w:vAlign w:val="bottom"/>
            <w:gridSpan w:val="3"/>
          </w:tcPr>
          <w:p>
            <w:pPr>
              <w:jc w:val="right"/>
              <w:ind w:right="180"/>
              <w:spacing w:after="0"/>
              <w:rPr>
                <w:sz w:val="20"/>
                <w:szCs w:val="20"/>
                <w:color w:val="auto"/>
              </w:rPr>
            </w:pPr>
            <w:r>
              <w:rPr>
                <w:rFonts w:ascii="Arial" w:cs="Arial" w:eastAsia="Arial" w:hAnsi="Arial"/>
                <w:sz w:val="15"/>
                <w:szCs w:val="15"/>
                <w:color w:val="auto"/>
              </w:rPr>
              <w:t>892,538</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(218,452</w:t>
            </w:r>
          </w:p>
        </w:tc>
        <w:tc>
          <w:tcPr>
            <w:tcW w:w="100" w:type="dxa"/>
            <w:vAlign w:val="bottom"/>
            <w:vMerge w:val="continue"/>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5"/>
                <w:szCs w:val="15"/>
                <w:color w:val="auto"/>
              </w:rPr>
              <w:t>674,086</w:t>
            </w:r>
          </w:p>
        </w:tc>
        <w:tc>
          <w:tcPr>
            <w:tcW w:w="8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(137,119</w:t>
            </w:r>
          </w:p>
        </w:tc>
        <w:tc>
          <w:tcPr>
            <w:tcW w:w="160" w:type="dxa"/>
            <w:vAlign w:val="bottom"/>
            <w:vMerge w:val="continue"/>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47,242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584,209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-1395730</wp:posOffset>
            </wp:positionV>
            <wp:extent cx="6426835" cy="1168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26835" cy="116840"/>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-1161415</wp:posOffset>
            </wp:positionV>
            <wp:extent cx="6426835" cy="1168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26835" cy="116840"/>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-919480</wp:posOffset>
            </wp:positionV>
            <wp:extent cx="6426835" cy="147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26835" cy="147955"/>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-638810</wp:posOffset>
            </wp:positionV>
            <wp:extent cx="6426835" cy="1168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26835" cy="116840"/>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-405130</wp:posOffset>
            </wp:positionV>
            <wp:extent cx="6426835" cy="1168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26835" cy="116840"/>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-163195</wp:posOffset>
            </wp:positionV>
            <wp:extent cx="6426835" cy="147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26835" cy="14795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262" w:space="100"/>
            <w:col w:w="7540"/>
          </w:cols>
          <w:pgMar w:left="318" w:top="835" w:right="679" w:bottom="1440" w:gutter="0" w:footer="0" w:header="0"/>
        </w:sectPr>
      </w:pPr>
    </w:p>
    <w:p>
      <w:pPr>
        <w:ind w:left="1042" w:hanging="452"/>
        <w:spacing w:after="0" w:line="261" w:lineRule="auto"/>
        <w:tabs>
          <w:tab w:leader="none" w:pos="1042"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variation during the three-month period ended March 31, 2020 respect to the previous period is mainly due to the following: (i) lower sales in annuities, generating a lower constitution of reserves, and (ii) increase in the market participation of pension insurance and increase in the withholding percentage.</w:t>
      </w:r>
    </w:p>
    <w:p>
      <w:pPr>
        <w:spacing w:after="0" w:line="1" w:lineRule="exact"/>
        <w:rPr>
          <w:sz w:val="20"/>
          <w:szCs w:val="20"/>
          <w:color w:val="auto"/>
        </w:rPr>
      </w:pPr>
    </w:p>
    <w:p>
      <w:pPr>
        <w:ind w:left="582" w:right="1960" w:firstLine="8"/>
        <w:spacing w:after="0" w:line="272" w:lineRule="auto"/>
        <w:tabs>
          <w:tab w:leader="none" w:pos="1036"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This item includes earned premiums, reinsurance premiums accepted, and coinsurance premiums accepted and received. (***) “Premiums ceded to reinsurers and coinsurers, net” include:</w:t>
      </w:r>
    </w:p>
    <w:p>
      <w:pPr>
        <w:spacing w:after="0" w:line="157"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3180" w:type="dxa"/>
            <w:vAlign w:val="bottom"/>
          </w:tcPr>
          <w:p>
            <w:pPr>
              <w:spacing w:after="0"/>
              <w:rPr>
                <w:sz w:val="17"/>
                <w:szCs w:val="17"/>
                <w:color w:val="auto"/>
              </w:rPr>
            </w:pPr>
          </w:p>
        </w:tc>
        <w:tc>
          <w:tcPr>
            <w:tcW w:w="2440" w:type="dxa"/>
            <w:vAlign w:val="bottom"/>
            <w:gridSpan w:val="6"/>
          </w:tcPr>
          <w:p>
            <w:pPr>
              <w:jc w:val="right"/>
              <w:ind w:right="20"/>
              <w:spacing w:after="0"/>
              <w:rPr>
                <w:sz w:val="20"/>
                <w:szCs w:val="20"/>
                <w:color w:val="auto"/>
              </w:rPr>
            </w:pPr>
            <w:r>
              <w:rPr>
                <w:rFonts w:ascii="Arial" w:cs="Arial" w:eastAsia="Arial" w:hAnsi="Arial"/>
                <w:sz w:val="16"/>
                <w:szCs w:val="16"/>
                <w:b w:val="1"/>
                <w:bCs w:val="1"/>
                <w:color w:val="auto"/>
              </w:rPr>
              <w:t>For the three-month periods</w:t>
            </w:r>
          </w:p>
        </w:tc>
      </w:tr>
      <w:tr>
        <w:trPr>
          <w:trHeight w:val="212"/>
        </w:trPr>
        <w:tc>
          <w:tcPr>
            <w:tcW w:w="3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rPr>
              <w:t>ended March 31,</w:t>
            </w:r>
          </w:p>
        </w:tc>
      </w:tr>
      <w:tr>
        <w:trPr>
          <w:trHeight w:val="190"/>
        </w:trPr>
        <w:tc>
          <w:tcPr>
            <w:tcW w:w="3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1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60" w:type="dxa"/>
            <w:vAlign w:val="bottom"/>
            <w:gridSpan w:val="2"/>
          </w:tcPr>
          <w:p>
            <w:pPr>
              <w:spacing w:after="0"/>
              <w:rPr>
                <w:sz w:val="16"/>
                <w:szCs w:val="16"/>
                <w:color w:val="auto"/>
              </w:rPr>
            </w:pPr>
          </w:p>
        </w:tc>
      </w:tr>
      <w:tr>
        <w:trPr>
          <w:trHeight w:val="184"/>
        </w:trPr>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Premiums ceded for automatic contracts</w:t>
            </w: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9"/>
        </w:trPr>
        <w:tc>
          <w:tcPr>
            <w:tcW w:w="3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(mainly excess of loss), Note 9(b)</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(78,084)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(75,656)</w:t>
            </w:r>
          </w:p>
        </w:tc>
      </w:tr>
      <w:tr>
        <w:trPr>
          <w:trHeight w:val="184"/>
        </w:trPr>
        <w:tc>
          <w:tcPr>
            <w:tcW w:w="3180" w:type="dxa"/>
            <w:vAlign w:val="bottom"/>
          </w:tcPr>
          <w:p>
            <w:pPr>
              <w:spacing w:after="0"/>
              <w:rPr>
                <w:sz w:val="20"/>
                <w:szCs w:val="20"/>
                <w:color w:val="auto"/>
              </w:rPr>
            </w:pPr>
            <w:r>
              <w:rPr>
                <w:rFonts w:ascii="Arial" w:cs="Arial" w:eastAsia="Arial" w:hAnsi="Arial"/>
                <w:sz w:val="16"/>
                <w:szCs w:val="16"/>
                <w:color w:val="auto"/>
              </w:rPr>
              <w:t>Premiums ceded for facultative contracts,</w:t>
            </w: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8"/>
        </w:trPr>
        <w:tc>
          <w:tcPr>
            <w:tcW w:w="3180" w:type="dxa"/>
            <w:vAlign w:val="bottom"/>
          </w:tcPr>
          <w:p>
            <w:pPr>
              <w:ind w:left="140"/>
              <w:spacing w:after="0"/>
              <w:rPr>
                <w:sz w:val="20"/>
                <w:szCs w:val="20"/>
                <w:color w:val="auto"/>
              </w:rPr>
            </w:pPr>
            <w:r>
              <w:rPr>
                <w:rFonts w:ascii="Arial" w:cs="Arial" w:eastAsia="Arial" w:hAnsi="Arial"/>
                <w:sz w:val="16"/>
                <w:szCs w:val="16"/>
                <w:color w:val="auto"/>
              </w:rPr>
              <w:t>Note 9(b)</w:t>
            </w: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(39,752)</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(33,216)</w:t>
            </w:r>
          </w:p>
        </w:tc>
      </w:tr>
      <w:tr>
        <w:trPr>
          <w:trHeight w:val="185"/>
        </w:trPr>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Annual variation of reserve risk in</w:t>
            </w: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21"/>
        </w:trPr>
        <w:tc>
          <w:tcPr>
            <w:tcW w:w="3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progress of premiums ceded, Note 9(b)</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(35,618)</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(28,247)</w:t>
            </w:r>
          </w:p>
        </w:tc>
      </w:tr>
      <w:tr>
        <w:trPr>
          <w:trHeight w:val="201"/>
        </w:trPr>
        <w:tc>
          <w:tcPr>
            <w:tcW w:w="3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(153,454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(137,119</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81" w:lineRule="exact"/>
        <w:rPr>
          <w:sz w:val="20"/>
          <w:szCs w:val="20"/>
          <w:color w:val="auto"/>
        </w:rPr>
      </w:pPr>
    </w:p>
    <w:p>
      <w:pPr>
        <w:jc w:val="center"/>
        <w:ind w:right="-341"/>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902"/>
          </w:cols>
          <w:pgMar w:left="318" w:top="835" w:right="679" w:bottom="1440" w:gutter="0" w:footer="0" w:header="0"/>
          <w:type w:val="continuous"/>
        </w:sectPr>
      </w:pPr>
    </w:p>
    <w:bookmarkStart w:id="69" w:name="page70"/>
    <w:bookmarkEnd w:id="69"/>
    <w:p>
      <w:pPr>
        <w:ind w:left="381" w:hanging="381"/>
        <w:spacing w:after="0"/>
        <w:tabs>
          <w:tab w:leader="none" w:pos="381" w:val="left"/>
        </w:tabs>
        <w:numPr>
          <w:ilvl w:val="0"/>
          <w:numId w:val="72"/>
        </w:numPr>
        <w:rPr>
          <w:rFonts w:ascii="Arial" w:cs="Arial" w:eastAsia="Arial" w:hAnsi="Arial"/>
          <w:sz w:val="16"/>
          <w:szCs w:val="16"/>
          <w:color w:val="auto"/>
        </w:rPr>
      </w:pPr>
      <w:r>
        <w:rPr>
          <w:rFonts w:ascii="Arial" w:cs="Arial" w:eastAsia="Arial" w:hAnsi="Arial"/>
          <w:sz w:val="16"/>
          <w:szCs w:val="16"/>
          <w:color w:val="auto"/>
        </w:rPr>
        <w:t>Gross written premiums by insurance type are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1"/>
        <w:spacing w:after="0"/>
        <w:rPr>
          <w:sz w:val="20"/>
          <w:szCs w:val="20"/>
          <w:color w:val="auto"/>
        </w:rPr>
      </w:pPr>
      <w:r>
        <w:rPr>
          <w:rFonts w:ascii="Arial" w:cs="Arial" w:eastAsia="Arial" w:hAnsi="Arial"/>
          <w:sz w:val="16"/>
          <w:szCs w:val="16"/>
          <w:color w:val="auto"/>
        </w:rPr>
        <w:t>Life insurance (i)</w:t>
      </w:r>
    </w:p>
    <w:p>
      <w:pPr>
        <w:spacing w:after="0" w:line="24" w:lineRule="exact"/>
        <w:rPr>
          <w:sz w:val="20"/>
          <w:szCs w:val="20"/>
          <w:color w:val="auto"/>
        </w:rPr>
      </w:pPr>
    </w:p>
    <w:p>
      <w:pPr>
        <w:ind w:left="321"/>
        <w:spacing w:after="0"/>
        <w:rPr>
          <w:sz w:val="20"/>
          <w:szCs w:val="20"/>
          <w:color w:val="auto"/>
        </w:rPr>
      </w:pPr>
      <w:r>
        <w:rPr>
          <w:rFonts w:ascii="Arial" w:cs="Arial" w:eastAsia="Arial" w:hAnsi="Arial"/>
          <w:sz w:val="16"/>
          <w:szCs w:val="16"/>
          <w:color w:val="auto"/>
        </w:rPr>
        <w:t>Health insurance (ii)</w:t>
      </w:r>
    </w:p>
    <w:p>
      <w:pPr>
        <w:spacing w:after="0" w:line="13" w:lineRule="exact"/>
        <w:rPr>
          <w:sz w:val="20"/>
          <w:szCs w:val="20"/>
          <w:color w:val="auto"/>
        </w:rPr>
      </w:pPr>
    </w:p>
    <w:p>
      <w:pPr>
        <w:ind w:left="321"/>
        <w:spacing w:after="0"/>
        <w:rPr>
          <w:sz w:val="20"/>
          <w:szCs w:val="20"/>
          <w:color w:val="auto"/>
        </w:rPr>
      </w:pPr>
      <w:r>
        <w:rPr>
          <w:rFonts w:ascii="Arial" w:cs="Arial" w:eastAsia="Arial" w:hAnsi="Arial"/>
          <w:sz w:val="16"/>
          <w:szCs w:val="16"/>
          <w:color w:val="auto"/>
        </w:rPr>
        <w:t>General insurance (iii)</w:t>
      </w:r>
    </w:p>
    <w:p>
      <w:pPr>
        <w:spacing w:after="0" w:line="22" w:lineRule="exact"/>
        <w:rPr>
          <w:sz w:val="20"/>
          <w:szCs w:val="20"/>
          <w:color w:val="auto"/>
        </w:rPr>
      </w:pPr>
    </w:p>
    <w:p>
      <w:pPr>
        <w:ind w:left="321"/>
        <w:spacing w:after="0"/>
        <w:rPr>
          <w:sz w:val="20"/>
          <w:szCs w:val="20"/>
          <w:color w:val="auto"/>
        </w:rPr>
      </w:pPr>
      <w:r>
        <w:rPr>
          <w:rFonts w:ascii="Arial" w:cs="Arial" w:eastAsia="Arial" w:hAnsi="Arial"/>
          <w:sz w:val="16"/>
          <w:szCs w:val="16"/>
          <w:b w:val="1"/>
          <w:bCs w:val="1"/>
          <w:color w:val="auto"/>
        </w:rPr>
        <w:t>Total</w:t>
      </w:r>
    </w:p>
    <w:p>
      <w:pPr>
        <w:spacing w:after="0" w:line="274" w:lineRule="exact"/>
        <w:rPr>
          <w:sz w:val="20"/>
          <w:szCs w:val="20"/>
          <w:color w:val="auto"/>
        </w:rPr>
      </w:pPr>
    </w:p>
    <w:p>
      <w:pPr>
        <w:ind w:left="341"/>
        <w:spacing w:after="0"/>
        <w:tabs>
          <w:tab w:leader="none" w:pos="62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5"/>
          <w:szCs w:val="15"/>
          <w:color w:val="auto"/>
        </w:rPr>
        <w:t>The breakdown of life insurance gross written premiums is as follows:</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For the three-month periods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2020</w:t>
            </w:r>
          </w:p>
        </w:tc>
        <w:tc>
          <w:tcPr>
            <w:tcW w:w="10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74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r>
      <w:tr>
        <w:trPr>
          <w:trHeight w:val="176"/>
        </w:trPr>
        <w:tc>
          <w:tcPr>
            <w:tcW w:w="100" w:type="dxa"/>
            <w:vAlign w:val="bottom"/>
          </w:tcPr>
          <w:p>
            <w:pPr>
              <w:spacing w:after="0"/>
              <w:rPr>
                <w:sz w:val="15"/>
                <w:szCs w:val="15"/>
                <w:color w:val="auto"/>
              </w:rPr>
            </w:pPr>
          </w:p>
        </w:tc>
        <w:tc>
          <w:tcPr>
            <w:tcW w:w="1340" w:type="dxa"/>
            <w:vAlign w:val="bottom"/>
            <w:gridSpan w:val="3"/>
          </w:tcPr>
          <w:p>
            <w:pPr>
              <w:jc w:val="right"/>
              <w:ind w:right="640"/>
              <w:spacing w:after="0" w:line="177" w:lineRule="exact"/>
              <w:rPr>
                <w:sz w:val="20"/>
                <w:szCs w:val="20"/>
                <w:color w:val="auto"/>
              </w:rPr>
            </w:pPr>
            <w:r>
              <w:rPr>
                <w:rFonts w:ascii="Arial" w:cs="Arial" w:eastAsia="Arial" w:hAnsi="Arial"/>
                <w:sz w:val="16"/>
                <w:szCs w:val="16"/>
                <w:b w:val="1"/>
                <w:bCs w:val="1"/>
                <w:color w:val="auto"/>
              </w:rPr>
              <w:t>S/(000)</w:t>
            </w:r>
          </w:p>
        </w:tc>
        <w:tc>
          <w:tcPr>
            <w:tcW w:w="1000" w:type="dxa"/>
            <w:vAlign w:val="bottom"/>
          </w:tcPr>
          <w:p>
            <w:pPr>
              <w:jc w:val="right"/>
              <w:ind w:right="378"/>
              <w:spacing w:after="0" w:line="177" w:lineRule="exact"/>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right"/>
              <w:ind w:right="600"/>
              <w:spacing w:after="0" w:line="177" w:lineRule="exact"/>
              <w:rPr>
                <w:sz w:val="20"/>
                <w:szCs w:val="20"/>
                <w:color w:val="auto"/>
              </w:rPr>
            </w:pPr>
            <w:r>
              <w:rPr>
                <w:rFonts w:ascii="Arial" w:cs="Arial" w:eastAsia="Arial" w:hAnsi="Arial"/>
                <w:sz w:val="16"/>
                <w:szCs w:val="16"/>
                <w:b w:val="1"/>
                <w:bCs w:val="1"/>
                <w:color w:val="auto"/>
              </w:rPr>
              <w:t>S/(000)</w:t>
            </w:r>
          </w:p>
        </w:tc>
        <w:tc>
          <w:tcPr>
            <w:tcW w:w="740" w:type="dxa"/>
            <w:vAlign w:val="bottom"/>
          </w:tcPr>
          <w:p>
            <w:pPr>
              <w:jc w:val="right"/>
              <w:ind w:right="118"/>
              <w:spacing w:after="0" w:line="177" w:lineRule="exact"/>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5"/>
                <w:szCs w:val="15"/>
                <w:color w:val="auto"/>
              </w:rPr>
            </w:pPr>
          </w:p>
        </w:tc>
      </w:tr>
      <w:tr>
        <w:trPr>
          <w:trHeight w:val="197"/>
        </w:trPr>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464,079</w:t>
            </w:r>
          </w:p>
        </w:tc>
        <w:tc>
          <w:tcPr>
            <w:tcW w:w="1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52.76</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291,637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43.26</w:t>
            </w:r>
          </w:p>
        </w:tc>
      </w:tr>
      <w:tr>
        <w:trPr>
          <w:trHeight w:val="208"/>
        </w:trPr>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139,330</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131,622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19.53</w:t>
            </w:r>
          </w:p>
        </w:tc>
      </w:tr>
      <w:tr>
        <w:trPr>
          <w:trHeight w:val="209"/>
        </w:trPr>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276,223</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31.40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250,827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37.21</w:t>
            </w:r>
          </w:p>
        </w:tc>
      </w:tr>
      <w:tr>
        <w:trPr>
          <w:trHeight w:val="20"/>
        </w:trPr>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213"/>
        </w:trPr>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879,632</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674,086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100.00</w:t>
            </w:r>
          </w:p>
        </w:tc>
      </w:tr>
      <w:tr>
        <w:trPr>
          <w:trHeight w:val="20"/>
        </w:trPr>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r>
        <w:trPr>
          <w:trHeight w:val="775"/>
        </w:trPr>
        <w:tc>
          <w:tcPr>
            <w:tcW w:w="1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6"/>
                <w:szCs w:val="16"/>
                <w:b w:val="1"/>
                <w:bCs w:val="1"/>
                <w:color w:val="auto"/>
              </w:rPr>
              <w:t>For the three-month periods ended March 31,</w:t>
            </w:r>
          </w:p>
        </w:tc>
        <w:tc>
          <w:tcPr>
            <w:tcW w:w="7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89"/>
        </w:trPr>
        <w:tc>
          <w:tcPr>
            <w:tcW w:w="10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-1192530</wp:posOffset>
            </wp:positionV>
            <wp:extent cx="6426835" cy="1250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26835" cy="12509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-942975</wp:posOffset>
            </wp:positionV>
            <wp:extent cx="6426835" cy="132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26835" cy="1327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61" w:space="40"/>
            <w:col w:w="5560"/>
          </w:cols>
          <w:pgMar w:left="559" w:top="839" w:right="479" w:bottom="1440" w:gutter="0" w:footer="0" w:header="0"/>
        </w:sectPr>
      </w:pPr>
    </w:p>
    <w:tbl>
      <w:tblPr>
        <w:tblLayout w:type="fixed"/>
        <w:tblInd w:w="601"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S/(000)</w:t>
            </w:r>
          </w:p>
        </w:tc>
        <w:tc>
          <w:tcPr>
            <w:tcW w:w="960" w:type="dxa"/>
            <w:vAlign w:val="bottom"/>
            <w:tcBorders>
              <w:top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S/(000)</w:t>
            </w:r>
          </w:p>
        </w:tc>
        <w:tc>
          <w:tcPr>
            <w:tcW w:w="940" w:type="dxa"/>
            <w:vAlign w:val="bottom"/>
            <w:tcBorders>
              <w:top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Credit life</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154,895</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33.38</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130,892</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gridSpan w:val="2"/>
          </w:tcPr>
          <w:p>
            <w:pPr>
              <w:spacing w:after="0"/>
              <w:rPr>
                <w:sz w:val="20"/>
                <w:szCs w:val="20"/>
                <w:color w:val="auto"/>
              </w:rPr>
            </w:pPr>
            <w:r>
              <w:rPr>
                <w:rFonts w:ascii="Arial" w:cs="Arial" w:eastAsia="Arial" w:hAnsi="Arial"/>
                <w:sz w:val="16"/>
                <w:szCs w:val="16"/>
                <w:color w:val="auto"/>
              </w:rPr>
              <w:t>Disability and survival (*)</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123,524</w:t>
            </w:r>
          </w:p>
        </w:tc>
        <w:tc>
          <w:tcPr>
            <w:tcW w:w="8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26.62</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101,571</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34.83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Individual life (**)</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135,916</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29.29</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(8,834)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197"/>
        </w:trPr>
        <w:tc>
          <w:tcPr>
            <w:tcW w:w="4800" w:type="dxa"/>
            <w:vAlign w:val="bottom"/>
            <w:gridSpan w:val="2"/>
          </w:tcPr>
          <w:p>
            <w:pPr>
              <w:spacing w:after="0"/>
              <w:rPr>
                <w:sz w:val="20"/>
                <w:szCs w:val="20"/>
                <w:color w:val="auto"/>
              </w:rPr>
            </w:pPr>
            <w:r>
              <w:rPr>
                <w:rFonts w:ascii="Arial" w:cs="Arial" w:eastAsia="Arial" w:hAnsi="Arial"/>
                <w:sz w:val="16"/>
                <w:szCs w:val="16"/>
                <w:color w:val="auto"/>
              </w:rPr>
              <w:t>Group life</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31,705</w:t>
            </w:r>
          </w:p>
        </w:tc>
        <w:tc>
          <w:tcPr>
            <w:tcW w:w="8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52,471</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Annuities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15,537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464,079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291,637</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1" w:right="3920" w:firstLine="8"/>
        <w:spacing w:after="0" w:line="546" w:lineRule="auto"/>
        <w:tabs>
          <w:tab w:leader="none" w:pos="734" w:val="left"/>
        </w:tabs>
        <w:numPr>
          <w:ilvl w:val="1"/>
          <w:numId w:val="73"/>
        </w:numPr>
        <w:rPr>
          <w:rFonts w:ascii="Arial" w:cs="Arial" w:eastAsia="Arial" w:hAnsi="Arial"/>
          <w:sz w:val="15"/>
          <w:szCs w:val="15"/>
          <w:color w:val="auto"/>
        </w:rPr>
      </w:pPr>
      <w:r>
        <w:rPr>
          <w:rFonts w:ascii="Arial" w:cs="Arial" w:eastAsia="Arial" w:hAnsi="Arial"/>
          <w:sz w:val="15"/>
          <w:szCs w:val="15"/>
          <w:color w:val="auto"/>
        </w:rPr>
        <w:t>This item includes Complementary Work Risk Insurance (“SCTR” from its Spanish acronym). (**) Individual life insurance premiums include Investment Link insurance contracts.</w:t>
      </w:r>
    </w:p>
    <w:p>
      <w:pPr>
        <w:spacing w:after="0" w:line="1" w:lineRule="exact"/>
        <w:rPr>
          <w:rFonts w:ascii="Arial" w:cs="Arial" w:eastAsia="Arial" w:hAnsi="Arial"/>
          <w:sz w:val="15"/>
          <w:szCs w:val="15"/>
          <w:color w:val="auto"/>
        </w:rPr>
      </w:pPr>
    </w:p>
    <w:p>
      <w:pPr>
        <w:ind w:left="321" w:hanging="218"/>
        <w:spacing w:after="0" w:line="362" w:lineRule="auto"/>
        <w:tabs>
          <w:tab w:leader="none" w:pos="321" w:val="left"/>
        </w:tabs>
        <w:numPr>
          <w:ilvl w:val="0"/>
          <w:numId w:val="73"/>
        </w:numPr>
        <w:rPr>
          <w:rFonts w:ascii="Arial" w:cs="Arial" w:eastAsia="Arial" w:hAnsi="Arial"/>
          <w:sz w:val="14"/>
          <w:szCs w:val="14"/>
          <w:color w:val="auto"/>
        </w:rPr>
      </w:pPr>
      <w:r>
        <w:rPr>
          <w:rFonts w:ascii="Arial" w:cs="Arial" w:eastAsia="Arial" w:hAnsi="Arial"/>
          <w:sz w:val="14"/>
          <w:szCs w:val="14"/>
          <w:color w:val="auto"/>
        </w:rPr>
        <w:t>Health insurance gross written premiums after adjustments include medical assistance which amounts to S/119.5 million and S/110.7 million during the three-month periods ended March 31, 2020 and 2019, respectively; and represents 85.72 percent and 84.05 percent of this line of business at said periods, respectively.</w:t>
      </w:r>
    </w:p>
    <w:p>
      <w:pPr>
        <w:spacing w:after="0" w:line="103" w:lineRule="exact"/>
        <w:rPr>
          <w:rFonts w:ascii="Arial" w:cs="Arial" w:eastAsia="Arial" w:hAnsi="Arial"/>
          <w:sz w:val="14"/>
          <w:szCs w:val="14"/>
          <w:color w:val="auto"/>
        </w:rPr>
      </w:pPr>
    </w:p>
    <w:p>
      <w:pPr>
        <w:ind w:left="381" w:hanging="278"/>
        <w:spacing w:after="0"/>
        <w:tabs>
          <w:tab w:leader="none" w:pos="381" w:val="left"/>
        </w:tabs>
        <w:numPr>
          <w:ilvl w:val="0"/>
          <w:numId w:val="73"/>
        </w:numPr>
        <w:rPr>
          <w:rFonts w:ascii="Arial" w:cs="Arial" w:eastAsia="Arial" w:hAnsi="Arial"/>
          <w:sz w:val="16"/>
          <w:szCs w:val="16"/>
          <w:color w:val="auto"/>
        </w:rPr>
      </w:pPr>
      <w:r>
        <w:rPr>
          <w:rFonts w:ascii="Arial" w:cs="Arial" w:eastAsia="Arial" w:hAnsi="Arial"/>
          <w:sz w:val="16"/>
          <w:szCs w:val="16"/>
          <w:color w:val="auto"/>
        </w:rPr>
        <w:t>General insurance gross written premiums consist of the following:</w:t>
      </w:r>
    </w:p>
    <w:p>
      <w:pPr>
        <w:spacing w:after="0" w:line="217" w:lineRule="exact"/>
        <w:rPr>
          <w:sz w:val="20"/>
          <w:szCs w:val="20"/>
          <w:color w:val="auto"/>
        </w:rPr>
      </w:pPr>
    </w:p>
    <w:tbl>
      <w:tblPr>
        <w:tblLayout w:type="fixed"/>
        <w:tblInd w:w="601"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408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6"/>
                <w:szCs w:val="16"/>
                <w:b w:val="1"/>
                <w:bCs w:val="1"/>
                <w:color w:val="auto"/>
              </w:rPr>
              <w:t>For the three-month periods ended March 31,</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9"/>
        </w:trPr>
        <w:tc>
          <w:tcPr>
            <w:tcW w:w="4700" w:type="dxa"/>
            <w:vAlign w:val="bottom"/>
          </w:tcPr>
          <w:p>
            <w:pPr>
              <w:spacing w:after="0"/>
              <w:rPr>
                <w:sz w:val="16"/>
                <w:szCs w:val="16"/>
                <w:color w:val="auto"/>
              </w:rPr>
            </w:pPr>
          </w:p>
        </w:tc>
        <w:tc>
          <w:tcPr>
            <w:tcW w:w="15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6"/>
                <w:szCs w:val="16"/>
                <w:b w:val="1"/>
                <w:bCs w:val="1"/>
                <w:color w:val="auto"/>
              </w:rPr>
              <w:t>2019</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4700" w:type="dxa"/>
            <w:vAlign w:val="bottom"/>
          </w:tcPr>
          <w:p>
            <w:pPr>
              <w:spacing w:after="0"/>
              <w:rPr>
                <w:sz w:val="16"/>
                <w:szCs w:val="16"/>
                <w:color w:val="auto"/>
              </w:rPr>
            </w:pPr>
          </w:p>
        </w:tc>
        <w:tc>
          <w:tcPr>
            <w:tcW w:w="1500" w:type="dxa"/>
            <w:vAlign w:val="bottom"/>
            <w:gridSpan w:val="3"/>
          </w:tcPr>
          <w:p>
            <w:pPr>
              <w:jc w:val="right"/>
              <w:ind w:right="720"/>
              <w:spacing w:after="0"/>
              <w:rPr>
                <w:sz w:val="20"/>
                <w:szCs w:val="20"/>
                <w:color w:val="auto"/>
              </w:rPr>
            </w:pPr>
            <w:r>
              <w:rPr>
                <w:rFonts w:ascii="Arial" w:cs="Arial" w:eastAsia="Arial" w:hAnsi="Arial"/>
                <w:sz w:val="16"/>
                <w:szCs w:val="16"/>
                <w:b w:val="1"/>
                <w:bCs w:val="1"/>
                <w:color w:val="auto"/>
              </w:rPr>
              <w:t>S/(000)</w:t>
            </w:r>
          </w:p>
        </w:tc>
        <w:tc>
          <w:tcPr>
            <w:tcW w:w="800" w:type="dxa"/>
            <w:vAlign w:val="bottom"/>
          </w:tcPr>
          <w:p>
            <w:pPr>
              <w:jc w:val="right"/>
              <w:ind w:right="358"/>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6"/>
                <w:szCs w:val="16"/>
                <w:color w:val="auto"/>
              </w:rPr>
            </w:pPr>
          </w:p>
        </w:tc>
        <w:tc>
          <w:tcPr>
            <w:tcW w:w="1580" w:type="dxa"/>
            <w:vAlign w:val="bottom"/>
            <w:gridSpan w:val="3"/>
          </w:tcPr>
          <w:p>
            <w:pPr>
              <w:jc w:val="right"/>
              <w:ind w:right="800"/>
              <w:spacing w:after="0"/>
              <w:rPr>
                <w:sz w:val="20"/>
                <w:szCs w:val="20"/>
                <w:color w:val="auto"/>
              </w:rPr>
            </w:pPr>
            <w:r>
              <w:rPr>
                <w:rFonts w:ascii="Arial" w:cs="Arial" w:eastAsia="Arial" w:hAnsi="Arial"/>
                <w:sz w:val="16"/>
                <w:szCs w:val="16"/>
                <w:b w:val="1"/>
                <w:bCs w:val="1"/>
                <w:color w:val="auto"/>
              </w:rPr>
              <w:t>S/(000)</w:t>
            </w:r>
          </w:p>
        </w:tc>
        <w:tc>
          <w:tcPr>
            <w:tcW w:w="700" w:type="dxa"/>
            <w:vAlign w:val="bottom"/>
          </w:tcPr>
          <w:p>
            <w:pPr>
              <w:jc w:val="right"/>
              <w:ind w:right="358"/>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r>
      <w:tr>
        <w:trPr>
          <w:trHeight w:val="197"/>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Automobile</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90,957</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32.93</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86,702</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34.57</w:t>
            </w:r>
          </w:p>
        </w:tc>
        <w:tc>
          <w:tcPr>
            <w:tcW w:w="80" w:type="dxa"/>
            <w:vAlign w:val="bottom"/>
            <w:shd w:val="clear" w:color="auto" w:fill="CCEEFF"/>
          </w:tcPr>
          <w:p>
            <w:pPr>
              <w:spacing w:after="0"/>
              <w:rPr>
                <w:sz w:val="17"/>
                <w:szCs w:val="17"/>
                <w:color w:val="auto"/>
              </w:rPr>
            </w:pPr>
          </w:p>
        </w:tc>
      </w:tr>
      <w:tr>
        <w:trPr>
          <w:trHeight w:val="197"/>
        </w:trPr>
        <w:tc>
          <w:tcPr>
            <w:tcW w:w="4700" w:type="dxa"/>
            <w:vAlign w:val="bottom"/>
          </w:tcPr>
          <w:p>
            <w:pPr>
              <w:spacing w:after="0"/>
              <w:rPr>
                <w:sz w:val="20"/>
                <w:szCs w:val="20"/>
                <w:color w:val="auto"/>
              </w:rPr>
            </w:pPr>
            <w:r>
              <w:rPr>
                <w:rFonts w:ascii="Arial" w:cs="Arial" w:eastAsia="Arial" w:hAnsi="Arial"/>
                <w:sz w:val="16"/>
                <w:szCs w:val="16"/>
                <w:color w:val="auto"/>
              </w:rPr>
              <w:t>Fire and allied lines</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67,668</w:t>
            </w:r>
          </w:p>
        </w:tc>
        <w:tc>
          <w:tcPr>
            <w:tcW w:w="2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24.50</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67,746</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27.01</w:t>
            </w:r>
          </w:p>
        </w:tc>
        <w:tc>
          <w:tcPr>
            <w:tcW w:w="80" w:type="dxa"/>
            <w:vAlign w:val="bottom"/>
          </w:tcPr>
          <w:p>
            <w:pPr>
              <w:spacing w:after="0"/>
              <w:rPr>
                <w:sz w:val="17"/>
                <w:szCs w:val="17"/>
                <w:color w:val="auto"/>
              </w:rPr>
            </w:pPr>
          </w:p>
        </w:tc>
      </w:tr>
      <w:tr>
        <w:trPr>
          <w:trHeight w:val="197"/>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Theft and robbery</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33,240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12.03</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22,615</w:t>
            </w: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9.02</w:t>
            </w:r>
          </w:p>
        </w:tc>
      </w:tr>
      <w:tr>
        <w:trPr>
          <w:trHeight w:val="197"/>
        </w:trPr>
        <w:tc>
          <w:tcPr>
            <w:tcW w:w="4700" w:type="dxa"/>
            <w:vAlign w:val="bottom"/>
          </w:tcPr>
          <w:p>
            <w:pPr>
              <w:spacing w:after="0"/>
              <w:rPr>
                <w:sz w:val="20"/>
                <w:szCs w:val="20"/>
                <w:color w:val="auto"/>
              </w:rPr>
            </w:pPr>
            <w:r>
              <w:rPr>
                <w:rFonts w:ascii="Arial" w:cs="Arial" w:eastAsia="Arial" w:hAnsi="Arial"/>
                <w:sz w:val="16"/>
                <w:szCs w:val="16"/>
                <w:color w:val="auto"/>
              </w:rPr>
              <w:t>Technical lines (*)</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17,433</w:t>
            </w:r>
          </w:p>
        </w:tc>
        <w:tc>
          <w:tcPr>
            <w:tcW w:w="2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6.31</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16,779</w:t>
            </w:r>
          </w:p>
        </w:tc>
        <w:tc>
          <w:tcPr>
            <w:tcW w:w="3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6.69</w:t>
            </w:r>
          </w:p>
        </w:tc>
      </w:tr>
      <w:tr>
        <w:trPr>
          <w:trHeight w:val="197"/>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Third party liability</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14,444</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5.23</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13,810</w:t>
            </w: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5.51</w:t>
            </w:r>
          </w:p>
        </w:tc>
      </w:tr>
      <w:tr>
        <w:trPr>
          <w:trHeight w:val="197"/>
        </w:trPr>
        <w:tc>
          <w:tcPr>
            <w:tcW w:w="4700" w:type="dxa"/>
            <w:vAlign w:val="bottom"/>
          </w:tcPr>
          <w:p>
            <w:pPr>
              <w:spacing w:after="0"/>
              <w:rPr>
                <w:sz w:val="20"/>
                <w:szCs w:val="20"/>
                <w:color w:val="auto"/>
              </w:rPr>
            </w:pPr>
            <w:r>
              <w:rPr>
                <w:rFonts w:ascii="Arial" w:cs="Arial" w:eastAsia="Arial" w:hAnsi="Arial"/>
                <w:sz w:val="16"/>
                <w:szCs w:val="16"/>
                <w:color w:val="auto"/>
              </w:rPr>
              <w:t>Transport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11,334</w:t>
            </w:r>
          </w:p>
        </w:tc>
        <w:tc>
          <w:tcPr>
            <w:tcW w:w="2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4.10</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10,233</w:t>
            </w:r>
          </w:p>
        </w:tc>
        <w:tc>
          <w:tcPr>
            <w:tcW w:w="3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4.08</w:t>
            </w:r>
          </w:p>
        </w:tc>
      </w:tr>
      <w:tr>
        <w:trPr>
          <w:trHeight w:val="197"/>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SOAT (Mandatory automobile line)</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9,548</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3.46</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9,971</w:t>
            </w: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3.97</w:t>
            </w:r>
          </w:p>
        </w:tc>
      </w:tr>
      <w:tr>
        <w:trPr>
          <w:trHeight w:val="197"/>
        </w:trPr>
        <w:tc>
          <w:tcPr>
            <w:tcW w:w="4700" w:type="dxa"/>
            <w:vAlign w:val="bottom"/>
          </w:tcPr>
          <w:p>
            <w:pPr>
              <w:spacing w:after="0"/>
              <w:rPr>
                <w:sz w:val="20"/>
                <w:szCs w:val="20"/>
                <w:color w:val="auto"/>
              </w:rPr>
            </w:pPr>
            <w:r>
              <w:rPr>
                <w:rFonts w:ascii="Arial" w:cs="Arial" w:eastAsia="Arial" w:hAnsi="Arial"/>
                <w:sz w:val="16"/>
                <w:szCs w:val="16"/>
                <w:color w:val="auto"/>
              </w:rPr>
              <w:t>Marine Hull</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6,180</w:t>
            </w:r>
          </w:p>
        </w:tc>
        <w:tc>
          <w:tcPr>
            <w:tcW w:w="2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2.24</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6,822</w:t>
            </w:r>
          </w:p>
        </w:tc>
        <w:tc>
          <w:tcPr>
            <w:tcW w:w="3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2.72</w:t>
            </w:r>
          </w:p>
        </w:tc>
      </w:tr>
      <w:tr>
        <w:trPr>
          <w:trHeight w:val="197"/>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Aviation</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15,310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5.54</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3,048</w:t>
            </w: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1.21</w:t>
            </w:r>
          </w:p>
        </w:tc>
      </w:tr>
      <w:tr>
        <w:trPr>
          <w:trHeight w:val="208"/>
        </w:trPr>
        <w:tc>
          <w:tcPr>
            <w:tcW w:w="4700" w:type="dxa"/>
            <w:vAlign w:val="bottom"/>
          </w:tcPr>
          <w:p>
            <w:pPr>
              <w:spacing w:after="0"/>
              <w:rPr>
                <w:sz w:val="20"/>
                <w:szCs w:val="20"/>
                <w:color w:val="auto"/>
              </w:rPr>
            </w:pPr>
            <w:r>
              <w:rPr>
                <w:rFonts w:ascii="Arial" w:cs="Arial" w:eastAsia="Arial" w:hAnsi="Arial"/>
                <w:sz w:val="16"/>
                <w:szCs w:val="16"/>
                <w:color w:val="auto"/>
              </w:rPr>
              <w:t>Others</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10,109</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3.66</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13,101</w:t>
            </w:r>
          </w:p>
        </w:tc>
        <w:tc>
          <w:tcPr>
            <w:tcW w:w="3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5.22</w:t>
            </w:r>
          </w:p>
        </w:tc>
      </w:tr>
      <w:tr>
        <w:trPr>
          <w:trHeight w:val="202"/>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276,223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250,827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ind w:left="641" w:right="20" w:hanging="292"/>
        <w:spacing w:after="0" w:line="271" w:lineRule="auto"/>
        <w:tabs>
          <w:tab w:leader="none" w:pos="641" w:val="left"/>
        </w:tabs>
        <w:numPr>
          <w:ilvl w:val="0"/>
          <w:numId w:val="74"/>
        </w:numPr>
        <w:rPr>
          <w:rFonts w:ascii="Arial" w:cs="Arial" w:eastAsia="Arial" w:hAnsi="Arial"/>
          <w:sz w:val="16"/>
          <w:szCs w:val="16"/>
          <w:color w:val="auto"/>
        </w:rPr>
      </w:pPr>
      <w:r>
        <w:rPr>
          <w:rFonts w:ascii="Arial" w:cs="Arial" w:eastAsia="Arial" w:hAnsi="Arial"/>
          <w:sz w:val="16"/>
          <w:szCs w:val="16"/>
          <w:color w:val="auto"/>
        </w:rPr>
        <w:t>Technical lines include Contractor’s All Risk (CAR), Machinery breakdown, All Risk (EAR), Electronic equipment (EE), All Risk Contractor’s Equipment (ARCE).</w:t>
      </w:r>
    </w:p>
    <w:p>
      <w:pPr>
        <w:spacing w:after="0" w:line="358" w:lineRule="exact"/>
        <w:rPr>
          <w:rFonts w:ascii="Arial" w:cs="Arial" w:eastAsia="Arial" w:hAnsi="Arial"/>
          <w:sz w:val="16"/>
          <w:szCs w:val="16"/>
          <w:color w:val="auto"/>
        </w:rPr>
      </w:pPr>
    </w:p>
    <w:p>
      <w:pPr>
        <w:ind w:left="5301" w:hanging="93"/>
        <w:spacing w:after="0"/>
        <w:tabs>
          <w:tab w:leader="none" w:pos="5301" w:val="left"/>
        </w:tabs>
        <w:numPr>
          <w:ilvl w:val="1"/>
          <w:numId w:val="74"/>
        </w:numPr>
        <w:rPr>
          <w:rFonts w:ascii="Arial" w:cs="Arial" w:eastAsia="Arial" w:hAnsi="Arial"/>
          <w:sz w:val="16"/>
          <w:szCs w:val="16"/>
          <w:color w:val="auto"/>
        </w:rPr>
      </w:pPr>
      <w:r>
        <w:rPr>
          <w:rFonts w:ascii="Arial" w:cs="Arial" w:eastAsia="Arial" w:hAnsi="Arial"/>
          <w:sz w:val="16"/>
          <w:szCs w:val="16"/>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15875</wp:posOffset>
            </wp:positionV>
            <wp:extent cx="714438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861"/>
          </w:cols>
          <w:pgMar w:left="559" w:top="839" w:right="479" w:bottom="1440" w:gutter="0" w:footer="0" w:header="0"/>
          <w:type w:val="continuous"/>
        </w:sectPr>
      </w:pPr>
    </w:p>
    <w:bookmarkStart w:id="70" w:name="page71"/>
    <w:bookmarkEnd w:id="70"/>
    <w:p>
      <w:pPr>
        <w:spacing w:after="0"/>
        <w:tabs>
          <w:tab w:leader="none" w:pos="560" w:val="left"/>
        </w:tabs>
        <w:rPr>
          <w:sz w:val="20"/>
          <w:szCs w:val="20"/>
          <w:color w:val="auto"/>
        </w:rPr>
      </w:pPr>
      <w:r>
        <w:rPr>
          <w:rFonts w:ascii="Arial" w:cs="Arial" w:eastAsia="Arial" w:hAnsi="Arial"/>
          <w:sz w:val="16"/>
          <w:szCs w:val="16"/>
          <w:b w:val="1"/>
          <w:bCs w:val="1"/>
          <w:color w:val="auto"/>
        </w:rPr>
        <w:t>26</w:t>
      </w:r>
      <w:r>
        <w:rPr>
          <w:sz w:val="20"/>
          <w:szCs w:val="20"/>
          <w:color w:val="auto"/>
        </w:rPr>
        <w:tab/>
      </w:r>
      <w:r>
        <w:rPr>
          <w:rFonts w:ascii="Arial" w:cs="Arial" w:eastAsia="Arial" w:hAnsi="Arial"/>
          <w:sz w:val="16"/>
          <w:szCs w:val="16"/>
          <w:b w:val="1"/>
          <w:bCs w:val="1"/>
          <w:color w:val="auto"/>
        </w:rPr>
        <w:t>NET CLAIMS INCURRED FOR LIFE, GENERAL AND HEALTH INSURANCE CONTRACTS</w:t>
      </w:r>
    </w:p>
    <w:p>
      <w:pPr>
        <w:sectPr>
          <w:pgSz w:w="11900" w:h="16838" w:orient="portrait"/>
          <w:cols w:equalWidth="0" w:num="1">
            <w:col w:w="10640"/>
          </w:cols>
          <w:pgMar w:left="320" w:top="835" w:right="939" w:bottom="1440" w:gutter="0" w:footer="0" w:header="0"/>
        </w:sectPr>
      </w:pPr>
    </w:p>
    <w:p>
      <w:pPr>
        <w:spacing w:after="0" w:line="21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This item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Gross claims</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Ceded claims, Note 9(b)</w:t>
      </w:r>
    </w:p>
    <w:p>
      <w:pPr>
        <w:spacing w:after="0" w:line="2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Net insurance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Gross claims</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Ceded claims</w:t>
      </w:r>
    </w:p>
    <w:p>
      <w:pPr>
        <w:spacing w:after="0" w:line="2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Net insurance claims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For the three-month periods ended March 31,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3"/>
          </w:tcPr>
          <w:p>
            <w:pPr>
              <w:jc w:val="center"/>
              <w:ind w:right="420"/>
              <w:spacing w:after="0" w:line="174" w:lineRule="exact"/>
              <w:rPr>
                <w:sz w:val="20"/>
                <w:szCs w:val="20"/>
                <w:color w:val="auto"/>
              </w:rPr>
            </w:pPr>
            <w:r>
              <w:rPr>
                <w:rFonts w:ascii="Arial" w:cs="Arial" w:eastAsia="Arial" w:hAnsi="Arial"/>
                <w:sz w:val="16"/>
                <w:szCs w:val="16"/>
                <w:b w:val="1"/>
                <w:bCs w:val="1"/>
                <w:color w:val="auto"/>
                <w:w w:val="98"/>
              </w:rPr>
              <w:t>Life</w:t>
            </w:r>
          </w:p>
        </w:tc>
        <w:tc>
          <w:tcPr>
            <w:tcW w:w="1300" w:type="dxa"/>
            <w:vAlign w:val="bottom"/>
            <w:tcBorders>
              <w:top w:val="single" w:sz="8" w:color="auto"/>
            </w:tcBorders>
            <w:gridSpan w:val="3"/>
          </w:tcPr>
          <w:p>
            <w:pPr>
              <w:jc w:val="center"/>
              <w:ind w:right="400"/>
              <w:spacing w:after="0" w:line="174" w:lineRule="exact"/>
              <w:rPr>
                <w:sz w:val="20"/>
                <w:szCs w:val="20"/>
                <w:color w:val="auto"/>
              </w:rPr>
            </w:pPr>
            <w:r>
              <w:rPr>
                <w:rFonts w:ascii="Arial" w:cs="Arial" w:eastAsia="Arial" w:hAnsi="Arial"/>
                <w:sz w:val="16"/>
                <w:szCs w:val="16"/>
                <w:b w:val="1"/>
                <w:bCs w:val="1"/>
                <w:color w:val="auto"/>
                <w:w w:val="97"/>
              </w:rPr>
              <w:t>General</w:t>
            </w:r>
          </w:p>
        </w:tc>
        <w:tc>
          <w:tcPr>
            <w:tcW w:w="1300" w:type="dxa"/>
            <w:vAlign w:val="bottom"/>
            <w:tcBorders>
              <w:top w:val="single" w:sz="8" w:color="auto"/>
            </w:tcBorders>
            <w:gridSpan w:val="3"/>
          </w:tcPr>
          <w:p>
            <w:pPr>
              <w:jc w:val="center"/>
              <w:ind w:right="400"/>
              <w:spacing w:after="0" w:line="174" w:lineRule="exact"/>
              <w:rPr>
                <w:sz w:val="20"/>
                <w:szCs w:val="20"/>
                <w:color w:val="auto"/>
              </w:rPr>
            </w:pPr>
            <w:r>
              <w:rPr>
                <w:rFonts w:ascii="Arial" w:cs="Arial" w:eastAsia="Arial" w:hAnsi="Arial"/>
                <w:sz w:val="16"/>
                <w:szCs w:val="16"/>
                <w:b w:val="1"/>
                <w:bCs w:val="1"/>
                <w:color w:val="auto"/>
                <w:w w:val="93"/>
              </w:rPr>
              <w:t>Health</w:t>
            </w:r>
          </w:p>
        </w:tc>
        <w:tc>
          <w:tcPr>
            <w:tcW w:w="10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12"/>
        </w:trPr>
        <w:tc>
          <w:tcPr>
            <w:tcW w:w="100" w:type="dxa"/>
            <w:vAlign w:val="bottom"/>
          </w:tcPr>
          <w:p>
            <w:pPr>
              <w:spacing w:after="0"/>
              <w:rPr>
                <w:sz w:val="18"/>
                <w:szCs w:val="18"/>
                <w:color w:val="auto"/>
              </w:rPr>
            </w:pPr>
          </w:p>
        </w:tc>
        <w:tc>
          <w:tcPr>
            <w:tcW w:w="134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9"/>
              </w:rPr>
              <w:t>insurance</w:t>
            </w:r>
          </w:p>
        </w:tc>
        <w:tc>
          <w:tcPr>
            <w:tcW w:w="13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2"/>
              </w:rPr>
              <w:t>insurance</w:t>
            </w:r>
          </w:p>
        </w:tc>
        <w:tc>
          <w:tcPr>
            <w:tcW w:w="130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9"/>
              </w:rPr>
              <w:t>insurance</w:t>
            </w: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Total</w:t>
            </w:r>
          </w:p>
        </w:tc>
      </w:tr>
      <w:tr>
        <w:trPr>
          <w:trHeight w:val="177"/>
        </w:trPr>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18"/>
              <w:spacing w:after="0" w:line="178" w:lineRule="exact"/>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18"/>
              <w:spacing w:after="0" w:line="178" w:lineRule="exact"/>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18"/>
              <w:spacing w:after="0" w:line="178" w:lineRule="exact"/>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18"/>
              <w:spacing w:after="0" w:line="178" w:lineRule="exact"/>
              <w:rPr>
                <w:sz w:val="20"/>
                <w:szCs w:val="20"/>
                <w:color w:val="auto"/>
              </w:rPr>
            </w:pPr>
            <w:r>
              <w:rPr>
                <w:rFonts w:ascii="Arial" w:cs="Arial" w:eastAsia="Arial" w:hAnsi="Arial"/>
                <w:sz w:val="16"/>
                <w:szCs w:val="16"/>
                <w:b w:val="1"/>
                <w:bCs w:val="1"/>
                <w:color w:val="auto"/>
                <w:w w:val="95"/>
              </w:rPr>
              <w:t>S/(000)</w:t>
            </w:r>
          </w:p>
        </w:tc>
        <w:tc>
          <w:tcPr>
            <w:tcW w:w="60" w:type="dxa"/>
            <w:vAlign w:val="bottom"/>
          </w:tcPr>
          <w:p>
            <w:pPr>
              <w:spacing w:after="0"/>
              <w:rPr>
                <w:sz w:val="15"/>
                <w:szCs w:val="15"/>
                <w:color w:val="auto"/>
              </w:rPr>
            </w:pPr>
          </w:p>
        </w:tc>
      </w:tr>
      <w:tr>
        <w:trPr>
          <w:trHeight w:val="197"/>
        </w:trPr>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260,122</w:t>
            </w:r>
          </w:p>
        </w:tc>
        <w:tc>
          <w:tcPr>
            <w:tcW w:w="1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80,319</w:t>
            </w:r>
          </w:p>
        </w:tc>
        <w:tc>
          <w:tcPr>
            <w:tcW w:w="1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75,468</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415,909</w:t>
            </w:r>
          </w:p>
        </w:tc>
        <w:tc>
          <w:tcPr>
            <w:tcW w:w="60" w:type="dxa"/>
            <w:vAlign w:val="bottom"/>
          </w:tcPr>
          <w:p>
            <w:pPr>
              <w:spacing w:after="0"/>
              <w:rPr>
                <w:sz w:val="17"/>
                <w:szCs w:val="17"/>
                <w:color w:val="auto"/>
              </w:rPr>
            </w:pPr>
          </w:p>
        </w:tc>
      </w:tr>
      <w:tr>
        <w:trPr>
          <w:trHeight w:val="221"/>
        </w:trPr>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(23,606)</w:t>
            </w: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(19,428)</w:t>
            </w: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(42,407)</w:t>
            </w:r>
          </w:p>
        </w:tc>
      </w:tr>
      <w:tr>
        <w:trPr>
          <w:trHeight w:val="20"/>
        </w:trPr>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236,516</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60,891</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76,095</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373,502</w:t>
            </w:r>
          </w:p>
        </w:tc>
        <w:tc>
          <w:tcPr>
            <w:tcW w:w="6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2"/>
        </w:trPr>
        <w:tc>
          <w:tcPr>
            <w:tcW w:w="100" w:type="dxa"/>
            <w:vAlign w:val="bottom"/>
          </w:tcPr>
          <w:p>
            <w:pPr>
              <w:spacing w:after="0"/>
              <w:rPr>
                <w:sz w:val="24"/>
                <w:szCs w:val="24"/>
                <w:color w:val="auto"/>
              </w:rPr>
            </w:pPr>
          </w:p>
        </w:tc>
        <w:tc>
          <w:tcPr>
            <w:tcW w:w="5000" w:type="dxa"/>
            <w:vAlign w:val="bottom"/>
            <w:gridSpan w:val="11"/>
          </w:tcPr>
          <w:p>
            <w:pPr>
              <w:jc w:val="right"/>
              <w:ind w:right="800"/>
              <w:spacing w:after="0"/>
              <w:rPr>
                <w:sz w:val="20"/>
                <w:szCs w:val="20"/>
                <w:color w:val="auto"/>
              </w:rPr>
            </w:pPr>
            <w:r>
              <w:rPr>
                <w:rFonts w:ascii="Arial" w:cs="Arial" w:eastAsia="Arial" w:hAnsi="Arial"/>
                <w:sz w:val="16"/>
                <w:szCs w:val="16"/>
                <w:b w:val="1"/>
                <w:bCs w:val="1"/>
                <w:color w:val="auto"/>
              </w:rPr>
              <w:t>For the three-month periods ended March 31, 2019</w:t>
            </w:r>
          </w:p>
        </w:tc>
      </w:tr>
      <w:tr>
        <w:trPr>
          <w:trHeight w:val="173"/>
        </w:trPr>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3"/>
          </w:tcPr>
          <w:p>
            <w:pPr>
              <w:jc w:val="center"/>
              <w:ind w:right="420"/>
              <w:spacing w:after="0" w:line="173" w:lineRule="exact"/>
              <w:rPr>
                <w:sz w:val="20"/>
                <w:szCs w:val="20"/>
                <w:color w:val="auto"/>
              </w:rPr>
            </w:pPr>
            <w:r>
              <w:rPr>
                <w:rFonts w:ascii="Arial" w:cs="Arial" w:eastAsia="Arial" w:hAnsi="Arial"/>
                <w:sz w:val="16"/>
                <w:szCs w:val="16"/>
                <w:b w:val="1"/>
                <w:bCs w:val="1"/>
                <w:color w:val="auto"/>
                <w:w w:val="98"/>
              </w:rPr>
              <w:t>Life</w:t>
            </w:r>
          </w:p>
        </w:tc>
        <w:tc>
          <w:tcPr>
            <w:tcW w:w="1300" w:type="dxa"/>
            <w:vAlign w:val="bottom"/>
            <w:tcBorders>
              <w:top w:val="single" w:sz="8" w:color="auto"/>
            </w:tcBorders>
            <w:gridSpan w:val="3"/>
          </w:tcPr>
          <w:p>
            <w:pPr>
              <w:jc w:val="center"/>
              <w:ind w:right="400"/>
              <w:spacing w:after="0" w:line="173" w:lineRule="exact"/>
              <w:rPr>
                <w:sz w:val="20"/>
                <w:szCs w:val="20"/>
                <w:color w:val="auto"/>
              </w:rPr>
            </w:pPr>
            <w:r>
              <w:rPr>
                <w:rFonts w:ascii="Arial" w:cs="Arial" w:eastAsia="Arial" w:hAnsi="Arial"/>
                <w:sz w:val="16"/>
                <w:szCs w:val="16"/>
                <w:b w:val="1"/>
                <w:bCs w:val="1"/>
                <w:color w:val="auto"/>
                <w:w w:val="97"/>
              </w:rPr>
              <w:t>General</w:t>
            </w:r>
          </w:p>
        </w:tc>
        <w:tc>
          <w:tcPr>
            <w:tcW w:w="1300" w:type="dxa"/>
            <w:vAlign w:val="bottom"/>
            <w:tcBorders>
              <w:top w:val="single" w:sz="8" w:color="auto"/>
            </w:tcBorders>
            <w:gridSpan w:val="3"/>
          </w:tcPr>
          <w:p>
            <w:pPr>
              <w:jc w:val="center"/>
              <w:ind w:right="400"/>
              <w:spacing w:after="0" w:line="173" w:lineRule="exact"/>
              <w:rPr>
                <w:sz w:val="20"/>
                <w:szCs w:val="20"/>
                <w:color w:val="auto"/>
              </w:rPr>
            </w:pPr>
            <w:r>
              <w:rPr>
                <w:rFonts w:ascii="Arial" w:cs="Arial" w:eastAsia="Arial" w:hAnsi="Arial"/>
                <w:sz w:val="16"/>
                <w:szCs w:val="16"/>
                <w:b w:val="1"/>
                <w:bCs w:val="1"/>
                <w:color w:val="auto"/>
                <w:w w:val="93"/>
              </w:rPr>
              <w:t>Health</w:t>
            </w:r>
          </w:p>
        </w:tc>
        <w:tc>
          <w:tcPr>
            <w:tcW w:w="10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12"/>
        </w:trPr>
        <w:tc>
          <w:tcPr>
            <w:tcW w:w="100" w:type="dxa"/>
            <w:vAlign w:val="bottom"/>
          </w:tcPr>
          <w:p>
            <w:pPr>
              <w:spacing w:after="0"/>
              <w:rPr>
                <w:sz w:val="18"/>
                <w:szCs w:val="18"/>
                <w:color w:val="auto"/>
              </w:rPr>
            </w:pPr>
          </w:p>
        </w:tc>
        <w:tc>
          <w:tcPr>
            <w:tcW w:w="134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9"/>
              </w:rPr>
              <w:t>insurance</w:t>
            </w:r>
          </w:p>
        </w:tc>
        <w:tc>
          <w:tcPr>
            <w:tcW w:w="13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2"/>
              </w:rPr>
              <w:t>insurance</w:t>
            </w:r>
          </w:p>
        </w:tc>
        <w:tc>
          <w:tcPr>
            <w:tcW w:w="130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9"/>
              </w:rPr>
              <w:t>insurance</w:t>
            </w: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Total</w:t>
            </w:r>
          </w:p>
        </w:tc>
      </w:tr>
      <w:tr>
        <w:trPr>
          <w:trHeight w:val="177"/>
        </w:trPr>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18"/>
              <w:spacing w:after="0" w:line="178" w:lineRule="exact"/>
              <w:rPr>
                <w:sz w:val="20"/>
                <w:szCs w:val="20"/>
                <w:color w:val="auto"/>
              </w:rPr>
            </w:pPr>
            <w:r>
              <w:rPr>
                <w:rFonts w:ascii="Arial" w:cs="Arial" w:eastAsia="Arial" w:hAnsi="Arial"/>
                <w:sz w:val="16"/>
                <w:szCs w:val="16"/>
                <w:b w:val="1"/>
                <w:bCs w:val="1"/>
                <w:color w:val="auto"/>
                <w:w w:val="91"/>
              </w:rPr>
              <w:t>S/(000)</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18"/>
              <w:spacing w:after="0" w:line="178" w:lineRule="exact"/>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18"/>
              <w:spacing w:after="0" w:line="178" w:lineRule="exact"/>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18"/>
              <w:spacing w:after="0" w:line="178" w:lineRule="exact"/>
              <w:rPr>
                <w:sz w:val="20"/>
                <w:szCs w:val="20"/>
                <w:color w:val="auto"/>
              </w:rPr>
            </w:pPr>
            <w:r>
              <w:rPr>
                <w:rFonts w:ascii="Arial" w:cs="Arial" w:eastAsia="Arial" w:hAnsi="Arial"/>
                <w:sz w:val="16"/>
                <w:szCs w:val="16"/>
                <w:b w:val="1"/>
                <w:bCs w:val="1"/>
                <w:color w:val="auto"/>
                <w:w w:val="95"/>
              </w:rPr>
              <w:t>S/(000)</w:t>
            </w:r>
          </w:p>
        </w:tc>
        <w:tc>
          <w:tcPr>
            <w:tcW w:w="60" w:type="dxa"/>
            <w:vAlign w:val="bottom"/>
          </w:tcPr>
          <w:p>
            <w:pPr>
              <w:spacing w:after="0"/>
              <w:rPr>
                <w:sz w:val="15"/>
                <w:szCs w:val="15"/>
                <w:color w:val="auto"/>
              </w:rPr>
            </w:pPr>
          </w:p>
        </w:tc>
      </w:tr>
      <w:tr>
        <w:trPr>
          <w:trHeight w:val="197"/>
        </w:trPr>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246,516</w:t>
            </w:r>
          </w:p>
        </w:tc>
        <w:tc>
          <w:tcPr>
            <w:tcW w:w="1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163,865</w:t>
            </w:r>
          </w:p>
        </w:tc>
        <w:tc>
          <w:tcPr>
            <w:tcW w:w="1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82,202</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492,583</w:t>
            </w:r>
          </w:p>
        </w:tc>
        <w:tc>
          <w:tcPr>
            <w:tcW w:w="60" w:type="dxa"/>
            <w:vAlign w:val="bottom"/>
          </w:tcPr>
          <w:p>
            <w:pPr>
              <w:spacing w:after="0"/>
              <w:rPr>
                <w:sz w:val="17"/>
                <w:szCs w:val="17"/>
                <w:color w:val="auto"/>
              </w:rPr>
            </w:pPr>
          </w:p>
        </w:tc>
      </w:tr>
      <w:tr>
        <w:trPr>
          <w:trHeight w:val="221"/>
        </w:trPr>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(27,126)</w:t>
            </w: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(80,602)</w:t>
            </w: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(108,766)</w:t>
            </w:r>
          </w:p>
        </w:tc>
      </w:tr>
      <w:tr>
        <w:trPr>
          <w:trHeight w:val="20"/>
        </w:trPr>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219,390</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83,263</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81,164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383,817</w:t>
            </w:r>
          </w:p>
        </w:tc>
        <w:tc>
          <w:tcPr>
            <w:tcW w:w="6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-1504950</wp:posOffset>
            </wp:positionV>
            <wp:extent cx="6426835" cy="1250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26835" cy="12509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-1247140</wp:posOffset>
            </wp:positionV>
            <wp:extent cx="6426835" cy="1562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26835" cy="15621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-428625</wp:posOffset>
            </wp:positionV>
            <wp:extent cx="6426835" cy="1250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26835" cy="12509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-170815</wp:posOffset>
            </wp:positionV>
            <wp:extent cx="6426835" cy="1562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26835" cy="156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20" w:space="720"/>
            <w:col w:w="5100"/>
          </w:cols>
          <w:pgMar w:left="320" w:top="835" w:right="939" w:bottom="1440" w:gutter="0" w:footer="0" w:header="0"/>
          <w:type w:val="continuous"/>
        </w:sectPr>
      </w:pPr>
    </w:p>
    <w:p>
      <w:pPr>
        <w:spacing w:after="0" w:line="181"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640"/>
          </w:cols>
          <w:pgMar w:left="320" w:top="835" w:right="939" w:bottom="1440" w:gutter="0" w:footer="0" w:header="0"/>
          <w:type w:val="continuous"/>
        </w:sectPr>
      </w:pPr>
    </w:p>
    <w:bookmarkStart w:id="71" w:name="page72"/>
    <w:bookmarkEnd w:id="71"/>
    <w:p>
      <w:pPr>
        <w:ind w:left="582" w:right="7520" w:hanging="582"/>
        <w:spacing w:after="0" w:line="512" w:lineRule="auto"/>
        <w:tabs>
          <w:tab w:leader="none" w:pos="582"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SALARIES AND EMPLOYEES BENEFITS </w:t>
      </w:r>
      <w:r>
        <w:rPr>
          <w:rFonts w:ascii="Arial" w:cs="Arial" w:eastAsia="Arial" w:hAnsi="Arial"/>
          <w:sz w:val="16"/>
          <w:szCs w:val="16"/>
          <w:color w:val="auto"/>
        </w:rPr>
        <w:t>This item consists of the following:</w:t>
      </w:r>
    </w:p>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5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5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1"/>
              </w:rPr>
              <w:t>For the three-month periods ended</w:t>
            </w:r>
          </w:p>
        </w:tc>
        <w:tc>
          <w:tcPr>
            <w:tcW w:w="300" w:type="dxa"/>
            <w:vAlign w:val="bottom"/>
          </w:tcPr>
          <w:p>
            <w:pPr>
              <w:spacing w:after="0"/>
              <w:rPr>
                <w:sz w:val="17"/>
                <w:szCs w:val="17"/>
                <w:color w:val="auto"/>
              </w:rPr>
            </w:pPr>
          </w:p>
        </w:tc>
      </w:tr>
      <w:tr>
        <w:trPr>
          <w:trHeight w:val="212"/>
        </w:trPr>
        <w:tc>
          <w:tcPr>
            <w:tcW w:w="5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60" w:type="dxa"/>
            <w:vAlign w:val="bottom"/>
            <w:tcBorders>
              <w:bottom w:val="single" w:sz="8" w:color="auto"/>
            </w:tcBorders>
            <w:gridSpan w:val="3"/>
          </w:tcPr>
          <w:p>
            <w:pPr>
              <w:jc w:val="center"/>
              <w:ind w:left="738"/>
              <w:spacing w:after="0"/>
              <w:rPr>
                <w:sz w:val="20"/>
                <w:szCs w:val="20"/>
                <w:color w:val="auto"/>
              </w:rPr>
            </w:pPr>
            <w:r>
              <w:rPr>
                <w:rFonts w:ascii="Arial" w:cs="Arial" w:eastAsia="Arial" w:hAnsi="Arial"/>
                <w:sz w:val="16"/>
                <w:szCs w:val="16"/>
                <w:b w:val="1"/>
                <w:bCs w:val="1"/>
                <w:color w:val="auto"/>
                <w:w w:val="97"/>
              </w:rPr>
              <w:t>March 31,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2"/>
        </w:trPr>
        <w:tc>
          <w:tcPr>
            <w:tcW w:w="5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1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89"/>
        </w:trPr>
        <w:tc>
          <w:tcPr>
            <w:tcW w:w="5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140" w:type="dxa"/>
            <w:vAlign w:val="bottom"/>
          </w:tcPr>
          <w:p>
            <w:pPr>
              <w:jc w:val="right"/>
              <w:ind w:right="178"/>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198"/>
              <w:spacing w:after="0"/>
              <w:rPr>
                <w:sz w:val="20"/>
                <w:szCs w:val="20"/>
                <w:color w:val="auto"/>
              </w:rPr>
            </w:pPr>
            <w:r>
              <w:rPr>
                <w:rFonts w:ascii="Arial" w:cs="Arial" w:eastAsia="Arial" w:hAnsi="Arial"/>
                <w:sz w:val="16"/>
                <w:szCs w:val="16"/>
                <w:b w:val="1"/>
                <w:bCs w:val="1"/>
                <w:color w:val="auto"/>
                <w:w w:val="99"/>
              </w:rPr>
              <w:t>S/(000)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7"/>
        </w:trPr>
        <w:tc>
          <w:tcPr>
            <w:tcW w:w="58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Salaries</w:t>
            </w:r>
          </w:p>
        </w:tc>
        <w:tc>
          <w:tcPr>
            <w:tcW w:w="53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493,689</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445,750</w:t>
            </w:r>
          </w:p>
        </w:tc>
        <w:tc>
          <w:tcPr>
            <w:tcW w:w="300" w:type="dxa"/>
            <w:vAlign w:val="bottom"/>
          </w:tcPr>
          <w:p>
            <w:pPr>
              <w:spacing w:after="0"/>
              <w:rPr>
                <w:sz w:val="17"/>
                <w:szCs w:val="17"/>
                <w:color w:val="auto"/>
              </w:rPr>
            </w:pPr>
          </w:p>
        </w:tc>
      </w:tr>
      <w:tr>
        <w:trPr>
          <w:trHeight w:val="197"/>
        </w:trPr>
        <w:tc>
          <w:tcPr>
            <w:tcW w:w="58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Vacations, medical assistance and others</w:t>
            </w:r>
          </w:p>
        </w:tc>
        <w:tc>
          <w:tcPr>
            <w:tcW w:w="5360" w:type="dxa"/>
            <w:vAlign w:val="bottom"/>
            <w:gridSpan w:val="3"/>
          </w:tcPr>
          <w:p>
            <w:pPr>
              <w:jc w:val="right"/>
              <w:ind w:right="200"/>
              <w:spacing w:after="0"/>
              <w:rPr>
                <w:sz w:val="20"/>
                <w:szCs w:val="20"/>
                <w:color w:val="auto"/>
              </w:rPr>
            </w:pPr>
            <w:r>
              <w:rPr>
                <w:rFonts w:ascii="Arial" w:cs="Arial" w:eastAsia="Arial" w:hAnsi="Arial"/>
                <w:sz w:val="16"/>
                <w:szCs w:val="16"/>
                <w:color w:val="auto"/>
              </w:rPr>
              <w:t>86,734</w:t>
            </w:r>
          </w:p>
        </w:tc>
        <w:tc>
          <w:tcPr>
            <w:tcW w:w="3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78,562</w:t>
            </w:r>
          </w:p>
        </w:tc>
        <w:tc>
          <w:tcPr>
            <w:tcW w:w="300" w:type="dxa"/>
            <w:vAlign w:val="bottom"/>
          </w:tcPr>
          <w:p>
            <w:pPr>
              <w:spacing w:after="0"/>
              <w:rPr>
                <w:sz w:val="17"/>
                <w:szCs w:val="17"/>
                <w:color w:val="auto"/>
              </w:rPr>
            </w:pPr>
          </w:p>
        </w:tc>
      </w:tr>
      <w:tr>
        <w:trPr>
          <w:trHeight w:val="197"/>
        </w:trPr>
        <w:tc>
          <w:tcPr>
            <w:tcW w:w="58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Bonuses</w:t>
            </w:r>
          </w:p>
        </w:tc>
        <w:tc>
          <w:tcPr>
            <w:tcW w:w="53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69,505</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67,410</w:t>
            </w:r>
          </w:p>
        </w:tc>
        <w:tc>
          <w:tcPr>
            <w:tcW w:w="300" w:type="dxa"/>
            <w:vAlign w:val="bottom"/>
          </w:tcPr>
          <w:p>
            <w:pPr>
              <w:spacing w:after="0"/>
              <w:rPr>
                <w:sz w:val="17"/>
                <w:szCs w:val="17"/>
                <w:color w:val="auto"/>
              </w:rPr>
            </w:pPr>
          </w:p>
        </w:tc>
      </w:tr>
      <w:tr>
        <w:trPr>
          <w:trHeight w:val="197"/>
        </w:trPr>
        <w:tc>
          <w:tcPr>
            <w:tcW w:w="58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Workers’ profit sharing</w:t>
            </w:r>
          </w:p>
        </w:tc>
        <w:tc>
          <w:tcPr>
            <w:tcW w:w="5360" w:type="dxa"/>
            <w:vAlign w:val="bottom"/>
            <w:gridSpan w:val="3"/>
          </w:tcPr>
          <w:p>
            <w:pPr>
              <w:jc w:val="right"/>
              <w:ind w:right="200"/>
              <w:spacing w:after="0"/>
              <w:rPr>
                <w:sz w:val="20"/>
                <w:szCs w:val="20"/>
                <w:color w:val="auto"/>
              </w:rPr>
            </w:pPr>
            <w:r>
              <w:rPr>
                <w:rFonts w:ascii="Arial" w:cs="Arial" w:eastAsia="Arial" w:hAnsi="Arial"/>
                <w:sz w:val="16"/>
                <w:szCs w:val="16"/>
                <w:color w:val="auto"/>
              </w:rPr>
              <w:t>57,102</w:t>
            </w:r>
          </w:p>
        </w:tc>
        <w:tc>
          <w:tcPr>
            <w:tcW w:w="3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58,293</w:t>
            </w:r>
          </w:p>
        </w:tc>
        <w:tc>
          <w:tcPr>
            <w:tcW w:w="300" w:type="dxa"/>
            <w:vAlign w:val="bottom"/>
          </w:tcPr>
          <w:p>
            <w:pPr>
              <w:spacing w:after="0"/>
              <w:rPr>
                <w:sz w:val="17"/>
                <w:szCs w:val="17"/>
                <w:color w:val="auto"/>
              </w:rPr>
            </w:pPr>
          </w:p>
        </w:tc>
      </w:tr>
      <w:tr>
        <w:trPr>
          <w:trHeight w:val="197"/>
        </w:trPr>
        <w:tc>
          <w:tcPr>
            <w:tcW w:w="58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Social security</w:t>
            </w:r>
          </w:p>
        </w:tc>
        <w:tc>
          <w:tcPr>
            <w:tcW w:w="53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60,286</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56,699</w:t>
            </w:r>
          </w:p>
        </w:tc>
        <w:tc>
          <w:tcPr>
            <w:tcW w:w="300" w:type="dxa"/>
            <w:vAlign w:val="bottom"/>
          </w:tcPr>
          <w:p>
            <w:pPr>
              <w:spacing w:after="0"/>
              <w:rPr>
                <w:sz w:val="17"/>
                <w:szCs w:val="17"/>
                <w:color w:val="auto"/>
              </w:rPr>
            </w:pPr>
          </w:p>
        </w:tc>
      </w:tr>
      <w:tr>
        <w:trPr>
          <w:trHeight w:val="197"/>
        </w:trPr>
        <w:tc>
          <w:tcPr>
            <w:tcW w:w="58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Additional participation</w:t>
            </w:r>
          </w:p>
        </w:tc>
        <w:tc>
          <w:tcPr>
            <w:tcW w:w="5360" w:type="dxa"/>
            <w:vAlign w:val="bottom"/>
            <w:gridSpan w:val="3"/>
          </w:tcPr>
          <w:p>
            <w:pPr>
              <w:jc w:val="right"/>
              <w:ind w:right="200"/>
              <w:spacing w:after="0"/>
              <w:rPr>
                <w:sz w:val="20"/>
                <w:szCs w:val="20"/>
                <w:color w:val="auto"/>
              </w:rPr>
            </w:pPr>
            <w:r>
              <w:rPr>
                <w:rFonts w:ascii="Arial" w:cs="Arial" w:eastAsia="Arial" w:hAnsi="Arial"/>
                <w:sz w:val="16"/>
                <w:szCs w:val="16"/>
                <w:color w:val="auto"/>
              </w:rPr>
              <w:t>63,247</w:t>
            </w:r>
          </w:p>
        </w:tc>
        <w:tc>
          <w:tcPr>
            <w:tcW w:w="3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62,095</w:t>
            </w:r>
          </w:p>
        </w:tc>
        <w:tc>
          <w:tcPr>
            <w:tcW w:w="300" w:type="dxa"/>
            <w:vAlign w:val="bottom"/>
          </w:tcPr>
          <w:p>
            <w:pPr>
              <w:spacing w:after="0"/>
              <w:rPr>
                <w:sz w:val="17"/>
                <w:szCs w:val="17"/>
                <w:color w:val="auto"/>
              </w:rPr>
            </w:pPr>
          </w:p>
        </w:tc>
      </w:tr>
      <w:tr>
        <w:trPr>
          <w:trHeight w:val="197"/>
        </w:trPr>
        <w:tc>
          <w:tcPr>
            <w:tcW w:w="58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Severance indemnities</w:t>
            </w:r>
          </w:p>
        </w:tc>
        <w:tc>
          <w:tcPr>
            <w:tcW w:w="53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40,500</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39,118</w:t>
            </w:r>
          </w:p>
        </w:tc>
        <w:tc>
          <w:tcPr>
            <w:tcW w:w="300" w:type="dxa"/>
            <w:vAlign w:val="bottom"/>
          </w:tcPr>
          <w:p>
            <w:pPr>
              <w:spacing w:after="0"/>
              <w:rPr>
                <w:sz w:val="17"/>
                <w:szCs w:val="17"/>
                <w:color w:val="auto"/>
              </w:rPr>
            </w:pPr>
          </w:p>
        </w:tc>
      </w:tr>
      <w:tr>
        <w:trPr>
          <w:trHeight w:val="208"/>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Share-based payment plans</w:t>
            </w:r>
          </w:p>
        </w:tc>
        <w:tc>
          <w:tcPr>
            <w:tcW w:w="5360" w:type="dxa"/>
            <w:vAlign w:val="bottom"/>
            <w:gridSpan w:val="3"/>
          </w:tcPr>
          <w:p>
            <w:pPr>
              <w:jc w:val="right"/>
              <w:ind w:right="200"/>
              <w:spacing w:after="0"/>
              <w:rPr>
                <w:sz w:val="20"/>
                <w:szCs w:val="20"/>
                <w:color w:val="auto"/>
              </w:rPr>
            </w:pPr>
            <w:r>
              <w:rPr>
                <w:rFonts w:ascii="Arial" w:cs="Arial" w:eastAsia="Arial" w:hAnsi="Arial"/>
                <w:sz w:val="16"/>
                <w:szCs w:val="16"/>
                <w:color w:val="auto"/>
              </w:rPr>
              <w:t>20,120</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26,390</w:t>
            </w:r>
          </w:p>
        </w:tc>
        <w:tc>
          <w:tcPr>
            <w:tcW w:w="300" w:type="dxa"/>
            <w:vAlign w:val="bottom"/>
          </w:tcPr>
          <w:p>
            <w:pPr>
              <w:spacing w:after="0"/>
              <w:rPr>
                <w:sz w:val="18"/>
                <w:szCs w:val="18"/>
                <w:color w:val="auto"/>
              </w:rPr>
            </w:pPr>
          </w:p>
        </w:tc>
      </w:tr>
      <w:tr>
        <w:trPr>
          <w:trHeight w:val="190"/>
        </w:trPr>
        <w:tc>
          <w:tcPr>
            <w:tcW w:w="580" w:type="dxa"/>
            <w:vAlign w:val="bottom"/>
          </w:tcPr>
          <w:p>
            <w:pPr>
              <w:spacing w:after="0"/>
              <w:rPr>
                <w:sz w:val="16"/>
                <w:szCs w:val="16"/>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40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891,183</w:t>
            </w:r>
          </w:p>
        </w:tc>
        <w:tc>
          <w:tcPr>
            <w:tcW w:w="2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834,317</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Pr>
          <w:p>
            <w:pPr>
              <w:spacing w:after="0"/>
              <w:rPr>
                <w:sz w:val="16"/>
                <w:szCs w:val="16"/>
                <w:color w:val="auto"/>
              </w:rPr>
            </w:pPr>
          </w:p>
        </w:tc>
      </w:tr>
      <w:tr>
        <w:trPr>
          <w:trHeight w:val="581"/>
        </w:trPr>
        <w:tc>
          <w:tcPr>
            <w:tcW w:w="5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jc w:val="right"/>
              <w:ind w:right="2478"/>
              <w:spacing w:after="0"/>
              <w:rPr>
                <w:sz w:val="20"/>
                <w:szCs w:val="20"/>
                <w:color w:val="auto"/>
              </w:rPr>
            </w:pPr>
            <w:r>
              <w:rPr>
                <w:rFonts w:ascii="Arial" w:cs="Arial" w:eastAsia="Arial" w:hAnsi="Arial"/>
                <w:sz w:val="16"/>
                <w:szCs w:val="16"/>
                <w:color w:val="auto"/>
              </w:rPr>
              <w:t>-66-</w:t>
            </w: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2"/>
          </w:cols>
          <w:pgMar w:left="318" w:top="1032" w:right="3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 w:type="dxa"/>
            <w:vAlign w:val="bottom"/>
          </w:tcPr>
          <w:p>
            <w:pPr>
              <w:jc w:val="right"/>
              <w:ind w:right="138"/>
              <w:spacing w:after="0"/>
              <w:rPr>
                <w:sz w:val="20"/>
                <w:szCs w:val="20"/>
                <w:color w:val="auto"/>
              </w:rPr>
            </w:pPr>
            <w:r>
              <w:rPr>
                <w:rFonts w:ascii="Arial" w:cs="Arial" w:eastAsia="Arial" w:hAnsi="Arial"/>
                <w:sz w:val="16"/>
                <w:szCs w:val="16"/>
                <w:b w:val="1"/>
                <w:bCs w:val="1"/>
                <w:color w:val="auto"/>
                <w:w w:val="78"/>
              </w:rPr>
              <w:t>28</w:t>
            </w:r>
          </w:p>
        </w:tc>
        <w:tc>
          <w:tcPr>
            <w:tcW w:w="7980" w:type="dxa"/>
            <w:vAlign w:val="bottom"/>
            <w:gridSpan w:val="2"/>
          </w:tcPr>
          <w:p>
            <w:pPr>
              <w:ind w:left="200"/>
              <w:spacing w:after="0"/>
              <w:rPr>
                <w:sz w:val="20"/>
                <w:szCs w:val="20"/>
                <w:color w:val="auto"/>
              </w:rPr>
            </w:pPr>
            <w:r>
              <w:rPr>
                <w:rFonts w:ascii="Arial" w:cs="Arial" w:eastAsia="Arial" w:hAnsi="Arial"/>
                <w:sz w:val="16"/>
                <w:szCs w:val="16"/>
                <w:b w:val="1"/>
                <w:bCs w:val="1"/>
                <w:color w:val="auto"/>
              </w:rPr>
              <w:t>ADMINISTRATIVE EXPENSES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93"/>
        </w:trPr>
        <w:tc>
          <w:tcPr>
            <w:tcW w:w="380" w:type="dxa"/>
            <w:vAlign w:val="bottom"/>
          </w:tcPr>
          <w:p>
            <w:pPr>
              <w:spacing w:after="0"/>
              <w:rPr>
                <w:sz w:val="24"/>
                <w:szCs w:val="24"/>
                <w:color w:val="auto"/>
              </w:rPr>
            </w:pPr>
          </w:p>
        </w:tc>
        <w:tc>
          <w:tcPr>
            <w:tcW w:w="7980" w:type="dxa"/>
            <w:vAlign w:val="bottom"/>
            <w:gridSpan w:val="2"/>
          </w:tcPr>
          <w:p>
            <w:pPr>
              <w:ind w:left="200"/>
              <w:spacing w:after="0"/>
              <w:rPr>
                <w:sz w:val="20"/>
                <w:szCs w:val="20"/>
                <w:color w:val="auto"/>
              </w:rPr>
            </w:pPr>
            <w:r>
              <w:rPr>
                <w:rFonts w:ascii="Arial" w:cs="Arial" w:eastAsia="Arial" w:hAnsi="Arial"/>
                <w:sz w:val="16"/>
                <w:szCs w:val="16"/>
                <w:color w:val="auto"/>
              </w:rPr>
              <w:t>This item consists of the following:</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58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2"/>
              </w:rPr>
              <w:t>For the three-month periods</w:t>
            </w:r>
          </w:p>
        </w:tc>
      </w:tr>
      <w:tr>
        <w:trPr>
          <w:trHeight w:val="212"/>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5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2"/>
              </w:rPr>
              <w:t>ended March 31,</w:t>
            </w:r>
          </w:p>
        </w:tc>
      </w:tr>
      <w:tr>
        <w:trPr>
          <w:trHeight w:val="202"/>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100" w:type="dxa"/>
            <w:vAlign w:val="bottom"/>
            <w:gridSpan w:val="2"/>
          </w:tcPr>
          <w:p>
            <w:pPr>
              <w:spacing w:after="0"/>
              <w:rPr>
                <w:sz w:val="16"/>
                <w:szCs w:val="16"/>
                <w:color w:val="auto"/>
              </w:rPr>
            </w:pP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Repair and maintenance</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106,360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102,916</w:t>
            </w:r>
          </w:p>
        </w:tc>
        <w:tc>
          <w:tcPr>
            <w:tcW w:w="80" w:type="dxa"/>
            <w:vAlign w:val="bottom"/>
            <w:shd w:val="clear" w:color="auto" w:fill="CCEEFF"/>
          </w:tcPr>
          <w:p>
            <w:pPr>
              <w:spacing w:after="0"/>
              <w:rPr>
                <w:sz w:val="17"/>
                <w:szCs w:val="17"/>
                <w:color w:val="auto"/>
              </w:rPr>
            </w:pP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Publicity</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75,256</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76,175</w:t>
            </w:r>
          </w:p>
        </w:tc>
        <w:tc>
          <w:tcPr>
            <w:tcW w:w="80" w:type="dxa"/>
            <w:vAlign w:val="bottom"/>
          </w:tcPr>
          <w:p>
            <w:pPr>
              <w:spacing w:after="0"/>
              <w:rPr>
                <w:sz w:val="17"/>
                <w:szCs w:val="17"/>
                <w:color w:val="auto"/>
              </w:rPr>
            </w:pP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Taxes and contributions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68,017</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66,709</w:t>
            </w:r>
          </w:p>
        </w:tc>
        <w:tc>
          <w:tcPr>
            <w:tcW w:w="80" w:type="dxa"/>
            <w:vAlign w:val="bottom"/>
            <w:shd w:val="clear" w:color="auto" w:fill="CCEEFF"/>
          </w:tcPr>
          <w:p>
            <w:pPr>
              <w:spacing w:after="0"/>
              <w:rPr>
                <w:sz w:val="17"/>
                <w:szCs w:val="17"/>
                <w:color w:val="auto"/>
              </w:rPr>
            </w:pP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Leases of low value and short-term</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18,843</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22,418</w:t>
            </w:r>
          </w:p>
        </w:tc>
        <w:tc>
          <w:tcPr>
            <w:tcW w:w="80" w:type="dxa"/>
            <w:vAlign w:val="bottom"/>
          </w:tcPr>
          <w:p>
            <w:pPr>
              <w:spacing w:after="0"/>
              <w:rPr>
                <w:sz w:val="17"/>
                <w:szCs w:val="17"/>
                <w:color w:val="auto"/>
              </w:rPr>
            </w:pP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Consulting and professional fees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39,485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41,360</w:t>
            </w:r>
          </w:p>
        </w:tc>
        <w:tc>
          <w:tcPr>
            <w:tcW w:w="80" w:type="dxa"/>
            <w:vAlign w:val="bottom"/>
            <w:shd w:val="clear" w:color="auto" w:fill="CCEEFF"/>
          </w:tcPr>
          <w:p>
            <w:pPr>
              <w:spacing w:after="0"/>
              <w:rPr>
                <w:sz w:val="17"/>
                <w:szCs w:val="17"/>
                <w:color w:val="auto"/>
              </w:rPr>
            </w:pP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Transport and communications</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35,466</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41,636</w:t>
            </w:r>
          </w:p>
        </w:tc>
        <w:tc>
          <w:tcPr>
            <w:tcW w:w="80" w:type="dxa"/>
            <w:vAlign w:val="bottom"/>
          </w:tcPr>
          <w:p>
            <w:pPr>
              <w:spacing w:after="0"/>
              <w:rPr>
                <w:sz w:val="17"/>
                <w:szCs w:val="17"/>
                <w:color w:val="auto"/>
              </w:rPr>
            </w:pP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Sundry supplies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23,424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17,564</w:t>
            </w:r>
          </w:p>
        </w:tc>
        <w:tc>
          <w:tcPr>
            <w:tcW w:w="80" w:type="dxa"/>
            <w:vAlign w:val="bottom"/>
            <w:shd w:val="clear" w:color="auto" w:fill="CCEEFF"/>
          </w:tcPr>
          <w:p>
            <w:pPr>
              <w:spacing w:after="0"/>
              <w:rPr>
                <w:sz w:val="17"/>
                <w:szCs w:val="17"/>
                <w:color w:val="auto"/>
              </w:rPr>
            </w:pP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Security and protection</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15,286</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17,002</w:t>
            </w:r>
          </w:p>
        </w:tc>
        <w:tc>
          <w:tcPr>
            <w:tcW w:w="80" w:type="dxa"/>
            <w:vAlign w:val="bottom"/>
          </w:tcPr>
          <w:p>
            <w:pPr>
              <w:spacing w:after="0"/>
              <w:rPr>
                <w:sz w:val="17"/>
                <w:szCs w:val="17"/>
                <w:color w:val="auto"/>
              </w:rPr>
            </w:pP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Electricity and water</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11,175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12,027</w:t>
            </w:r>
          </w:p>
        </w:tc>
        <w:tc>
          <w:tcPr>
            <w:tcW w:w="80" w:type="dxa"/>
            <w:vAlign w:val="bottom"/>
            <w:shd w:val="clear" w:color="auto" w:fill="CCEEFF"/>
          </w:tcPr>
          <w:p>
            <w:pPr>
              <w:spacing w:after="0"/>
              <w:rPr>
                <w:sz w:val="17"/>
                <w:szCs w:val="17"/>
                <w:color w:val="auto"/>
              </w:rPr>
            </w:pP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Subscriptions and quotes</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10,752</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9,570</w:t>
            </w:r>
          </w:p>
        </w:tc>
        <w:tc>
          <w:tcPr>
            <w:tcW w:w="80" w:type="dxa"/>
            <w:vAlign w:val="bottom"/>
          </w:tcPr>
          <w:p>
            <w:pPr>
              <w:spacing w:after="0"/>
              <w:rPr>
                <w:sz w:val="17"/>
                <w:szCs w:val="17"/>
                <w:color w:val="auto"/>
              </w:rPr>
            </w:pPr>
          </w:p>
        </w:tc>
      </w:tr>
      <w:tr>
        <w:trPr>
          <w:trHeight w:val="209"/>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Services by third-party and others (*)</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135,580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130,780</w:t>
            </w:r>
          </w:p>
        </w:tc>
        <w:tc>
          <w:tcPr>
            <w:tcW w:w="80" w:type="dxa"/>
            <w:vAlign w:val="bottom"/>
            <w:shd w:val="clear" w:color="auto" w:fill="CCEEFF"/>
          </w:tcPr>
          <w:p>
            <w:pPr>
              <w:spacing w:after="0"/>
              <w:rPr>
                <w:sz w:val="18"/>
                <w:szCs w:val="18"/>
                <w:color w:val="auto"/>
              </w:rPr>
            </w:pPr>
          </w:p>
        </w:tc>
      </w:tr>
      <w:tr>
        <w:trPr>
          <w:trHeight w:val="201"/>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539,644</w:t>
            </w:r>
          </w:p>
        </w:tc>
        <w:tc>
          <w:tcPr>
            <w:tcW w:w="2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538,157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880" w:hanging="292"/>
        <w:spacing w:after="0"/>
        <w:tabs>
          <w:tab w:leader="none" w:pos="8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balances consists mainly of cleaning service, representation expenses, insurance policy expenses and commission expenses.</w:t>
      </w:r>
    </w:p>
    <w:p>
      <w:pPr>
        <w:spacing w:after="0" w:line="200" w:lineRule="exact"/>
        <w:rPr>
          <w:rFonts w:ascii="Arial" w:cs="Arial" w:eastAsia="Arial" w:hAnsi="Arial"/>
          <w:sz w:val="16"/>
          <w:szCs w:val="16"/>
          <w:color w:val="auto"/>
        </w:rPr>
      </w:pPr>
    </w:p>
    <w:p>
      <w:pPr>
        <w:spacing w:after="0" w:line="205" w:lineRule="exact"/>
        <w:rPr>
          <w:rFonts w:ascii="Arial" w:cs="Arial" w:eastAsia="Arial" w:hAnsi="Arial"/>
          <w:sz w:val="16"/>
          <w:szCs w:val="16"/>
          <w:color w:val="auto"/>
        </w:rPr>
      </w:pPr>
    </w:p>
    <w:p>
      <w:pPr>
        <w:ind w:left="5540" w:hanging="93"/>
        <w:spacing w:after="0"/>
        <w:tabs>
          <w:tab w:leader="none" w:pos="5540" w:val="left"/>
        </w:tabs>
        <w:numPr>
          <w:ilvl w:val="1"/>
          <w:numId w:val="76"/>
        </w:numPr>
        <w:rPr>
          <w:rFonts w:ascii="Arial" w:cs="Arial" w:eastAsia="Arial" w:hAnsi="Arial"/>
          <w:sz w:val="16"/>
          <w:szCs w:val="16"/>
          <w:color w:val="auto"/>
        </w:rPr>
      </w:pPr>
      <w:r>
        <w:rPr>
          <w:rFonts w:ascii="Arial" w:cs="Arial" w:eastAsia="Arial" w:hAnsi="Arial"/>
          <w:sz w:val="16"/>
          <w:szCs w:val="16"/>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940"/>
          </w:cols>
          <w:pgMar w:left="320" w:top="835" w:right="6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2"/>
        </w:trPr>
        <w:tc>
          <w:tcPr>
            <w:tcW w:w="380" w:type="dxa"/>
            <w:vAlign w:val="bottom"/>
          </w:tcPr>
          <w:p>
            <w:pPr>
              <w:jc w:val="right"/>
              <w:ind w:right="138"/>
              <w:spacing w:after="0"/>
              <w:rPr>
                <w:sz w:val="20"/>
                <w:szCs w:val="20"/>
                <w:color w:val="auto"/>
              </w:rPr>
            </w:pPr>
            <w:r>
              <w:rPr>
                <w:rFonts w:ascii="Arial" w:cs="Arial" w:eastAsia="Arial" w:hAnsi="Arial"/>
                <w:sz w:val="16"/>
                <w:szCs w:val="16"/>
                <w:b w:val="1"/>
                <w:bCs w:val="1"/>
                <w:color w:val="auto"/>
                <w:w w:val="78"/>
              </w:rPr>
              <w:t>29</w:t>
            </w:r>
          </w:p>
        </w:tc>
        <w:tc>
          <w:tcPr>
            <w:tcW w:w="7980" w:type="dxa"/>
            <w:vAlign w:val="bottom"/>
            <w:gridSpan w:val="2"/>
          </w:tcPr>
          <w:p>
            <w:pPr>
              <w:ind w:left="200"/>
              <w:spacing w:after="0"/>
              <w:rPr>
                <w:sz w:val="20"/>
                <w:szCs w:val="20"/>
                <w:color w:val="auto"/>
              </w:rPr>
            </w:pPr>
            <w:r>
              <w:rPr>
                <w:rFonts w:ascii="Arial" w:cs="Arial" w:eastAsia="Arial" w:hAnsi="Arial"/>
                <w:sz w:val="16"/>
                <w:szCs w:val="16"/>
                <w:b w:val="1"/>
                <w:bCs w:val="1"/>
                <w:color w:val="auto"/>
              </w:rPr>
              <w:t>OTHER INCOME AND EXPENSES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3"/>
        </w:trPr>
        <w:tc>
          <w:tcPr>
            <w:tcW w:w="380" w:type="dxa"/>
            <w:vAlign w:val="bottom"/>
          </w:tcPr>
          <w:p>
            <w:pPr>
              <w:spacing w:after="0"/>
              <w:rPr>
                <w:sz w:val="24"/>
                <w:szCs w:val="24"/>
                <w:color w:val="auto"/>
              </w:rPr>
            </w:pPr>
          </w:p>
        </w:tc>
        <w:tc>
          <w:tcPr>
            <w:tcW w:w="7980" w:type="dxa"/>
            <w:vAlign w:val="bottom"/>
            <w:gridSpan w:val="2"/>
          </w:tcPr>
          <w:p>
            <w:pPr>
              <w:ind w:left="200"/>
              <w:spacing w:after="0"/>
              <w:rPr>
                <w:sz w:val="20"/>
                <w:szCs w:val="20"/>
                <w:color w:val="auto"/>
              </w:rPr>
            </w:pPr>
            <w:r>
              <w:rPr>
                <w:rFonts w:ascii="Arial" w:cs="Arial" w:eastAsia="Arial" w:hAnsi="Arial"/>
                <w:sz w:val="16"/>
                <w:szCs w:val="16"/>
                <w:color w:val="auto"/>
              </w:rPr>
              <w:t>This item consists of the following:</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5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For the three-month periods</w:t>
            </w:r>
          </w:p>
        </w:tc>
      </w:tr>
      <w:tr>
        <w:trPr>
          <w:trHeight w:val="212"/>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5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2"/>
              </w:rPr>
              <w:t>ended March 31,</w:t>
            </w:r>
          </w:p>
        </w:tc>
      </w:tr>
      <w:tr>
        <w:trPr>
          <w:trHeight w:val="202"/>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7"/>
                <w:szCs w:val="17"/>
                <w:color w:val="auto"/>
              </w:rPr>
            </w:pPr>
          </w:p>
        </w:tc>
      </w:tr>
      <w:tr>
        <w:trPr>
          <w:trHeight w:val="189"/>
        </w:trPr>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100" w:type="dxa"/>
            <w:vAlign w:val="bottom"/>
          </w:tcPr>
          <w:p>
            <w:pPr>
              <w:spacing w:after="0"/>
              <w:rPr>
                <w:sz w:val="16"/>
                <w:szCs w:val="16"/>
                <w:color w:val="auto"/>
              </w:rPr>
            </w:pP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Revenue from sale of loan portfolio</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26,078</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14,166</w:t>
            </w: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Rental income</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9,962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13,879</w:t>
            </w: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Net income from the sale of property, furniture and equipment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10,319</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Recoveries of other accounts receivable and other assets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128</w:t>
            </w: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Net gain from sale of adjudicated assets</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1,312</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Others (*)</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69,880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47,432</w:t>
            </w:r>
          </w:p>
        </w:tc>
      </w:tr>
      <w:tr>
        <w:trPr>
          <w:trHeight w:val="189"/>
        </w:trPr>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780" w:type="dxa"/>
            <w:vAlign w:val="bottom"/>
          </w:tcPr>
          <w:p>
            <w:pPr>
              <w:spacing w:after="0"/>
              <w:rPr>
                <w:sz w:val="20"/>
                <w:szCs w:val="20"/>
                <w:color w:val="auto"/>
              </w:rPr>
            </w:pPr>
            <w:r>
              <w:rPr>
                <w:rFonts w:ascii="Arial" w:cs="Arial" w:eastAsia="Arial" w:hAnsi="Arial"/>
                <w:sz w:val="16"/>
                <w:szCs w:val="16"/>
                <w:b w:val="1"/>
                <w:bCs w:val="1"/>
                <w:color w:val="auto"/>
              </w:rPr>
              <w:t>Total other income</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117,770</w:t>
            </w:r>
          </w:p>
        </w:tc>
        <w:tc>
          <w:tcPr>
            <w:tcW w:w="20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75,605</w:t>
            </w:r>
          </w:p>
        </w:tc>
        <w:tc>
          <w:tcPr>
            <w:tcW w:w="100" w:type="dxa"/>
            <w:vAlign w:val="bottom"/>
          </w:tcPr>
          <w:p>
            <w:pPr>
              <w:spacing w:after="0"/>
              <w:rPr>
                <w:sz w:val="16"/>
                <w:szCs w:val="16"/>
                <w:color w:val="auto"/>
              </w:rPr>
            </w:pPr>
          </w:p>
        </w:tc>
      </w:tr>
      <w:tr>
        <w:trPr>
          <w:trHeight w:val="369"/>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5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For the three-month periods</w:t>
            </w:r>
          </w:p>
        </w:tc>
      </w:tr>
      <w:tr>
        <w:trPr>
          <w:trHeight w:val="212"/>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5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2"/>
              </w:rPr>
              <w:t>ended March 31,</w:t>
            </w:r>
          </w:p>
        </w:tc>
      </w:tr>
      <w:tr>
        <w:trPr>
          <w:trHeight w:val="202"/>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7"/>
                <w:szCs w:val="17"/>
                <w:color w:val="auto"/>
              </w:rPr>
            </w:pPr>
          </w:p>
        </w:tc>
      </w:tr>
      <w:tr>
        <w:trPr>
          <w:trHeight w:val="189"/>
        </w:trPr>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100" w:type="dxa"/>
            <w:vAlign w:val="bottom"/>
          </w:tcPr>
          <w:p>
            <w:pPr>
              <w:spacing w:after="0"/>
              <w:rPr>
                <w:sz w:val="16"/>
                <w:szCs w:val="16"/>
                <w:color w:val="auto"/>
              </w:rPr>
            </w:pP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expenses</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Donations (**)</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114,454</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4,419</w:t>
            </w: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Losses due to operational risk</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8,330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6,869</w:t>
            </w: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Expenses on improvements in building for rent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6,738</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7,144</w:t>
            </w: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Provision for sundry risks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5,772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6,195</w:t>
            </w: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Association in participation</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6,430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2,736</w:t>
            </w: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Provision for other accounts receivable</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3,367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2,228</w:t>
            </w: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Net loss from sale adjudicated assets</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5,533</w:t>
            </w:r>
          </w:p>
        </w:tc>
      </w:tr>
      <w:tr>
        <w:trPr>
          <w:trHeight w:val="197"/>
        </w:trPr>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Administrative and tax penalties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w:t>
            </w:r>
          </w:p>
        </w:tc>
      </w:tr>
      <w:tr>
        <w:trPr>
          <w:trHeight w:val="208"/>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Others</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30,707</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15,001</w:t>
            </w:r>
          </w:p>
        </w:tc>
      </w:tr>
      <w:tr>
        <w:trPr>
          <w:trHeight w:val="190"/>
        </w:trPr>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other expenses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176,060</w:t>
            </w:r>
          </w:p>
        </w:tc>
        <w:tc>
          <w:tcPr>
            <w:tcW w:w="2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50,177</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84" w:lineRule="exact"/>
        <w:rPr>
          <w:sz w:val="20"/>
          <w:szCs w:val="20"/>
          <w:color w:val="auto"/>
        </w:rPr>
      </w:pPr>
    </w:p>
    <w:p>
      <w:pPr>
        <w:ind w:left="880" w:right="80" w:hanging="292"/>
        <w:spacing w:after="0" w:line="271" w:lineRule="auto"/>
        <w:tabs>
          <w:tab w:leader="none" w:pos="8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During the three-month periods ended March 31, 2020 and 2019, the balance mainly comprises liquidation for sale of Credicorp shares, penalty for breach of contract, commissions for recovery in civil and judicial lawsuits of Personal Credits and Credit Card products; also, collection of commission for relocation, vehicle taxes, municipal property taxes, fines and penalties to clients related to the Leasing product.</w:t>
      </w:r>
    </w:p>
    <w:p>
      <w:pPr>
        <w:spacing w:after="0" w:line="163" w:lineRule="exact"/>
        <w:rPr>
          <w:sz w:val="20"/>
          <w:szCs w:val="20"/>
          <w:color w:val="auto"/>
        </w:rPr>
      </w:pPr>
    </w:p>
    <w:p>
      <w:pPr>
        <w:jc w:val="both"/>
        <w:ind w:left="880" w:hanging="292"/>
        <w:spacing w:after="0" w:line="271" w:lineRule="auto"/>
        <w:tabs>
          <w:tab w:leader="none" w:pos="8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During the three-month period ended March 31, 2020, the Group has made donations mainly through their subsidiaries BCP and MiBanco, a donation amounted of S/100.0 million was the fundraising campaign named “#YoMeSumo” of BCP and S/10.0 million a donation of MiBanco, in both cases, in order to raise funds for the poorest families affected by COVID19.</w:t>
      </w:r>
    </w:p>
    <w:p>
      <w:pPr>
        <w:spacing w:after="0" w:line="359" w:lineRule="exact"/>
        <w:rPr>
          <w:rFonts w:ascii="Arial" w:cs="Arial" w:eastAsia="Arial" w:hAnsi="Arial"/>
          <w:sz w:val="16"/>
          <w:szCs w:val="16"/>
          <w:color w:val="auto"/>
        </w:rPr>
      </w:pPr>
    </w:p>
    <w:p>
      <w:pPr>
        <w:ind w:left="5540" w:hanging="93"/>
        <w:spacing w:after="0"/>
        <w:tabs>
          <w:tab w:leader="none" w:pos="5540" w:val="left"/>
        </w:tabs>
        <w:numPr>
          <w:ilvl w:val="1"/>
          <w:numId w:val="78"/>
        </w:numPr>
        <w:rPr>
          <w:rFonts w:ascii="Arial" w:cs="Arial" w:eastAsia="Arial" w:hAnsi="Arial"/>
          <w:sz w:val="16"/>
          <w:szCs w:val="16"/>
          <w:color w:val="auto"/>
        </w:rPr>
      </w:pPr>
      <w:r>
        <w:rPr>
          <w:rFonts w:ascii="Arial" w:cs="Arial" w:eastAsia="Arial" w:hAnsi="Arial"/>
          <w:sz w:val="16"/>
          <w:szCs w:val="16"/>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60"/>
          </w:cols>
          <w:pgMar w:left="320" w:top="835" w:right="319" w:bottom="1440" w:gutter="0" w:footer="0" w:header="0"/>
        </w:sectPr>
      </w:pPr>
    </w:p>
    <w:bookmarkStart w:id="74" w:name="page75"/>
    <w:bookmarkEnd w:id="74"/>
    <w:p>
      <w:pPr>
        <w:ind w:left="582" w:hanging="582"/>
        <w:spacing w:after="0"/>
        <w:tabs>
          <w:tab w:leader="none" w:pos="582"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EARNING PER SHARE</w:t>
      </w:r>
    </w:p>
    <w:p>
      <w:pPr>
        <w:spacing w:after="0" w:line="213"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The net earnings per ordinary share were determined based on the net income attributable to equity holders of the Group as follows:</w:t>
      </w:r>
    </w:p>
    <w:p>
      <w:pPr>
        <w:spacing w:after="0" w:line="205"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58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258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rPr>
              <w:t>For the three-month periods</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580" w:type="dxa"/>
            <w:vAlign w:val="bottom"/>
            <w:gridSpan w:val="4"/>
          </w:tcPr>
          <w:p>
            <w:pPr>
              <w:jc w:val="right"/>
              <w:ind w:right="760"/>
              <w:spacing w:after="0"/>
              <w:rPr>
                <w:sz w:val="20"/>
                <w:szCs w:val="20"/>
                <w:color w:val="auto"/>
              </w:rPr>
            </w:pPr>
            <w:r>
              <w:rPr>
                <w:rFonts w:ascii="Arial" w:cs="Arial" w:eastAsia="Arial" w:hAnsi="Arial"/>
                <w:sz w:val="16"/>
                <w:szCs w:val="16"/>
                <w:b w:val="1"/>
                <w:bCs w:val="1"/>
                <w:color w:val="auto"/>
              </w:rPr>
              <w:t>ended March 31,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778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top w:val="single" w:sz="8" w:color="auto"/>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attributable to equity holders of Credicorp (in thousands of Soles)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209,274</w:t>
            </w:r>
          </w:p>
        </w:tc>
        <w:tc>
          <w:tcPr>
            <w:tcW w:w="20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1,100,867</w:t>
            </w:r>
          </w:p>
        </w:tc>
        <w:tc>
          <w:tcPr>
            <w:tcW w:w="10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vMerge w:val="restart"/>
          </w:tcPr>
          <w:p>
            <w:pPr>
              <w:spacing w:after="0"/>
              <w:rPr>
                <w:sz w:val="16"/>
                <w:szCs w:val="16"/>
                <w:color w:val="auto"/>
              </w:rPr>
            </w:pPr>
          </w:p>
        </w:tc>
        <w:tc>
          <w:tcPr>
            <w:tcW w:w="7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80" w:type="dxa"/>
            <w:vAlign w:val="bottom"/>
            <w:vMerge w:val="continue"/>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Number of stock</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Ordinary stock, Note 18(a)</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94,382,317</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94,382,317</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Less – opening balance of treasury stock</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(14,872,164)</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(14,883,274)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(Acquisition) sale of treasury stock, net</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(92,761)</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(65,095)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Weighted average number of ordinary shares for basic earnings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79,417,392</w:t>
            </w:r>
          </w:p>
        </w:tc>
        <w:tc>
          <w:tcPr>
            <w:tcW w:w="2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79,433,948</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Plus - dilution effect - stock awards</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134,201</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113,814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number of ordinary shares adjusted for the effect of dilution</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79,551,593</w:t>
            </w:r>
          </w:p>
        </w:tc>
        <w:tc>
          <w:tcPr>
            <w:tcW w:w="2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79,547,762</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8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0" w:type="dxa"/>
            <w:vAlign w:val="bottom"/>
            <w:vMerge w:val="continue"/>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Basic earnings per share (in Soles)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13.86</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Diluted earnings per share (in Soles)</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2.63</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13.84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8"/>
        </w:trPr>
        <w:tc>
          <w:tcPr>
            <w:tcW w:w="8360" w:type="dxa"/>
            <w:vAlign w:val="bottom"/>
            <w:tcBorders>
              <w:bottom w:val="single" w:sz="8" w:color="auto"/>
            </w:tcBorders>
            <w:gridSpan w:val="2"/>
          </w:tcPr>
          <w:p>
            <w:pPr>
              <w:jc w:val="right"/>
              <w:ind w:right="2478"/>
              <w:spacing w:after="0"/>
              <w:rPr>
                <w:sz w:val="20"/>
                <w:szCs w:val="20"/>
                <w:color w:val="auto"/>
              </w:rPr>
            </w:pPr>
            <w:r>
              <w:rPr>
                <w:rFonts w:ascii="Arial" w:cs="Arial" w:eastAsia="Arial" w:hAnsi="Arial"/>
                <w:sz w:val="16"/>
                <w:szCs w:val="16"/>
                <w:color w:val="auto"/>
              </w:rPr>
              <w:t>-69-</w:t>
            </w: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2"/>
          </w:cols>
          <w:pgMar w:left="318" w:top="835" w:right="339" w:bottom="1440" w:gutter="0" w:footer="0" w:header="0"/>
        </w:sectPr>
      </w:pPr>
    </w:p>
    <w:bookmarkStart w:id="75" w:name="page76"/>
    <w:bookmarkEnd w:id="75"/>
    <w:p>
      <w:pPr>
        <w:ind w:left="582" w:hanging="582"/>
        <w:spacing w:after="0"/>
        <w:tabs>
          <w:tab w:leader="none" w:pos="582"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SEGMENTS</w:t>
      </w:r>
    </w:p>
    <w:p>
      <w:pPr>
        <w:spacing w:after="0" w:line="213" w:lineRule="exact"/>
        <w:rPr>
          <w:rFonts w:ascii="Arial" w:cs="Arial" w:eastAsia="Arial" w:hAnsi="Arial"/>
          <w:sz w:val="16"/>
          <w:szCs w:val="16"/>
          <w:b w:val="1"/>
          <w:bCs w:val="1"/>
          <w:color w:val="auto"/>
        </w:rPr>
      </w:pPr>
    </w:p>
    <w:p>
      <w:pPr>
        <w:ind w:left="582" w:right="320"/>
        <w:spacing w:after="0" w:line="287" w:lineRule="auto"/>
        <w:rPr>
          <w:rFonts w:ascii="Arial" w:cs="Arial" w:eastAsia="Arial" w:hAnsi="Arial"/>
          <w:sz w:val="16"/>
          <w:szCs w:val="16"/>
          <w:b w:val="1"/>
          <w:bCs w:val="1"/>
          <w:color w:val="auto"/>
        </w:rPr>
      </w:pPr>
      <w:r>
        <w:rPr>
          <w:rFonts w:ascii="Arial" w:cs="Arial" w:eastAsia="Arial" w:hAnsi="Arial"/>
          <w:sz w:val="16"/>
          <w:szCs w:val="16"/>
          <w:color w:val="auto"/>
        </w:rPr>
        <w:t>In the Credicorp Board of Directors organized the Group’s subsidiaries according to the types of financial services provided and the sectors on which they are focused; with the objective of optimizing the management thereof. Next, we present the Group´s business lines:</w:t>
      </w:r>
    </w:p>
    <w:p>
      <w:pPr>
        <w:spacing w:after="0" w:line="149" w:lineRule="exact"/>
        <w:rPr>
          <w:rFonts w:ascii="Arial" w:cs="Arial" w:eastAsia="Arial" w:hAnsi="Arial"/>
          <w:sz w:val="16"/>
          <w:szCs w:val="16"/>
          <w:b w:val="1"/>
          <w:bCs w:val="1"/>
          <w:color w:val="auto"/>
        </w:rPr>
      </w:pPr>
    </w:p>
    <w:p>
      <w:pPr>
        <w:ind w:left="882" w:hanging="292"/>
        <w:spacing w:after="0"/>
        <w:tabs>
          <w:tab w:leader="none" w:pos="882" w:val="left"/>
        </w:tabs>
        <w:numPr>
          <w:ilvl w:val="1"/>
          <w:numId w:val="80"/>
        </w:numPr>
        <w:rPr>
          <w:rFonts w:ascii="Arial" w:cs="Arial" w:eastAsia="Arial" w:hAnsi="Arial"/>
          <w:sz w:val="16"/>
          <w:szCs w:val="16"/>
          <w:color w:val="auto"/>
        </w:rPr>
      </w:pPr>
      <w:r>
        <w:rPr>
          <w:rFonts w:ascii="Arial" w:cs="Arial" w:eastAsia="Arial" w:hAnsi="Arial"/>
          <w:sz w:val="16"/>
          <w:szCs w:val="16"/>
          <w:color w:val="auto"/>
        </w:rPr>
        <w:t>Universal Banking –</w:t>
      </w:r>
    </w:p>
    <w:p>
      <w:pPr>
        <w:spacing w:after="0" w:line="209" w:lineRule="exact"/>
        <w:rPr>
          <w:rFonts w:ascii="Arial" w:cs="Arial" w:eastAsia="Arial" w:hAnsi="Arial"/>
          <w:sz w:val="16"/>
          <w:szCs w:val="16"/>
          <w:color w:val="auto"/>
        </w:rPr>
      </w:pPr>
    </w:p>
    <w:p>
      <w:pPr>
        <w:ind w:left="882" w:right="220"/>
        <w:spacing w:after="0" w:line="266" w:lineRule="auto"/>
        <w:rPr>
          <w:rFonts w:ascii="Arial" w:cs="Arial" w:eastAsia="Arial" w:hAnsi="Arial"/>
          <w:sz w:val="16"/>
          <w:szCs w:val="16"/>
          <w:color w:val="auto"/>
        </w:rPr>
      </w:pPr>
      <w:r>
        <w:rPr>
          <w:rFonts w:ascii="Arial" w:cs="Arial" w:eastAsia="Arial" w:hAnsi="Arial"/>
          <w:sz w:val="16"/>
          <w:szCs w:val="16"/>
          <w:color w:val="auto"/>
        </w:rPr>
        <w:t>Includes the operations related to the granting of various credits and financial instruments to individuals and legal entities, from the segments of wholesale and retail banking, such as the obtaining of funds from the public through deposits and current accounts, obtaining of funding by means of initial public offerings and direct indebtedness with other financial institutions. This business line incorporates the results and balances of the Banco de Crédito del Perú (BCP) and Banco de Crédito de Bolivia (BCB).</w:t>
      </w:r>
    </w:p>
    <w:p>
      <w:pPr>
        <w:spacing w:after="0" w:line="166" w:lineRule="exact"/>
        <w:rPr>
          <w:rFonts w:ascii="Arial" w:cs="Arial" w:eastAsia="Arial" w:hAnsi="Arial"/>
          <w:sz w:val="16"/>
          <w:szCs w:val="16"/>
          <w:color w:val="auto"/>
        </w:rPr>
      </w:pPr>
    </w:p>
    <w:p>
      <w:pPr>
        <w:ind w:left="882" w:hanging="292"/>
        <w:spacing w:after="0"/>
        <w:tabs>
          <w:tab w:leader="none" w:pos="882" w:val="left"/>
        </w:tabs>
        <w:numPr>
          <w:ilvl w:val="1"/>
          <w:numId w:val="80"/>
        </w:numPr>
        <w:rPr>
          <w:rFonts w:ascii="Arial" w:cs="Arial" w:eastAsia="Arial" w:hAnsi="Arial"/>
          <w:sz w:val="16"/>
          <w:szCs w:val="16"/>
          <w:color w:val="auto"/>
        </w:rPr>
      </w:pPr>
      <w:r>
        <w:rPr>
          <w:rFonts w:ascii="Arial" w:cs="Arial" w:eastAsia="Arial" w:hAnsi="Arial"/>
          <w:sz w:val="16"/>
          <w:szCs w:val="16"/>
          <w:color w:val="auto"/>
        </w:rPr>
        <w:t>Insurance and Pensions –</w:t>
      </w:r>
    </w:p>
    <w:p>
      <w:pPr>
        <w:spacing w:after="0" w:line="209" w:lineRule="exact"/>
        <w:rPr>
          <w:rFonts w:ascii="Arial" w:cs="Arial" w:eastAsia="Arial" w:hAnsi="Arial"/>
          <w:sz w:val="16"/>
          <w:szCs w:val="16"/>
          <w:color w:val="auto"/>
        </w:rPr>
      </w:pPr>
    </w:p>
    <w:p>
      <w:pPr>
        <w:ind w:left="1182" w:hanging="297"/>
        <w:spacing w:after="0" w:line="287" w:lineRule="auto"/>
        <w:tabs>
          <w:tab w:leader="none" w:pos="1182" w:val="left"/>
        </w:tabs>
        <w:numPr>
          <w:ilvl w:val="2"/>
          <w:numId w:val="80"/>
        </w:numPr>
        <w:rPr>
          <w:rFonts w:ascii="Arial" w:cs="Arial" w:eastAsia="Arial" w:hAnsi="Arial"/>
          <w:sz w:val="16"/>
          <w:szCs w:val="16"/>
          <w:color w:val="auto"/>
        </w:rPr>
      </w:pPr>
      <w:r>
        <w:rPr>
          <w:rFonts w:ascii="Arial" w:cs="Arial" w:eastAsia="Arial" w:hAnsi="Arial"/>
          <w:sz w:val="16"/>
          <w:szCs w:val="16"/>
          <w:color w:val="auto"/>
        </w:rPr>
        <w:t>Insurance: includes, mainly, the issue of insurance policies to cover losses in commercial property, transport, marine vessels, automobiles, life, health and pensions, operations carried out through Pacífico Compañía de Seguros y Reaseguros.</w:t>
      </w:r>
    </w:p>
    <w:p>
      <w:pPr>
        <w:spacing w:after="0" w:line="149" w:lineRule="exact"/>
        <w:rPr>
          <w:rFonts w:ascii="Arial" w:cs="Arial" w:eastAsia="Arial" w:hAnsi="Arial"/>
          <w:sz w:val="16"/>
          <w:szCs w:val="16"/>
          <w:color w:val="auto"/>
        </w:rPr>
      </w:pPr>
    </w:p>
    <w:p>
      <w:pPr>
        <w:ind w:left="1182" w:hanging="297"/>
        <w:spacing w:after="0"/>
        <w:tabs>
          <w:tab w:leader="none" w:pos="1182" w:val="left"/>
        </w:tabs>
        <w:numPr>
          <w:ilvl w:val="2"/>
          <w:numId w:val="80"/>
        </w:numPr>
        <w:rPr>
          <w:rFonts w:ascii="Arial" w:cs="Arial" w:eastAsia="Arial" w:hAnsi="Arial"/>
          <w:sz w:val="16"/>
          <w:szCs w:val="16"/>
          <w:color w:val="auto"/>
        </w:rPr>
      </w:pPr>
      <w:r>
        <w:rPr>
          <w:rFonts w:ascii="Arial" w:cs="Arial" w:eastAsia="Arial" w:hAnsi="Arial"/>
          <w:sz w:val="16"/>
          <w:szCs w:val="16"/>
          <w:color w:val="auto"/>
        </w:rPr>
        <w:t>Pensions: provides Management Service of private pension funds to the affiliates, operation carried out from Prima AFP.</w:t>
      </w:r>
    </w:p>
    <w:p>
      <w:pPr>
        <w:spacing w:after="0" w:line="209" w:lineRule="exact"/>
        <w:rPr>
          <w:rFonts w:ascii="Arial" w:cs="Arial" w:eastAsia="Arial" w:hAnsi="Arial"/>
          <w:sz w:val="16"/>
          <w:szCs w:val="16"/>
          <w:color w:val="auto"/>
        </w:rPr>
      </w:pPr>
    </w:p>
    <w:p>
      <w:pPr>
        <w:ind w:left="882" w:hanging="292"/>
        <w:spacing w:after="0"/>
        <w:tabs>
          <w:tab w:leader="none" w:pos="882" w:val="left"/>
        </w:tabs>
        <w:numPr>
          <w:ilvl w:val="1"/>
          <w:numId w:val="80"/>
        </w:numPr>
        <w:rPr>
          <w:rFonts w:ascii="Arial" w:cs="Arial" w:eastAsia="Arial" w:hAnsi="Arial"/>
          <w:sz w:val="16"/>
          <w:szCs w:val="16"/>
          <w:color w:val="auto"/>
        </w:rPr>
      </w:pPr>
      <w:r>
        <w:rPr>
          <w:rFonts w:ascii="Arial" w:cs="Arial" w:eastAsia="Arial" w:hAnsi="Arial"/>
          <w:sz w:val="16"/>
          <w:szCs w:val="16"/>
          <w:color w:val="auto"/>
        </w:rPr>
        <w:t>Microfinance –</w:t>
      </w:r>
    </w:p>
    <w:p>
      <w:pPr>
        <w:spacing w:after="0" w:line="209" w:lineRule="exact"/>
        <w:rPr>
          <w:sz w:val="20"/>
          <w:szCs w:val="20"/>
          <w:color w:val="auto"/>
        </w:rPr>
      </w:pPr>
    </w:p>
    <w:p>
      <w:pPr>
        <w:ind w:left="582" w:right="840"/>
        <w:spacing w:after="0" w:line="287" w:lineRule="auto"/>
        <w:rPr>
          <w:sz w:val="20"/>
          <w:szCs w:val="20"/>
          <w:color w:val="auto"/>
        </w:rPr>
      </w:pPr>
      <w:r>
        <w:rPr>
          <w:rFonts w:ascii="Arial" w:cs="Arial" w:eastAsia="Arial" w:hAnsi="Arial"/>
          <w:sz w:val="16"/>
          <w:szCs w:val="16"/>
          <w:color w:val="auto"/>
        </w:rPr>
        <w:t>Includes the management of loans, credits, deposits and current accounts of the small and microenterprises: carried out through Mibanco, Banco de la Microempresa S.A., Banco Compartir S.A. and Edyficar S.A.S. (Encumbra).</w:t>
      </w:r>
    </w:p>
    <w:p>
      <w:pPr>
        <w:spacing w:after="0" w:line="150" w:lineRule="exact"/>
        <w:rPr>
          <w:sz w:val="20"/>
          <w:szCs w:val="20"/>
          <w:color w:val="auto"/>
        </w:rPr>
      </w:pPr>
    </w:p>
    <w:p>
      <w:pPr>
        <w:ind w:left="882" w:hanging="292"/>
        <w:spacing w:after="0"/>
        <w:tabs>
          <w:tab w:leader="none" w:pos="882"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Investment Banking and Wealth Management –</w:t>
      </w:r>
    </w:p>
    <w:p>
      <w:pPr>
        <w:spacing w:after="0" w:line="209" w:lineRule="exact"/>
        <w:rPr>
          <w:rFonts w:ascii="Arial" w:cs="Arial" w:eastAsia="Arial" w:hAnsi="Arial"/>
          <w:sz w:val="16"/>
          <w:szCs w:val="16"/>
          <w:color w:val="auto"/>
        </w:rPr>
      </w:pPr>
    </w:p>
    <w:p>
      <w:pPr>
        <w:ind w:left="882" w:right="120"/>
        <w:spacing w:after="0" w:line="298" w:lineRule="auto"/>
        <w:rPr>
          <w:rFonts w:ascii="Arial" w:cs="Arial" w:eastAsia="Arial" w:hAnsi="Arial"/>
          <w:sz w:val="16"/>
          <w:szCs w:val="16"/>
          <w:color w:val="auto"/>
        </w:rPr>
      </w:pPr>
      <w:r>
        <w:rPr>
          <w:rFonts w:ascii="Arial" w:cs="Arial" w:eastAsia="Arial" w:hAnsi="Arial"/>
          <w:sz w:val="15"/>
          <w:szCs w:val="15"/>
          <w:color w:val="auto"/>
        </w:rPr>
        <w:t>Brokerage service and investment management services offered to a broad and diverse clientele, which includes corporations, institutional investors, governments and foundations; also, the structuring and placement of issues in the primary market, as well as the execution and negotiation of transactions in the secondary market. Additionally, it structures securitization processes for corporate customers and manages mutual funds.</w:t>
      </w:r>
    </w:p>
    <w:p>
      <w:pPr>
        <w:spacing w:after="0" w:line="143" w:lineRule="exact"/>
        <w:rPr>
          <w:rFonts w:ascii="Arial" w:cs="Arial" w:eastAsia="Arial" w:hAnsi="Arial"/>
          <w:sz w:val="16"/>
          <w:szCs w:val="16"/>
          <w:color w:val="auto"/>
        </w:rPr>
      </w:pPr>
    </w:p>
    <w:p>
      <w:pPr>
        <w:ind w:left="882"/>
        <w:spacing w:after="0"/>
        <w:rPr>
          <w:rFonts w:ascii="Arial" w:cs="Arial" w:eastAsia="Arial" w:hAnsi="Arial"/>
          <w:sz w:val="16"/>
          <w:szCs w:val="16"/>
          <w:color w:val="auto"/>
        </w:rPr>
      </w:pPr>
      <w:r>
        <w:rPr>
          <w:rFonts w:ascii="Arial" w:cs="Arial" w:eastAsia="Arial" w:hAnsi="Arial"/>
          <w:sz w:val="15"/>
          <w:szCs w:val="15"/>
          <w:color w:val="auto"/>
        </w:rPr>
        <w:t>All of these services are provided through Credicorp Capital Ltd. and subsidiaries; Atlantic Security Bank (ASB) and the Wealth Management team of BCP.</w:t>
      </w:r>
    </w:p>
    <w:p>
      <w:pPr>
        <w:spacing w:after="0" w:line="200" w:lineRule="exact"/>
        <w:rPr>
          <w:rFonts w:ascii="Arial" w:cs="Arial" w:eastAsia="Arial" w:hAnsi="Arial"/>
          <w:sz w:val="16"/>
          <w:szCs w:val="16"/>
          <w:color w:val="auto"/>
        </w:rPr>
      </w:pPr>
    </w:p>
    <w:p>
      <w:pPr>
        <w:spacing w:after="0" w:line="217" w:lineRule="exact"/>
        <w:rPr>
          <w:rFonts w:ascii="Arial" w:cs="Arial" w:eastAsia="Arial" w:hAnsi="Arial"/>
          <w:sz w:val="16"/>
          <w:szCs w:val="16"/>
          <w:color w:val="auto"/>
        </w:rPr>
      </w:pPr>
    </w:p>
    <w:p>
      <w:pPr>
        <w:ind w:left="5542" w:hanging="93"/>
        <w:spacing w:after="0"/>
        <w:tabs>
          <w:tab w:leader="none" w:pos="5542" w:val="left"/>
        </w:tabs>
        <w:numPr>
          <w:ilvl w:val="1"/>
          <w:numId w:val="81"/>
        </w:numPr>
        <w:rPr>
          <w:rFonts w:ascii="Arial" w:cs="Arial" w:eastAsia="Arial" w:hAnsi="Arial"/>
          <w:sz w:val="16"/>
          <w:szCs w:val="16"/>
          <w:color w:val="auto"/>
        </w:rPr>
      </w:pPr>
      <w:r>
        <w:rPr>
          <w:rFonts w:ascii="Arial" w:cs="Arial" w:eastAsia="Arial" w:hAnsi="Arial"/>
          <w:sz w:val="16"/>
          <w:szCs w:val="16"/>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35"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Management of these business lines is designed to:</w:t>
      </w:r>
    </w:p>
    <w:p>
      <w:pPr>
        <w:spacing w:after="0" w:line="209" w:lineRule="exact"/>
        <w:rPr>
          <w:sz w:val="20"/>
          <w:szCs w:val="20"/>
          <w:color w:val="auto"/>
        </w:rPr>
      </w:pPr>
    </w:p>
    <w:p>
      <w:pPr>
        <w:ind w:left="300" w:hanging="292"/>
        <w:spacing w:after="0"/>
        <w:tabs>
          <w:tab w:leader="none" w:pos="3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Promote the joint action of our businesses in order to take advantage of the synergies which resulting from the diversification of our portfolio.</w:t>
      </w:r>
    </w:p>
    <w:p>
      <w:pPr>
        <w:spacing w:after="0" w:line="209" w:lineRule="exact"/>
        <w:rPr>
          <w:rFonts w:ascii="Arial" w:cs="Arial" w:eastAsia="Arial" w:hAnsi="Arial"/>
          <w:sz w:val="16"/>
          <w:szCs w:val="16"/>
          <w:color w:val="auto"/>
        </w:rPr>
      </w:pPr>
    </w:p>
    <w:p>
      <w:pPr>
        <w:ind w:left="300" w:hanging="292"/>
        <w:spacing w:after="0" w:line="322" w:lineRule="auto"/>
        <w:tabs>
          <w:tab w:leader="none" w:pos="3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Strengthening our leadership in the financial sector through our growth in new businesses, and the establishment of an investment banking platform available not only to the corporate world, but also to the retail segment, especially to the Small and Medium Enterprise (SME) and Consumer sectors.</w:t>
      </w:r>
    </w:p>
    <w:p>
      <w:pPr>
        <w:spacing w:after="0" w:line="126" w:lineRule="exact"/>
        <w:rPr>
          <w:rFonts w:ascii="Arial" w:cs="Arial" w:eastAsia="Arial" w:hAnsi="Arial"/>
          <w:sz w:val="15"/>
          <w:szCs w:val="15"/>
          <w:color w:val="auto"/>
        </w:rPr>
      </w:pPr>
    </w:p>
    <w:p>
      <w:pPr>
        <w:ind w:left="300" w:hanging="292"/>
        <w:spacing w:after="0"/>
        <w:tabs>
          <w:tab w:leader="none" w:pos="3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Improve the ongoing search to bring to adapt our business models, processes and procedures into line with best practices worldwide.</w:t>
      </w:r>
    </w:p>
    <w:p>
      <w:pPr>
        <w:spacing w:after="0" w:line="209" w:lineRule="exact"/>
        <w:rPr>
          <w:rFonts w:ascii="Arial" w:cs="Arial" w:eastAsia="Arial" w:hAnsi="Arial"/>
          <w:sz w:val="16"/>
          <w:szCs w:val="16"/>
          <w:color w:val="auto"/>
        </w:rPr>
      </w:pPr>
    </w:p>
    <w:p>
      <w:pPr>
        <w:ind w:left="300" w:right="60"/>
        <w:spacing w:after="0" w:line="289" w:lineRule="auto"/>
        <w:rPr>
          <w:rFonts w:ascii="Arial" w:cs="Arial" w:eastAsia="Arial" w:hAnsi="Arial"/>
          <w:sz w:val="16"/>
          <w:szCs w:val="16"/>
          <w:color w:val="auto"/>
        </w:rPr>
      </w:pPr>
      <w:r>
        <w:rPr>
          <w:rFonts w:ascii="Arial" w:cs="Arial" w:eastAsia="Arial" w:hAnsi="Arial"/>
          <w:sz w:val="15"/>
          <w:szCs w:val="15"/>
          <w:color w:val="auto"/>
        </w:rPr>
        <w:t>The operating results of the Group’s new business lines are monitored separately by the Board of Directors and Senior Management on a monthly basis, in order to make decisions regarding the allocation of resources and the evaluation of the performance of each one of the segments. The Chief Operating Decision Maker (CODM) of Credicorp is the Chief Executive Officer (CEO). The performance of the segments is evaluated based on the operating profits or losses and is measured consistently with the operating profits and losses presented in the interim condensed consolidated statement of income.</w:t>
      </w:r>
    </w:p>
    <w:p>
      <w:pPr>
        <w:spacing w:after="0" w:line="151" w:lineRule="exact"/>
        <w:rPr>
          <w:rFonts w:ascii="Arial" w:cs="Arial" w:eastAsia="Arial" w:hAnsi="Arial"/>
          <w:sz w:val="16"/>
          <w:szCs w:val="16"/>
          <w:color w:val="auto"/>
        </w:rPr>
      </w:pPr>
    </w:p>
    <w:p>
      <w:pPr>
        <w:ind w:left="300" w:right="20"/>
        <w:spacing w:after="0" w:line="271" w:lineRule="auto"/>
        <w:rPr>
          <w:rFonts w:ascii="Arial" w:cs="Arial" w:eastAsia="Arial" w:hAnsi="Arial"/>
          <w:sz w:val="16"/>
          <w:szCs w:val="16"/>
          <w:color w:val="auto"/>
        </w:rPr>
      </w:pPr>
      <w:r>
        <w:rPr>
          <w:rFonts w:ascii="Arial" w:cs="Arial" w:eastAsia="Arial" w:hAnsi="Arial"/>
          <w:sz w:val="16"/>
          <w:szCs w:val="16"/>
          <w:color w:val="auto"/>
        </w:rPr>
        <w:t>Financial information by segment is prepared subject to the minimum controls necessary and on a uniform basis, with coherent grouping according to the type of activity and customer. The transfer prices used for determining income and expenses generated among the operating segments are similar to the prices that would be applicable to transactions carried out at arm’s length.</w:t>
      </w:r>
    </w:p>
    <w:p>
      <w:pPr>
        <w:spacing w:after="0" w:line="162" w:lineRule="exact"/>
        <w:rPr>
          <w:rFonts w:ascii="Arial" w:cs="Arial" w:eastAsia="Arial" w:hAnsi="Arial"/>
          <w:sz w:val="16"/>
          <w:szCs w:val="16"/>
          <w:color w:val="auto"/>
        </w:rPr>
      </w:pPr>
    </w:p>
    <w:p>
      <w:pPr>
        <w:ind w:left="300" w:right="200"/>
        <w:spacing w:after="0" w:line="322" w:lineRule="auto"/>
        <w:rPr>
          <w:rFonts w:ascii="Arial" w:cs="Arial" w:eastAsia="Arial" w:hAnsi="Arial"/>
          <w:sz w:val="16"/>
          <w:szCs w:val="16"/>
          <w:color w:val="auto"/>
        </w:rPr>
      </w:pPr>
      <w:r>
        <w:rPr>
          <w:rFonts w:ascii="Arial" w:cs="Arial" w:eastAsia="Arial" w:hAnsi="Arial"/>
          <w:sz w:val="15"/>
          <w:szCs w:val="15"/>
          <w:color w:val="auto"/>
        </w:rPr>
        <w:t>None of the income derives from transactions carried out with a single customer or counterparty which is equal to or greater than 10 percent or more of the total income of the Group for the first three-month period ended March 31, 2020 and the first three-month period ended March 31, 2019.</w:t>
      </w:r>
    </w:p>
    <w:p>
      <w:pPr>
        <w:spacing w:after="0" w:line="323" w:lineRule="exact"/>
        <w:rPr>
          <w:rFonts w:ascii="Arial" w:cs="Arial" w:eastAsia="Arial" w:hAnsi="Arial"/>
          <w:sz w:val="16"/>
          <w:szCs w:val="16"/>
          <w:color w:val="auto"/>
        </w:rPr>
      </w:pPr>
    </w:p>
    <w:p>
      <w:pPr>
        <w:ind w:left="4960" w:hanging="93"/>
        <w:spacing w:after="0"/>
        <w:tabs>
          <w:tab w:leader="none" w:pos="49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15875</wp:posOffset>
            </wp:positionV>
            <wp:extent cx="714438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660"/>
          </w:cols>
          <w:pgMar w:left="900" w:top="839" w:right="339" w:bottom="1440" w:gutter="0" w:footer="0" w:header="0"/>
        </w:sectPr>
      </w:pPr>
    </w:p>
    <w:bookmarkStart w:id="77" w:name="page78"/>
    <w:bookmarkEnd w:id="77"/>
    <w:p>
      <w:pPr>
        <w:ind w:left="282" w:right="260" w:hanging="282"/>
        <w:spacing w:after="0" w:line="287" w:lineRule="auto"/>
        <w:tabs>
          <w:tab w:leader="none" w:pos="28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following table presents information recorded in the results and for certain items of the assets corresponding to the Group’s reportable segments (in millions of soles):</w:t>
      </w:r>
    </w:p>
    <w:p>
      <w:pPr>
        <w:spacing w:after="0" w:line="355" w:lineRule="exact"/>
        <w:rPr>
          <w:sz w:val="20"/>
          <w:szCs w:val="20"/>
          <w:color w:val="auto"/>
        </w:rPr>
      </w:pPr>
    </w:p>
    <w:tbl>
      <w:tblPr>
        <w:tblLayout w:type="fixed"/>
        <w:tblInd w:w="402" w:type="dxa"/>
        <w:tblCellMar>
          <w:top w:w="0" w:type="dxa"/>
          <w:left w:w="0" w:type="dxa"/>
          <w:bottom w:w="0" w:type="dxa"/>
          <w:right w:w="0" w:type="dxa"/>
        </w:tblCellMar>
      </w:tblPr>
      <w:tr>
        <w:trPr>
          <w:trHeight w:val="139"/>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40" w:type="dxa"/>
            <w:vAlign w:val="bottom"/>
            <w:gridSpan w:val="15"/>
          </w:tcPr>
          <w:p>
            <w:pPr>
              <w:jc w:val="right"/>
              <w:ind w:right="614"/>
              <w:spacing w:after="0"/>
              <w:rPr>
                <w:sz w:val="20"/>
                <w:szCs w:val="20"/>
                <w:color w:val="auto"/>
              </w:rPr>
            </w:pPr>
            <w:r>
              <w:rPr>
                <w:rFonts w:ascii="Arial" w:cs="Arial" w:eastAsia="Arial" w:hAnsi="Arial"/>
                <w:sz w:val="11"/>
                <w:szCs w:val="11"/>
                <w:b w:val="1"/>
                <w:bCs w:val="1"/>
                <w:color w:val="auto"/>
              </w:rPr>
              <w:t>For the three-month period ended March 31, 2020</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4"/>
          </w:tcPr>
          <w:p>
            <w:pPr>
              <w:jc w:val="right"/>
              <w:ind w:right="300"/>
              <w:spacing w:after="0"/>
              <w:rPr>
                <w:sz w:val="20"/>
                <w:szCs w:val="20"/>
                <w:color w:val="auto"/>
              </w:rPr>
            </w:pPr>
            <w:r>
              <w:rPr>
                <w:rFonts w:ascii="Arial" w:cs="Arial" w:eastAsia="Arial" w:hAnsi="Arial"/>
                <w:sz w:val="11"/>
                <w:szCs w:val="11"/>
                <w:b w:val="1"/>
                <w:bCs w:val="1"/>
                <w:color w:val="auto"/>
              </w:rPr>
              <w:t>As of March 31, 2020</w:t>
            </w:r>
          </w:p>
        </w:tc>
        <w:tc>
          <w:tcPr>
            <w:tcW w:w="0" w:type="dxa"/>
            <w:vAlign w:val="bottom"/>
          </w:tcPr>
          <w:p>
            <w:pPr>
              <w:spacing w:after="0"/>
              <w:rPr>
                <w:sz w:val="1"/>
                <w:szCs w:val="1"/>
                <w:color w:val="auto"/>
              </w:rPr>
            </w:pPr>
          </w:p>
        </w:tc>
      </w:tr>
      <w:tr>
        <w:trPr>
          <w:trHeight w:val="127"/>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Borders>
              <w:top w:val="single" w:sz="8" w:color="auto"/>
            </w:tcBorders>
            <w:gridSpan w:val="4"/>
          </w:tcPr>
          <w:p>
            <w:pPr>
              <w:jc w:val="right"/>
              <w:ind w:right="740"/>
              <w:spacing w:after="0"/>
              <w:rPr>
                <w:sz w:val="20"/>
                <w:szCs w:val="20"/>
                <w:color w:val="auto"/>
              </w:rPr>
            </w:pPr>
            <w:r>
              <w:rPr>
                <w:rFonts w:ascii="Arial" w:cs="Arial" w:eastAsia="Arial" w:hAnsi="Arial"/>
                <w:sz w:val="11"/>
                <w:szCs w:val="11"/>
                <w:b w:val="1"/>
                <w:bCs w:val="1"/>
                <w:color w:val="auto"/>
              </w:rPr>
              <w:t>Income (*)</w:t>
            </w:r>
          </w:p>
        </w:tc>
        <w:tc>
          <w:tcPr>
            <w:tcW w:w="84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4"/>
              </w:rPr>
              <w:t>Net interest,</w:t>
            </w: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5"/>
            <w:vMerge w:val="restart"/>
          </w:tcPr>
          <w:p>
            <w:pPr>
              <w:jc w:val="center"/>
              <w:ind w:right="54"/>
              <w:spacing w:after="0"/>
              <w:rPr>
                <w:sz w:val="20"/>
                <w:szCs w:val="20"/>
                <w:color w:val="auto"/>
              </w:rPr>
            </w:pPr>
            <w:r>
              <w:rPr>
                <w:rFonts w:ascii="Arial" w:cs="Arial" w:eastAsia="Arial" w:hAnsi="Arial"/>
                <w:sz w:val="11"/>
                <w:szCs w:val="11"/>
                <w:b w:val="1"/>
                <w:bCs w:val="1"/>
                <w:color w:val="auto"/>
                <w:w w:val="94"/>
              </w:rPr>
              <w:t>Provision for</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Borders>
              <w:top w:val="single" w:sz="8" w:color="auto"/>
            </w:tcBorders>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Borders>
              <w:top w:val="single" w:sz="8" w:color="auto"/>
            </w:tcBorders>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tcPr>
          <w:p>
            <w:pPr>
              <w:jc w:val="center"/>
              <w:ind w:right="220"/>
              <w:spacing w:after="0" w:line="123" w:lineRule="exact"/>
              <w:rPr>
                <w:sz w:val="20"/>
                <w:szCs w:val="20"/>
                <w:color w:val="auto"/>
              </w:rPr>
            </w:pPr>
            <w:r>
              <w:rPr>
                <w:rFonts w:ascii="Arial" w:cs="Arial" w:eastAsia="Arial" w:hAnsi="Arial"/>
                <w:sz w:val="11"/>
                <w:szCs w:val="11"/>
                <w:b w:val="1"/>
                <w:bCs w:val="1"/>
                <w:color w:val="auto"/>
                <w:w w:val="95"/>
              </w:rPr>
              <w:t>similar</w:t>
            </w:r>
          </w:p>
        </w:tc>
        <w:tc>
          <w:tcPr>
            <w:tcW w:w="20" w:type="dxa"/>
            <w:vAlign w:val="bottom"/>
          </w:tcPr>
          <w:p>
            <w:pPr>
              <w:spacing w:after="0"/>
              <w:rPr>
                <w:sz w:val="10"/>
                <w:szCs w:val="10"/>
                <w:color w:val="auto"/>
              </w:rPr>
            </w:pPr>
          </w:p>
        </w:tc>
        <w:tc>
          <w:tcPr>
            <w:tcW w:w="720" w:type="dxa"/>
            <w:vAlign w:val="bottom"/>
            <w:gridSpan w:val="3"/>
          </w:tcPr>
          <w:p>
            <w:pPr>
              <w:jc w:val="center"/>
              <w:ind w:right="160"/>
              <w:spacing w:after="0" w:line="123" w:lineRule="exact"/>
              <w:rPr>
                <w:sz w:val="20"/>
                <w:szCs w:val="20"/>
                <w:color w:val="auto"/>
              </w:rPr>
            </w:pPr>
            <w:r>
              <w:rPr>
                <w:rFonts w:ascii="Arial" w:cs="Arial" w:eastAsia="Arial" w:hAnsi="Arial"/>
                <w:sz w:val="11"/>
                <w:szCs w:val="11"/>
                <w:b w:val="1"/>
                <w:bCs w:val="1"/>
                <w:color w:val="auto"/>
                <w:w w:val="95"/>
              </w:rPr>
              <w:t>Other</w:t>
            </w:r>
          </w:p>
        </w:tc>
        <w:tc>
          <w:tcPr>
            <w:tcW w:w="820" w:type="dxa"/>
            <w:vAlign w:val="bottom"/>
            <w:gridSpan w:val="5"/>
          </w:tcPr>
          <w:p>
            <w:pPr>
              <w:jc w:val="right"/>
              <w:ind w:right="154"/>
              <w:spacing w:after="0" w:line="123" w:lineRule="exact"/>
              <w:rPr>
                <w:sz w:val="20"/>
                <w:szCs w:val="20"/>
                <w:color w:val="auto"/>
              </w:rPr>
            </w:pPr>
            <w:r>
              <w:rPr>
                <w:rFonts w:ascii="Arial" w:cs="Arial" w:eastAsia="Arial" w:hAnsi="Arial"/>
                <w:sz w:val="11"/>
                <w:szCs w:val="11"/>
                <w:b w:val="1"/>
                <w:bCs w:val="1"/>
                <w:color w:val="auto"/>
                <w:w w:val="95"/>
              </w:rPr>
              <w:t>credit losses</w:t>
            </w:r>
          </w:p>
        </w:tc>
        <w:tc>
          <w:tcPr>
            <w:tcW w:w="940" w:type="dxa"/>
            <w:vAlign w:val="bottom"/>
            <w:gridSpan w:val="4"/>
          </w:tcPr>
          <w:p>
            <w:pPr>
              <w:jc w:val="center"/>
              <w:ind w:right="174"/>
              <w:spacing w:after="0" w:line="123" w:lineRule="exact"/>
              <w:rPr>
                <w:sz w:val="20"/>
                <w:szCs w:val="20"/>
                <w:color w:val="auto"/>
              </w:rPr>
            </w:pPr>
            <w:r>
              <w:rPr>
                <w:rFonts w:ascii="Arial" w:cs="Arial" w:eastAsia="Arial" w:hAnsi="Arial"/>
                <w:sz w:val="11"/>
                <w:szCs w:val="11"/>
                <w:b w:val="1"/>
                <w:bCs w:val="1"/>
                <w:color w:val="auto"/>
                <w:w w:val="95"/>
              </w:rPr>
              <w:t>Depreciation</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220"/>
              <w:spacing w:after="0" w:line="123" w:lineRule="exact"/>
              <w:rPr>
                <w:sz w:val="20"/>
                <w:szCs w:val="20"/>
                <w:color w:val="auto"/>
              </w:rPr>
            </w:pPr>
            <w:r>
              <w:rPr>
                <w:rFonts w:ascii="Arial" w:cs="Arial" w:eastAsia="Arial" w:hAnsi="Arial"/>
                <w:sz w:val="11"/>
                <w:szCs w:val="11"/>
                <w:b w:val="1"/>
                <w:bCs w:val="1"/>
                <w:color w:val="auto"/>
                <w:w w:val="96"/>
              </w:rPr>
              <w:t>From other</w:t>
            </w: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1"/>
                <w:szCs w:val="11"/>
                <w:b w:val="1"/>
                <w:bCs w:val="1"/>
                <w:color w:val="auto"/>
                <w:w w:val="91"/>
              </w:rPr>
              <w:t>income and</w:t>
            </w:r>
          </w:p>
        </w:tc>
        <w:tc>
          <w:tcPr>
            <w:tcW w:w="20" w:type="dxa"/>
            <w:vAlign w:val="bottom"/>
          </w:tcPr>
          <w:p>
            <w:pPr>
              <w:spacing w:after="0"/>
              <w:rPr>
                <w:sz w:val="10"/>
                <w:szCs w:val="10"/>
                <w:color w:val="auto"/>
              </w:rPr>
            </w:pPr>
          </w:p>
        </w:tc>
        <w:tc>
          <w:tcPr>
            <w:tcW w:w="720" w:type="dxa"/>
            <w:vAlign w:val="bottom"/>
            <w:gridSpan w:val="3"/>
          </w:tcPr>
          <w:p>
            <w:pPr>
              <w:jc w:val="center"/>
              <w:ind w:right="160"/>
              <w:spacing w:after="0" w:line="123" w:lineRule="exact"/>
              <w:rPr>
                <w:sz w:val="20"/>
                <w:szCs w:val="20"/>
                <w:color w:val="auto"/>
              </w:rPr>
            </w:pPr>
            <w:r>
              <w:rPr>
                <w:rFonts w:ascii="Arial" w:cs="Arial" w:eastAsia="Arial" w:hAnsi="Arial"/>
                <w:sz w:val="11"/>
                <w:szCs w:val="11"/>
                <w:b w:val="1"/>
                <w:bCs w:val="1"/>
                <w:color w:val="auto"/>
                <w:w w:val="86"/>
              </w:rPr>
              <w:t>income,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tcPr>
          <w:p>
            <w:pPr>
              <w:jc w:val="center"/>
              <w:ind w:right="154"/>
              <w:spacing w:after="0" w:line="123" w:lineRule="exact"/>
              <w:rPr>
                <w:sz w:val="20"/>
                <w:szCs w:val="20"/>
                <w:color w:val="auto"/>
              </w:rPr>
            </w:pPr>
            <w:r>
              <w:rPr>
                <w:rFonts w:ascii="Arial" w:cs="Arial" w:eastAsia="Arial" w:hAnsi="Arial"/>
                <w:sz w:val="11"/>
                <w:szCs w:val="11"/>
                <w:b w:val="1"/>
                <w:bCs w:val="1"/>
                <w:color w:val="auto"/>
                <w:w w:val="91"/>
              </w:rPr>
              <w:t>on loan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tcPr>
          <w:p>
            <w:pPr>
              <w:jc w:val="center"/>
              <w:ind w:right="234"/>
              <w:spacing w:after="0" w:line="123" w:lineRule="exact"/>
              <w:rPr>
                <w:sz w:val="20"/>
                <w:szCs w:val="20"/>
                <w:color w:val="auto"/>
              </w:rPr>
            </w:pPr>
            <w:r>
              <w:rPr>
                <w:rFonts w:ascii="Arial" w:cs="Arial" w:eastAsia="Arial" w:hAnsi="Arial"/>
                <w:sz w:val="11"/>
                <w:szCs w:val="11"/>
                <w:b w:val="1"/>
                <w:bCs w:val="1"/>
                <w:color w:val="auto"/>
              </w:rPr>
              <w:t>and</w:t>
            </w:r>
          </w:p>
        </w:tc>
        <w:tc>
          <w:tcPr>
            <w:tcW w:w="800" w:type="dxa"/>
            <w:vAlign w:val="bottom"/>
            <w:gridSpan w:val="2"/>
          </w:tcPr>
          <w:p>
            <w:pPr>
              <w:jc w:val="center"/>
              <w:ind w:right="160"/>
              <w:spacing w:after="0" w:line="123" w:lineRule="exact"/>
              <w:rPr>
                <w:sz w:val="20"/>
                <w:szCs w:val="20"/>
                <w:color w:val="auto"/>
              </w:rPr>
            </w:pPr>
            <w:r>
              <w:rPr>
                <w:rFonts w:ascii="Arial" w:cs="Arial" w:eastAsia="Arial" w:hAnsi="Arial"/>
                <w:sz w:val="11"/>
                <w:szCs w:val="11"/>
                <w:b w:val="1"/>
                <w:bCs w:val="1"/>
                <w:color w:val="auto"/>
                <w:w w:val="93"/>
              </w:rPr>
              <w:t>Income</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39"/>
        </w:trPr>
        <w:tc>
          <w:tcPr>
            <w:tcW w:w="2220" w:type="dxa"/>
            <w:vAlign w:val="bottom"/>
            <w:gridSpan w:val="2"/>
          </w:tcPr>
          <w:p>
            <w:pPr>
              <w:ind w:left="560"/>
              <w:spacing w:after="0"/>
              <w:rPr>
                <w:sz w:val="20"/>
                <w:szCs w:val="20"/>
                <w:color w:val="auto"/>
              </w:rPr>
            </w:pPr>
            <w:r>
              <w:rPr>
                <w:rFonts w:ascii="Arial" w:cs="Arial" w:eastAsia="Arial" w:hAnsi="Arial"/>
                <w:sz w:val="11"/>
                <w:szCs w:val="11"/>
                <w:b w:val="1"/>
                <w:bCs w:val="1"/>
                <w:color w:val="auto"/>
              </w:rPr>
              <w:t>Operating segments</w:t>
            </w: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External</w:t>
            </w: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segments (**)</w:t>
            </w:r>
          </w:p>
        </w:tc>
        <w:tc>
          <w:tcPr>
            <w:tcW w:w="8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3"/>
              </w:rPr>
              <w:t>expenses</w:t>
            </w:r>
          </w:p>
        </w:tc>
        <w:tc>
          <w:tcPr>
            <w:tcW w:w="20" w:type="dxa"/>
            <w:vAlign w:val="bottom"/>
          </w:tcPr>
          <w:p>
            <w:pPr>
              <w:spacing w:after="0"/>
              <w:rPr>
                <w:sz w:val="12"/>
                <w:szCs w:val="12"/>
                <w:color w:val="auto"/>
              </w:rPr>
            </w:pPr>
          </w:p>
        </w:tc>
        <w:tc>
          <w:tcPr>
            <w:tcW w:w="72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rPr>
              <w:t>net (***)</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center"/>
              <w:ind w:right="174"/>
              <w:spacing w:after="0"/>
              <w:rPr>
                <w:sz w:val="20"/>
                <w:szCs w:val="20"/>
                <w:color w:val="auto"/>
              </w:rPr>
            </w:pPr>
            <w:r>
              <w:rPr>
                <w:rFonts w:ascii="Arial" w:cs="Arial" w:eastAsia="Arial" w:hAnsi="Arial"/>
                <w:sz w:val="11"/>
                <w:szCs w:val="11"/>
                <w:b w:val="1"/>
                <w:bCs w:val="1"/>
                <w:color w:val="auto"/>
                <w:w w:val="94"/>
              </w:rPr>
              <w:t>portfolio</w:t>
            </w:r>
          </w:p>
        </w:tc>
        <w:tc>
          <w:tcPr>
            <w:tcW w:w="80" w:type="dxa"/>
            <w:vAlign w:val="bottom"/>
          </w:tcPr>
          <w:p>
            <w:pPr>
              <w:spacing w:after="0"/>
              <w:rPr>
                <w:sz w:val="12"/>
                <w:szCs w:val="12"/>
                <w:color w:val="auto"/>
              </w:rPr>
            </w:pPr>
          </w:p>
        </w:tc>
        <w:tc>
          <w:tcPr>
            <w:tcW w:w="860" w:type="dxa"/>
            <w:vAlign w:val="bottom"/>
            <w:gridSpan w:val="3"/>
          </w:tcPr>
          <w:p>
            <w:pPr>
              <w:jc w:val="center"/>
              <w:ind w:right="214"/>
              <w:spacing w:after="0"/>
              <w:rPr>
                <w:sz w:val="20"/>
                <w:szCs w:val="20"/>
                <w:color w:val="auto"/>
              </w:rPr>
            </w:pPr>
            <w:r>
              <w:rPr>
                <w:rFonts w:ascii="Arial" w:cs="Arial" w:eastAsia="Arial" w:hAnsi="Arial"/>
                <w:sz w:val="11"/>
                <w:szCs w:val="11"/>
                <w:b w:val="1"/>
                <w:bCs w:val="1"/>
                <w:color w:val="auto"/>
                <w:w w:val="97"/>
              </w:rPr>
              <w:t>amortization</w:t>
            </w:r>
          </w:p>
        </w:tc>
        <w:tc>
          <w:tcPr>
            <w:tcW w:w="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tax</w:t>
            </w:r>
          </w:p>
        </w:tc>
        <w:tc>
          <w:tcPr>
            <w:tcW w:w="82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Net profit</w:t>
            </w:r>
          </w:p>
        </w:tc>
        <w:tc>
          <w:tcPr>
            <w:tcW w:w="8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7"/>
              </w:rPr>
              <w:t>Total assets</w:t>
            </w:r>
          </w:p>
        </w:tc>
        <w:tc>
          <w:tcPr>
            <w:tcW w:w="7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liabilities</w:t>
            </w:r>
          </w:p>
        </w:tc>
        <w:tc>
          <w:tcPr>
            <w:tcW w:w="0" w:type="dxa"/>
            <w:vAlign w:val="bottom"/>
          </w:tcPr>
          <w:p>
            <w:pPr>
              <w:spacing w:after="0"/>
              <w:rPr>
                <w:sz w:val="1"/>
                <w:szCs w:val="1"/>
                <w:color w:val="auto"/>
              </w:rPr>
            </w:pPr>
          </w:p>
        </w:tc>
      </w:tr>
      <w:tr>
        <w:trPr>
          <w:trHeight w:val="115"/>
        </w:trPr>
        <w:tc>
          <w:tcPr>
            <w:tcW w:w="21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Universal Banking</w:t>
            </w: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gridSpan w:val="2"/>
          </w:tcPr>
          <w:p>
            <w:pPr>
              <w:ind w:left="140"/>
              <w:spacing w:after="0" w:line="123" w:lineRule="exact"/>
              <w:rPr>
                <w:sz w:val="20"/>
                <w:szCs w:val="20"/>
                <w:color w:val="auto"/>
              </w:rPr>
            </w:pPr>
            <w:r>
              <w:rPr>
                <w:rFonts w:ascii="Arial" w:cs="Arial" w:eastAsia="Arial" w:hAnsi="Arial"/>
                <w:sz w:val="11"/>
                <w:szCs w:val="11"/>
                <w:color w:val="auto"/>
              </w:rPr>
              <w:t>Banco de Crédito del Perú</w:t>
            </w: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2,820</w:t>
            </w:r>
          </w:p>
        </w:tc>
        <w:tc>
          <w:tcPr>
            <w:tcW w:w="22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121</w:t>
            </w:r>
          </w:p>
        </w:tc>
        <w:tc>
          <w:tcPr>
            <w:tcW w:w="22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1,616</w:t>
            </w:r>
          </w:p>
        </w:tc>
        <w:tc>
          <w:tcPr>
            <w:tcW w:w="200" w:type="dxa"/>
            <w:vAlign w:val="bottom"/>
          </w:tcPr>
          <w:p>
            <w:pPr>
              <w:spacing w:after="0"/>
              <w:rPr>
                <w:sz w:val="10"/>
                <w:szCs w:val="10"/>
                <w:color w:val="auto"/>
              </w:rPr>
            </w:pPr>
          </w:p>
        </w:tc>
        <w:tc>
          <w:tcPr>
            <w:tcW w:w="62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762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4"/>
          </w:tcPr>
          <w:p>
            <w:pPr>
              <w:jc w:val="right"/>
              <w:ind w:right="14"/>
              <w:spacing w:after="0" w:line="123" w:lineRule="exact"/>
              <w:rPr>
                <w:sz w:val="20"/>
                <w:szCs w:val="20"/>
                <w:color w:val="auto"/>
              </w:rPr>
            </w:pPr>
            <w:r>
              <w:rPr>
                <w:rFonts w:ascii="Arial" w:cs="Arial" w:eastAsia="Arial" w:hAnsi="Arial"/>
                <w:sz w:val="11"/>
                <w:szCs w:val="11"/>
                <w:color w:val="auto"/>
              </w:rPr>
              <w:t>(1,152)</w:t>
            </w:r>
          </w:p>
        </w:tc>
        <w:tc>
          <w:tcPr>
            <w:tcW w:w="80" w:type="dxa"/>
            <w:vAlign w:val="bottom"/>
          </w:tcPr>
          <w:p>
            <w:pPr>
              <w:spacing w:after="0"/>
              <w:rPr>
                <w:sz w:val="10"/>
                <w:szCs w:val="10"/>
                <w:color w:val="auto"/>
              </w:rPr>
            </w:pPr>
          </w:p>
        </w:tc>
        <w:tc>
          <w:tcPr>
            <w:tcW w:w="940" w:type="dxa"/>
            <w:vAlign w:val="bottom"/>
            <w:gridSpan w:val="4"/>
          </w:tcPr>
          <w:p>
            <w:pPr>
              <w:jc w:val="right"/>
              <w:ind w:right="174"/>
              <w:spacing w:after="0" w:line="123" w:lineRule="exact"/>
              <w:rPr>
                <w:sz w:val="20"/>
                <w:szCs w:val="20"/>
                <w:color w:val="auto"/>
              </w:rPr>
            </w:pPr>
            <w:r>
              <w:rPr>
                <w:rFonts w:ascii="Arial" w:cs="Arial" w:eastAsia="Arial" w:hAnsi="Arial"/>
                <w:sz w:val="11"/>
                <w:szCs w:val="11"/>
                <w:color w:val="auto"/>
              </w:rPr>
              <w:t>(110)</w:t>
            </w:r>
          </w:p>
        </w:tc>
        <w:tc>
          <w:tcPr>
            <w:tcW w:w="80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(81)</w:t>
            </w: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146</w:t>
            </w:r>
          </w:p>
        </w:tc>
        <w:tc>
          <w:tcPr>
            <w:tcW w:w="20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148,697</w:t>
            </w:r>
          </w:p>
        </w:tc>
        <w:tc>
          <w:tcPr>
            <w:tcW w:w="20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132,075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gridSpan w:val="2"/>
            <w:shd w:val="clear" w:color="auto" w:fill="CCEEFF"/>
          </w:tcPr>
          <w:p>
            <w:pPr>
              <w:ind w:left="140"/>
              <w:spacing w:after="0" w:line="123" w:lineRule="exact"/>
              <w:rPr>
                <w:sz w:val="20"/>
                <w:szCs w:val="20"/>
                <w:color w:val="auto"/>
              </w:rPr>
            </w:pPr>
            <w:r>
              <w:rPr>
                <w:rFonts w:ascii="Arial" w:cs="Arial" w:eastAsia="Arial" w:hAnsi="Arial"/>
                <w:sz w:val="11"/>
                <w:szCs w:val="11"/>
                <w:color w:val="auto"/>
              </w:rPr>
              <w:t>Banco de Crédito de Bolivia</w:t>
            </w: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190</w:t>
            </w: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w:t>
            </w: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87</w:t>
            </w:r>
          </w:p>
        </w:tc>
        <w:tc>
          <w:tcPr>
            <w:tcW w:w="2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25</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4"/>
            <w:shd w:val="clear" w:color="auto" w:fill="CCEEFF"/>
          </w:tcPr>
          <w:p>
            <w:pPr>
              <w:jc w:val="right"/>
              <w:ind w:right="14"/>
              <w:spacing w:after="0" w:line="123" w:lineRule="exact"/>
              <w:rPr>
                <w:sz w:val="20"/>
                <w:szCs w:val="20"/>
                <w:color w:val="auto"/>
              </w:rPr>
            </w:pPr>
            <w:r>
              <w:rPr>
                <w:rFonts w:ascii="Arial" w:cs="Arial" w:eastAsia="Arial" w:hAnsi="Arial"/>
                <w:sz w:val="11"/>
                <w:szCs w:val="11"/>
                <w:color w:val="auto"/>
              </w:rPr>
              <w:t>(38)</w:t>
            </w:r>
          </w:p>
        </w:tc>
        <w:tc>
          <w:tcPr>
            <w:tcW w:w="80" w:type="dxa"/>
            <w:vAlign w:val="bottom"/>
            <w:shd w:val="clear" w:color="auto" w:fill="CCEEFF"/>
          </w:tcPr>
          <w:p>
            <w:pPr>
              <w:spacing w:after="0"/>
              <w:rPr>
                <w:sz w:val="10"/>
                <w:szCs w:val="10"/>
                <w:color w:val="auto"/>
              </w:rPr>
            </w:pPr>
          </w:p>
        </w:tc>
        <w:tc>
          <w:tcPr>
            <w:tcW w:w="940" w:type="dxa"/>
            <w:vAlign w:val="bottom"/>
            <w:gridSpan w:val="4"/>
            <w:shd w:val="clear" w:color="auto" w:fill="CCEEFF"/>
          </w:tcPr>
          <w:p>
            <w:pPr>
              <w:jc w:val="right"/>
              <w:ind w:right="174"/>
              <w:spacing w:after="0" w:line="123" w:lineRule="exact"/>
              <w:rPr>
                <w:sz w:val="20"/>
                <w:szCs w:val="20"/>
                <w:color w:val="auto"/>
              </w:rPr>
            </w:pPr>
            <w:r>
              <w:rPr>
                <w:rFonts w:ascii="Arial" w:cs="Arial" w:eastAsia="Arial" w:hAnsi="Arial"/>
                <w:sz w:val="11"/>
                <w:szCs w:val="11"/>
                <w:color w:val="auto"/>
              </w:rPr>
              <w:t>(5)</w:t>
            </w:r>
          </w:p>
        </w:tc>
        <w:tc>
          <w:tcPr>
            <w:tcW w:w="80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(6)</w:t>
            </w: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w:t>
            </w: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11,359</w:t>
            </w: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10,649</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gridSpan w:val="2"/>
          </w:tcPr>
          <w:p>
            <w:pPr>
              <w:spacing w:after="0" w:line="123" w:lineRule="exact"/>
              <w:rPr>
                <w:sz w:val="20"/>
                <w:szCs w:val="20"/>
                <w:color w:val="auto"/>
              </w:rPr>
            </w:pPr>
            <w:r>
              <w:rPr>
                <w:rFonts w:ascii="Arial" w:cs="Arial" w:eastAsia="Arial" w:hAnsi="Arial"/>
                <w:sz w:val="11"/>
                <w:szCs w:val="11"/>
                <w:color w:val="auto"/>
              </w:rPr>
              <w:t>Insurance and Pension funds</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gridSpan w:val="2"/>
            <w:shd w:val="clear" w:color="auto" w:fill="CCEEFF"/>
          </w:tcPr>
          <w:p>
            <w:pPr>
              <w:ind w:left="140"/>
              <w:spacing w:after="0" w:line="123" w:lineRule="exact"/>
              <w:rPr>
                <w:sz w:val="20"/>
                <w:szCs w:val="20"/>
                <w:color w:val="auto"/>
              </w:rPr>
            </w:pPr>
            <w:r>
              <w:rPr>
                <w:rFonts w:ascii="Arial" w:cs="Arial" w:eastAsia="Arial" w:hAnsi="Arial"/>
                <w:sz w:val="11"/>
                <w:szCs w:val="11"/>
                <w:color w:val="auto"/>
              </w:rPr>
              <w:t>Pacífico Seguros and Subsidiaries</w:t>
            </w: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807</w:t>
            </w: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19</w:t>
            </w: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128</w:t>
            </w:r>
          </w:p>
        </w:tc>
        <w:tc>
          <w:tcPr>
            <w:tcW w:w="2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683</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3"/>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4"/>
            <w:shd w:val="clear" w:color="auto" w:fill="CCEEFF"/>
          </w:tcPr>
          <w:p>
            <w:pPr>
              <w:jc w:val="right"/>
              <w:ind w:right="174"/>
              <w:spacing w:after="0" w:line="123" w:lineRule="exact"/>
              <w:rPr>
                <w:sz w:val="20"/>
                <w:szCs w:val="20"/>
                <w:color w:val="auto"/>
              </w:rPr>
            </w:pPr>
            <w:r>
              <w:rPr>
                <w:rFonts w:ascii="Arial" w:cs="Arial" w:eastAsia="Arial" w:hAnsi="Arial"/>
                <w:sz w:val="11"/>
                <w:szCs w:val="11"/>
                <w:color w:val="auto"/>
              </w:rPr>
              <w:t>(15)</w:t>
            </w:r>
          </w:p>
        </w:tc>
        <w:tc>
          <w:tcPr>
            <w:tcW w:w="80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(2)</w:t>
            </w: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100</w:t>
            </w: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13,740</w:t>
            </w: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11,005</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gridSpan w:val="2"/>
          </w:tcPr>
          <w:p>
            <w:pPr>
              <w:ind w:left="140"/>
              <w:spacing w:after="0" w:line="123" w:lineRule="exact"/>
              <w:rPr>
                <w:sz w:val="20"/>
                <w:szCs w:val="20"/>
                <w:color w:val="auto"/>
              </w:rPr>
            </w:pPr>
            <w:r>
              <w:rPr>
                <w:rFonts w:ascii="Arial" w:cs="Arial" w:eastAsia="Arial" w:hAnsi="Arial"/>
                <w:sz w:val="11"/>
                <w:szCs w:val="11"/>
                <w:color w:val="auto"/>
              </w:rPr>
              <w:t>Prima AFP</w:t>
            </w: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41</w:t>
            </w:r>
          </w:p>
        </w:tc>
        <w:tc>
          <w:tcPr>
            <w:tcW w:w="22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1</w:t>
            </w:r>
          </w:p>
        </w:tc>
        <w:tc>
          <w:tcPr>
            <w:tcW w:w="22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62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41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right"/>
              <w:spacing w:after="0" w:line="123"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4"/>
          </w:tcPr>
          <w:p>
            <w:pPr>
              <w:jc w:val="right"/>
              <w:ind w:right="174"/>
              <w:spacing w:after="0" w:line="123" w:lineRule="exact"/>
              <w:rPr>
                <w:sz w:val="20"/>
                <w:szCs w:val="20"/>
                <w:color w:val="auto"/>
              </w:rPr>
            </w:pPr>
            <w:r>
              <w:rPr>
                <w:rFonts w:ascii="Arial" w:cs="Arial" w:eastAsia="Arial" w:hAnsi="Arial"/>
                <w:sz w:val="11"/>
                <w:szCs w:val="11"/>
                <w:color w:val="auto"/>
              </w:rPr>
              <w:t>(5)</w:t>
            </w:r>
          </w:p>
        </w:tc>
        <w:tc>
          <w:tcPr>
            <w:tcW w:w="80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(3)</w:t>
            </w:r>
          </w:p>
        </w:tc>
        <w:tc>
          <w:tcPr>
            <w:tcW w:w="82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(4)</w:t>
            </w: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974</w:t>
            </w:r>
          </w:p>
        </w:tc>
        <w:tc>
          <w:tcPr>
            <w:tcW w:w="20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427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gridSpan w:val="2"/>
            <w:shd w:val="clear" w:color="auto" w:fill="CCEEFF"/>
          </w:tcPr>
          <w:p>
            <w:pPr>
              <w:spacing w:after="0" w:line="123" w:lineRule="exact"/>
              <w:rPr>
                <w:sz w:val="20"/>
                <w:szCs w:val="20"/>
                <w:color w:val="auto"/>
              </w:rPr>
            </w:pPr>
            <w:r>
              <w:rPr>
                <w:rFonts w:ascii="Arial" w:cs="Arial" w:eastAsia="Arial" w:hAnsi="Arial"/>
                <w:sz w:val="11"/>
                <w:szCs w:val="11"/>
                <w:color w:val="auto"/>
              </w:rPr>
              <w:t>Microfinance</w:t>
            </w: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gridSpan w:val="2"/>
          </w:tcPr>
          <w:p>
            <w:pPr>
              <w:ind w:left="140"/>
              <w:spacing w:after="0" w:line="123" w:lineRule="exact"/>
              <w:rPr>
                <w:sz w:val="20"/>
                <w:szCs w:val="20"/>
                <w:color w:val="auto"/>
              </w:rPr>
            </w:pPr>
            <w:r>
              <w:rPr>
                <w:rFonts w:ascii="Arial" w:cs="Arial" w:eastAsia="Arial" w:hAnsi="Arial"/>
                <w:sz w:val="11"/>
                <w:szCs w:val="11"/>
                <w:color w:val="auto"/>
              </w:rPr>
              <w:t>Mibanco</w:t>
            </w: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628</w:t>
            </w:r>
          </w:p>
        </w:tc>
        <w:tc>
          <w:tcPr>
            <w:tcW w:w="22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12</w:t>
            </w:r>
          </w:p>
        </w:tc>
        <w:tc>
          <w:tcPr>
            <w:tcW w:w="22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485</w:t>
            </w:r>
          </w:p>
        </w:tc>
        <w:tc>
          <w:tcPr>
            <w:tcW w:w="200" w:type="dxa"/>
            <w:vAlign w:val="bottom"/>
          </w:tcPr>
          <w:p>
            <w:pPr>
              <w:spacing w:after="0"/>
              <w:rPr>
                <w:sz w:val="10"/>
                <w:szCs w:val="10"/>
                <w:color w:val="auto"/>
              </w:rPr>
            </w:pPr>
          </w:p>
        </w:tc>
        <w:tc>
          <w:tcPr>
            <w:tcW w:w="62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41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4"/>
          </w:tcPr>
          <w:p>
            <w:pPr>
              <w:jc w:val="right"/>
              <w:ind w:right="14"/>
              <w:spacing w:after="0" w:line="123" w:lineRule="exact"/>
              <w:rPr>
                <w:sz w:val="20"/>
                <w:szCs w:val="20"/>
                <w:color w:val="auto"/>
              </w:rPr>
            </w:pPr>
            <w:r>
              <w:rPr>
                <w:rFonts w:ascii="Arial" w:cs="Arial" w:eastAsia="Arial" w:hAnsi="Arial"/>
                <w:sz w:val="11"/>
                <w:szCs w:val="11"/>
                <w:color w:val="auto"/>
              </w:rPr>
              <w:t>(189)</w:t>
            </w:r>
          </w:p>
        </w:tc>
        <w:tc>
          <w:tcPr>
            <w:tcW w:w="80" w:type="dxa"/>
            <w:vAlign w:val="bottom"/>
          </w:tcPr>
          <w:p>
            <w:pPr>
              <w:spacing w:after="0"/>
              <w:rPr>
                <w:sz w:val="10"/>
                <w:szCs w:val="10"/>
                <w:color w:val="auto"/>
              </w:rPr>
            </w:pPr>
          </w:p>
        </w:tc>
        <w:tc>
          <w:tcPr>
            <w:tcW w:w="940" w:type="dxa"/>
            <w:vAlign w:val="bottom"/>
            <w:gridSpan w:val="4"/>
          </w:tcPr>
          <w:p>
            <w:pPr>
              <w:jc w:val="right"/>
              <w:ind w:right="174"/>
              <w:spacing w:after="0" w:line="123" w:lineRule="exact"/>
              <w:rPr>
                <w:sz w:val="20"/>
                <w:szCs w:val="20"/>
                <w:color w:val="auto"/>
              </w:rPr>
            </w:pPr>
            <w:r>
              <w:rPr>
                <w:rFonts w:ascii="Arial" w:cs="Arial" w:eastAsia="Arial" w:hAnsi="Arial"/>
                <w:sz w:val="11"/>
                <w:szCs w:val="11"/>
                <w:color w:val="auto"/>
              </w:rPr>
              <w:t>(23)</w:t>
            </w:r>
          </w:p>
        </w:tc>
        <w:tc>
          <w:tcPr>
            <w:tcW w:w="80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(17)</w:t>
            </w: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34</w:t>
            </w:r>
          </w:p>
        </w:tc>
        <w:tc>
          <w:tcPr>
            <w:tcW w:w="20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13,529</w:t>
            </w:r>
          </w:p>
        </w:tc>
        <w:tc>
          <w:tcPr>
            <w:tcW w:w="20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11,408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gridSpan w:val="2"/>
            <w:shd w:val="clear" w:color="auto" w:fill="CCEEFF"/>
          </w:tcPr>
          <w:p>
            <w:pPr>
              <w:ind w:left="140"/>
              <w:spacing w:after="0" w:line="123" w:lineRule="exact"/>
              <w:rPr>
                <w:sz w:val="20"/>
                <w:szCs w:val="20"/>
                <w:color w:val="auto"/>
              </w:rPr>
            </w:pPr>
            <w:r>
              <w:rPr>
                <w:rFonts w:ascii="Arial" w:cs="Arial" w:eastAsia="Arial" w:hAnsi="Arial"/>
                <w:sz w:val="11"/>
                <w:szCs w:val="11"/>
                <w:color w:val="auto"/>
              </w:rPr>
              <w:t>Banco Compartir S.A.</w:t>
            </w: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51</w:t>
            </w: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12</w:t>
            </w: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35</w:t>
            </w:r>
          </w:p>
        </w:tc>
        <w:tc>
          <w:tcPr>
            <w:tcW w:w="2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6</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4"/>
            <w:shd w:val="clear" w:color="auto" w:fill="CCEEFF"/>
          </w:tcPr>
          <w:p>
            <w:pPr>
              <w:jc w:val="right"/>
              <w:ind w:right="14"/>
              <w:spacing w:after="0" w:line="123" w:lineRule="exact"/>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0"/>
                <w:szCs w:val="10"/>
                <w:color w:val="auto"/>
              </w:rPr>
            </w:pPr>
          </w:p>
        </w:tc>
        <w:tc>
          <w:tcPr>
            <w:tcW w:w="940" w:type="dxa"/>
            <w:vAlign w:val="bottom"/>
            <w:gridSpan w:val="4"/>
            <w:shd w:val="clear" w:color="auto" w:fill="CCEEFF"/>
          </w:tcPr>
          <w:p>
            <w:pPr>
              <w:jc w:val="right"/>
              <w:ind w:right="174"/>
              <w:spacing w:after="0" w:line="123" w:lineRule="exact"/>
              <w:rPr>
                <w:sz w:val="20"/>
                <w:szCs w:val="20"/>
                <w:color w:val="auto"/>
              </w:rPr>
            </w:pPr>
            <w:r>
              <w:rPr>
                <w:rFonts w:ascii="Arial" w:cs="Arial" w:eastAsia="Arial" w:hAnsi="Arial"/>
                <w:sz w:val="11"/>
                <w:szCs w:val="11"/>
                <w:color w:val="auto"/>
              </w:rPr>
              <w:t>(3)</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(4)</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836</w:t>
            </w: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708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gridSpan w:val="2"/>
          </w:tcPr>
          <w:p>
            <w:pPr>
              <w:ind w:left="140"/>
              <w:spacing w:after="0" w:line="123" w:lineRule="exact"/>
              <w:rPr>
                <w:sz w:val="20"/>
                <w:szCs w:val="20"/>
                <w:color w:val="auto"/>
              </w:rPr>
            </w:pPr>
            <w:r>
              <w:rPr>
                <w:rFonts w:ascii="Arial" w:cs="Arial" w:eastAsia="Arial" w:hAnsi="Arial"/>
                <w:sz w:val="11"/>
                <w:szCs w:val="11"/>
                <w:color w:val="auto"/>
              </w:rPr>
              <w:t>Edyficar S.A.S.</w:t>
            </w: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12</w:t>
            </w:r>
          </w:p>
        </w:tc>
        <w:tc>
          <w:tcPr>
            <w:tcW w:w="22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11</w:t>
            </w:r>
          </w:p>
        </w:tc>
        <w:tc>
          <w:tcPr>
            <w:tcW w:w="200" w:type="dxa"/>
            <w:vAlign w:val="bottom"/>
          </w:tcPr>
          <w:p>
            <w:pPr>
              <w:spacing w:after="0"/>
              <w:rPr>
                <w:sz w:val="10"/>
                <w:szCs w:val="10"/>
                <w:color w:val="auto"/>
              </w:rPr>
            </w:pPr>
          </w:p>
        </w:tc>
        <w:tc>
          <w:tcPr>
            <w:tcW w:w="640" w:type="dxa"/>
            <w:vAlign w:val="bottom"/>
            <w:gridSpan w:val="3"/>
          </w:tcPr>
          <w:p>
            <w:pPr>
              <w:jc w:val="right"/>
              <w:spacing w:after="0" w:line="123" w:lineRule="exact"/>
              <w:rPr>
                <w:sz w:val="20"/>
                <w:szCs w:val="20"/>
                <w:color w:val="auto"/>
              </w:rPr>
            </w:pPr>
            <w:r>
              <w:rPr>
                <w:rFonts w:ascii="Arial" w:cs="Arial" w:eastAsia="Arial" w:hAnsi="Arial"/>
                <w:sz w:val="11"/>
                <w:szCs w:val="11"/>
                <w:color w:val="auto"/>
              </w:rPr>
              <w:t>(104)</w:t>
            </w:r>
          </w:p>
        </w:tc>
        <w:tc>
          <w:tcPr>
            <w:tcW w:w="100" w:type="dxa"/>
            <w:vAlign w:val="bottom"/>
          </w:tcPr>
          <w:p>
            <w:pPr>
              <w:spacing w:after="0"/>
              <w:rPr>
                <w:sz w:val="10"/>
                <w:szCs w:val="10"/>
                <w:color w:val="auto"/>
              </w:rPr>
            </w:pPr>
          </w:p>
        </w:tc>
        <w:tc>
          <w:tcPr>
            <w:tcW w:w="740" w:type="dxa"/>
            <w:vAlign w:val="bottom"/>
            <w:gridSpan w:val="4"/>
          </w:tcPr>
          <w:p>
            <w:pPr>
              <w:jc w:val="right"/>
              <w:ind w:right="14"/>
              <w:spacing w:after="0" w:line="123" w:lineRule="exact"/>
              <w:rPr>
                <w:sz w:val="20"/>
                <w:szCs w:val="20"/>
                <w:color w:val="auto"/>
              </w:rPr>
            </w:pPr>
            <w:r>
              <w:rPr>
                <w:rFonts w:ascii="Arial" w:cs="Arial" w:eastAsia="Arial" w:hAnsi="Arial"/>
                <w:sz w:val="11"/>
                <w:szCs w:val="11"/>
                <w:color w:val="auto"/>
              </w:rPr>
              <w:t>(1)</w:t>
            </w:r>
          </w:p>
        </w:tc>
        <w:tc>
          <w:tcPr>
            <w:tcW w:w="80" w:type="dxa"/>
            <w:vAlign w:val="bottom"/>
          </w:tcPr>
          <w:p>
            <w:pPr>
              <w:spacing w:after="0"/>
              <w:rPr>
                <w:sz w:val="10"/>
                <w:szCs w:val="10"/>
                <w:color w:val="auto"/>
              </w:rPr>
            </w:pPr>
          </w:p>
        </w:tc>
        <w:tc>
          <w:tcPr>
            <w:tcW w:w="740" w:type="dxa"/>
            <w:vAlign w:val="bottom"/>
            <w:gridSpan w:val="3"/>
          </w:tcPr>
          <w:p>
            <w:pPr>
              <w:jc w:val="right"/>
              <w:spacing w:after="0" w:line="123"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80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(1)</w:t>
            </w: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1</w:t>
            </w:r>
          </w:p>
        </w:tc>
        <w:tc>
          <w:tcPr>
            <w:tcW w:w="20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116</w:t>
            </w:r>
          </w:p>
        </w:tc>
        <w:tc>
          <w:tcPr>
            <w:tcW w:w="20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64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2220" w:type="dxa"/>
            <w:vAlign w:val="bottom"/>
            <w:gridSpan w:val="2"/>
            <w:shd w:val="clear" w:color="auto" w:fill="CCEEFF"/>
          </w:tcPr>
          <w:p>
            <w:pPr>
              <w:spacing w:after="0"/>
              <w:rPr>
                <w:sz w:val="20"/>
                <w:szCs w:val="20"/>
                <w:color w:val="auto"/>
              </w:rPr>
            </w:pPr>
            <w:r>
              <w:rPr>
                <w:rFonts w:ascii="Arial" w:cs="Arial" w:eastAsia="Arial" w:hAnsi="Arial"/>
                <w:sz w:val="11"/>
                <w:szCs w:val="11"/>
                <w:color w:val="auto"/>
                <w:w w:val="98"/>
              </w:rPr>
              <w:t>Investment Banking and Wealth Management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2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146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34"/>
              <w:spacing w:after="0"/>
              <w:rPr>
                <w:sz w:val="20"/>
                <w:szCs w:val="20"/>
                <w:color w:val="auto"/>
              </w:rPr>
            </w:pPr>
            <w:r>
              <w:rPr>
                <w:rFonts w:ascii="Arial" w:cs="Arial" w:eastAsia="Arial" w:hAnsi="Arial"/>
                <w:sz w:val="16"/>
                <w:szCs w:val="16"/>
                <w:color w:val="auto"/>
              </w:rPr>
              <w:t>–</w:t>
            </w:r>
          </w:p>
        </w:tc>
        <w:tc>
          <w:tcPr>
            <w:tcW w:w="940" w:type="dxa"/>
            <w:vAlign w:val="bottom"/>
            <w:gridSpan w:val="4"/>
            <w:shd w:val="clear" w:color="auto" w:fill="CCEEFF"/>
          </w:tcPr>
          <w:p>
            <w:pPr>
              <w:jc w:val="right"/>
              <w:ind w:right="174"/>
              <w:spacing w:after="0"/>
              <w:rPr>
                <w:sz w:val="20"/>
                <w:szCs w:val="20"/>
                <w:color w:val="auto"/>
              </w:rPr>
            </w:pPr>
            <w:r>
              <w:rPr>
                <w:rFonts w:ascii="Arial" w:cs="Arial" w:eastAsia="Arial" w:hAnsi="Arial"/>
                <w:sz w:val="11"/>
                <w:szCs w:val="11"/>
                <w:color w:val="auto"/>
              </w:rPr>
              <w:t>(5)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10,715</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20" w:type="dxa"/>
            <w:vAlign w:val="bottom"/>
            <w:gridSpan w:val="2"/>
          </w:tcPr>
          <w:p>
            <w:pPr>
              <w:spacing w:after="0"/>
              <w:rPr>
                <w:sz w:val="20"/>
                <w:szCs w:val="20"/>
                <w:color w:val="auto"/>
              </w:rPr>
            </w:pPr>
            <w:r>
              <w:rPr>
                <w:rFonts w:ascii="Arial" w:cs="Arial" w:eastAsia="Arial" w:hAnsi="Arial"/>
                <w:sz w:val="11"/>
                <w:szCs w:val="11"/>
                <w:color w:val="auto"/>
              </w:rPr>
              <w:t>Other segments</w:t>
            </w:r>
          </w:p>
        </w:tc>
        <w:tc>
          <w:tcPr>
            <w:tcW w:w="640" w:type="dxa"/>
            <w:vAlign w:val="bottom"/>
          </w:tcPr>
          <w:p>
            <w:pPr>
              <w:jc w:val="right"/>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(2)</w:t>
            </w:r>
          </w:p>
        </w:tc>
        <w:tc>
          <w:tcPr>
            <w:tcW w:w="640" w:type="dxa"/>
            <w:vAlign w:val="bottom"/>
          </w:tcPr>
          <w:p>
            <w:pPr>
              <w:jc w:val="right"/>
              <w:spacing w:after="0"/>
              <w:rPr>
                <w:sz w:val="20"/>
                <w:szCs w:val="20"/>
                <w:color w:val="auto"/>
              </w:rPr>
            </w:pPr>
            <w:r>
              <w:rPr>
                <w:rFonts w:ascii="Arial" w:cs="Arial" w:eastAsia="Arial" w:hAnsi="Arial"/>
                <w:sz w:val="11"/>
                <w:szCs w:val="11"/>
                <w:color w:val="auto"/>
              </w:rPr>
              <w:t>443</w:t>
            </w:r>
          </w:p>
        </w:tc>
        <w:tc>
          <w:tcPr>
            <w:tcW w:w="20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ind w:right="134"/>
              <w:spacing w:after="0"/>
              <w:rPr>
                <w:sz w:val="20"/>
                <w:szCs w:val="20"/>
                <w:color w:val="auto"/>
              </w:rPr>
            </w:pPr>
            <w:r>
              <w:rPr>
                <w:rFonts w:ascii="Arial" w:cs="Arial" w:eastAsia="Arial" w:hAnsi="Arial"/>
                <w:sz w:val="16"/>
                <w:szCs w:val="16"/>
                <w:color w:val="auto"/>
              </w:rPr>
              <w:t>–</w:t>
            </w:r>
          </w:p>
        </w:tc>
        <w:tc>
          <w:tcPr>
            <w:tcW w:w="940" w:type="dxa"/>
            <w:vAlign w:val="bottom"/>
            <w:gridSpan w:val="4"/>
          </w:tcPr>
          <w:p>
            <w:pPr>
              <w:jc w:val="right"/>
              <w:ind w:right="174"/>
              <w:spacing w:after="0"/>
              <w:rPr>
                <w:sz w:val="20"/>
                <w:szCs w:val="20"/>
                <w:color w:val="auto"/>
              </w:rPr>
            </w:pPr>
            <w:r>
              <w:rPr>
                <w:rFonts w:ascii="Arial" w:cs="Arial" w:eastAsia="Arial" w:hAnsi="Arial"/>
                <w:sz w:val="11"/>
                <w:szCs w:val="11"/>
                <w:color w:val="auto"/>
              </w:rPr>
              <w:t>(6)</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(33)</w:t>
            </w:r>
          </w:p>
        </w:tc>
        <w:tc>
          <w:tcPr>
            <w:tcW w:w="820" w:type="dxa"/>
            <w:vAlign w:val="bottom"/>
            <w:gridSpan w:val="2"/>
          </w:tcPr>
          <w:p>
            <w:pPr>
              <w:jc w:val="right"/>
              <w:ind w:right="180"/>
              <w:spacing w:after="0"/>
              <w:rPr>
                <w:sz w:val="20"/>
                <w:szCs w:val="20"/>
                <w:color w:val="auto"/>
              </w:rPr>
            </w:pPr>
            <w:r>
              <w:rPr>
                <w:rFonts w:ascii="Arial" w:cs="Arial" w:eastAsia="Arial" w:hAnsi="Arial"/>
                <w:sz w:val="11"/>
                <w:szCs w:val="11"/>
                <w:color w:val="auto"/>
              </w:rPr>
              <w:t>(63)</w:t>
            </w:r>
          </w:p>
        </w:tc>
        <w:tc>
          <w:tcPr>
            <w:tcW w:w="600" w:type="dxa"/>
            <w:vAlign w:val="bottom"/>
          </w:tcPr>
          <w:p>
            <w:pPr>
              <w:jc w:val="right"/>
              <w:spacing w:after="0"/>
              <w:rPr>
                <w:sz w:val="20"/>
                <w:szCs w:val="20"/>
                <w:color w:val="auto"/>
              </w:rPr>
            </w:pPr>
            <w:r>
              <w:rPr>
                <w:rFonts w:ascii="Arial" w:cs="Arial" w:eastAsia="Arial" w:hAnsi="Arial"/>
                <w:sz w:val="11"/>
                <w:szCs w:val="11"/>
                <w:color w:val="auto"/>
              </w:rPr>
              <w:t>3,878</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4,223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Eliminations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(440)</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(492)</w:t>
            </w:r>
          </w:p>
        </w:tc>
        <w:tc>
          <w:tcPr>
            <w:tcW w:w="1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14"/>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(6,022)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(5,883)</w:t>
            </w:r>
          </w:p>
        </w:tc>
        <w:tc>
          <w:tcPr>
            <w:tcW w:w="0" w:type="dxa"/>
            <w:vAlign w:val="bottom"/>
          </w:tcPr>
          <w:p>
            <w:pPr>
              <w:spacing w:after="0"/>
              <w:rPr>
                <w:sz w:val="1"/>
                <w:szCs w:val="1"/>
                <w:color w:val="auto"/>
              </w:rPr>
            </w:pPr>
          </w:p>
        </w:tc>
      </w:tr>
      <w:tr>
        <w:trPr>
          <w:trHeight w:val="127"/>
        </w:trPr>
        <w:tc>
          <w:tcPr>
            <w:tcW w:w="2220" w:type="dxa"/>
            <w:vAlign w:val="bottom"/>
            <w:gridSpan w:val="2"/>
          </w:tcPr>
          <w:p>
            <w:pPr>
              <w:spacing w:after="0"/>
              <w:rPr>
                <w:sz w:val="20"/>
                <w:szCs w:val="20"/>
                <w:color w:val="auto"/>
              </w:rPr>
            </w:pPr>
            <w:r>
              <w:rPr>
                <w:rFonts w:ascii="Arial" w:cs="Arial" w:eastAsia="Arial" w:hAnsi="Arial"/>
                <w:sz w:val="11"/>
                <w:szCs w:val="11"/>
                <w:b w:val="1"/>
                <w:bCs w:val="1"/>
                <w:color w:val="auto"/>
              </w:rPr>
              <w:t>Total consolidated</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4,749</w:t>
            </w:r>
          </w:p>
        </w:tc>
        <w:tc>
          <w:tcPr>
            <w:tcW w:w="2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162</w:t>
            </w:r>
          </w:p>
        </w:tc>
        <w:tc>
          <w:tcPr>
            <w:tcW w:w="2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2,379</w:t>
            </w:r>
          </w:p>
        </w:tc>
        <w:tc>
          <w:tcPr>
            <w:tcW w:w="200" w:type="dxa"/>
            <w:vAlign w:val="bottom"/>
          </w:tcPr>
          <w:p>
            <w:pPr>
              <w:spacing w:after="0"/>
              <w:rPr>
                <w:sz w:val="11"/>
                <w:szCs w:val="11"/>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color w:val="auto"/>
              </w:rPr>
              <w:t>1,100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color w:val="auto"/>
              </w:rPr>
              <w:t>(1,389</w:t>
            </w:r>
          </w:p>
        </w:tc>
        <w:tc>
          <w:tcPr>
            <w:tcW w:w="40" w:type="dxa"/>
            <w:vAlign w:val="bottom"/>
          </w:tcPr>
          <w:p>
            <w:pPr>
              <w:jc w:val="right"/>
              <w:ind w:right="14"/>
              <w:spacing w:after="0"/>
              <w:rPr>
                <w:sz w:val="20"/>
                <w:szCs w:val="20"/>
                <w:color w:val="auto"/>
              </w:rPr>
            </w:pPr>
            <w:r>
              <w:rPr>
                <w:rFonts w:ascii="Arial" w:cs="Arial" w:eastAsia="Arial" w:hAnsi="Arial"/>
                <w:sz w:val="1"/>
                <w:szCs w:val="1"/>
                <w:color w:val="auto"/>
                <w:w w:val="4294967281"/>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color w:val="auto"/>
              </w:rPr>
              <w:t>(172</w:t>
            </w:r>
          </w:p>
        </w:tc>
        <w:tc>
          <w:tcPr>
            <w:tcW w:w="200" w:type="dxa"/>
            <w:vAlign w:val="bottom"/>
          </w:tcPr>
          <w:p>
            <w:pPr>
              <w:jc w:val="right"/>
              <w:ind w:right="174"/>
              <w:spacing w:after="0"/>
              <w:rPr>
                <w:sz w:val="20"/>
                <w:szCs w:val="20"/>
                <w:color w:val="auto"/>
              </w:rPr>
            </w:pPr>
            <w:r>
              <w:rPr>
                <w:rFonts w:ascii="Arial" w:cs="Arial" w:eastAsia="Arial" w:hAnsi="Arial"/>
                <w:sz w:val="1"/>
                <w:szCs w:val="1"/>
                <w:color w:val="auto"/>
                <w:w w:val="429496728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(146</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213</w:t>
            </w:r>
          </w:p>
        </w:tc>
        <w:tc>
          <w:tcPr>
            <w:tcW w:w="20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197,822</w:t>
            </w:r>
          </w:p>
        </w:tc>
        <w:tc>
          <w:tcPr>
            <w:tcW w:w="20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174,099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40" w:type="dxa"/>
            <w:vAlign w:val="bottom"/>
            <w:gridSpan w:val="15"/>
          </w:tcPr>
          <w:p>
            <w:pPr>
              <w:jc w:val="right"/>
              <w:ind w:right="614"/>
              <w:spacing w:after="0"/>
              <w:rPr>
                <w:sz w:val="20"/>
                <w:szCs w:val="20"/>
                <w:color w:val="auto"/>
              </w:rPr>
            </w:pPr>
            <w:r>
              <w:rPr>
                <w:rFonts w:ascii="Arial" w:cs="Arial" w:eastAsia="Arial" w:hAnsi="Arial"/>
                <w:sz w:val="11"/>
                <w:szCs w:val="11"/>
                <w:b w:val="1"/>
                <w:bCs w:val="1"/>
                <w:color w:val="auto"/>
              </w:rPr>
              <w:t>For the three-month period ended March 31, 2019</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4"/>
          </w:tcPr>
          <w:p>
            <w:pPr>
              <w:jc w:val="right"/>
              <w:ind w:right="220"/>
              <w:spacing w:after="0"/>
              <w:rPr>
                <w:sz w:val="20"/>
                <w:szCs w:val="20"/>
                <w:color w:val="auto"/>
              </w:rPr>
            </w:pPr>
            <w:r>
              <w:rPr>
                <w:rFonts w:ascii="Arial" w:cs="Arial" w:eastAsia="Arial" w:hAnsi="Arial"/>
                <w:sz w:val="11"/>
                <w:szCs w:val="11"/>
                <w:b w:val="1"/>
                <w:bCs w:val="1"/>
                <w:color w:val="auto"/>
                <w:w w:val="98"/>
              </w:rPr>
              <w:t>As of December 31, 2019</w:t>
            </w:r>
          </w:p>
        </w:tc>
        <w:tc>
          <w:tcPr>
            <w:tcW w:w="0" w:type="dxa"/>
            <w:vAlign w:val="bottom"/>
          </w:tcPr>
          <w:p>
            <w:pPr>
              <w:spacing w:after="0"/>
              <w:rPr>
                <w:sz w:val="1"/>
                <w:szCs w:val="1"/>
                <w:color w:val="auto"/>
              </w:rPr>
            </w:pPr>
          </w:p>
        </w:tc>
      </w:tr>
      <w:tr>
        <w:trPr>
          <w:trHeight w:val="127"/>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Borders>
              <w:top w:val="single" w:sz="8" w:color="auto"/>
            </w:tcBorders>
            <w:gridSpan w:val="4"/>
          </w:tcPr>
          <w:p>
            <w:pPr>
              <w:jc w:val="right"/>
              <w:ind w:right="740"/>
              <w:spacing w:after="0"/>
              <w:rPr>
                <w:sz w:val="20"/>
                <w:szCs w:val="20"/>
                <w:color w:val="auto"/>
              </w:rPr>
            </w:pPr>
            <w:r>
              <w:rPr>
                <w:rFonts w:ascii="Arial" w:cs="Arial" w:eastAsia="Arial" w:hAnsi="Arial"/>
                <w:sz w:val="11"/>
                <w:szCs w:val="11"/>
                <w:b w:val="1"/>
                <w:bCs w:val="1"/>
                <w:color w:val="auto"/>
              </w:rPr>
              <w:t>Income (*)</w:t>
            </w:r>
          </w:p>
        </w:tc>
        <w:tc>
          <w:tcPr>
            <w:tcW w:w="84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4"/>
              </w:rPr>
              <w:t>Net interest,</w:t>
            </w: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4"/>
            <w:vMerge w:val="restart"/>
          </w:tcPr>
          <w:p>
            <w:pPr>
              <w:jc w:val="center"/>
              <w:ind w:right="34"/>
              <w:spacing w:after="0"/>
              <w:rPr>
                <w:sz w:val="20"/>
                <w:szCs w:val="20"/>
                <w:color w:val="auto"/>
              </w:rPr>
            </w:pPr>
            <w:r>
              <w:rPr>
                <w:rFonts w:ascii="Arial" w:cs="Arial" w:eastAsia="Arial" w:hAnsi="Arial"/>
                <w:sz w:val="11"/>
                <w:szCs w:val="11"/>
                <w:b w:val="1"/>
                <w:bCs w:val="1"/>
                <w:color w:val="auto"/>
                <w:w w:val="94"/>
              </w:rPr>
              <w:t>Provision for</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Borders>
              <w:top w:val="single" w:sz="8" w:color="auto"/>
            </w:tcBorders>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Borders>
              <w:top w:val="single" w:sz="8" w:color="auto"/>
            </w:tcBorders>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tcPr>
          <w:p>
            <w:pPr>
              <w:jc w:val="center"/>
              <w:ind w:right="220"/>
              <w:spacing w:after="0" w:line="123" w:lineRule="exact"/>
              <w:rPr>
                <w:sz w:val="20"/>
                <w:szCs w:val="20"/>
                <w:color w:val="auto"/>
              </w:rPr>
            </w:pPr>
            <w:r>
              <w:rPr>
                <w:rFonts w:ascii="Arial" w:cs="Arial" w:eastAsia="Arial" w:hAnsi="Arial"/>
                <w:sz w:val="11"/>
                <w:szCs w:val="11"/>
                <w:b w:val="1"/>
                <w:bCs w:val="1"/>
                <w:color w:val="auto"/>
                <w:w w:val="95"/>
              </w:rPr>
              <w:t>similar</w:t>
            </w:r>
          </w:p>
        </w:tc>
        <w:tc>
          <w:tcPr>
            <w:tcW w:w="20" w:type="dxa"/>
            <w:vAlign w:val="bottom"/>
          </w:tcPr>
          <w:p>
            <w:pPr>
              <w:spacing w:after="0"/>
              <w:rPr>
                <w:sz w:val="10"/>
                <w:szCs w:val="10"/>
                <w:color w:val="auto"/>
              </w:rPr>
            </w:pPr>
          </w:p>
        </w:tc>
        <w:tc>
          <w:tcPr>
            <w:tcW w:w="720" w:type="dxa"/>
            <w:vAlign w:val="bottom"/>
            <w:gridSpan w:val="3"/>
          </w:tcPr>
          <w:p>
            <w:pPr>
              <w:jc w:val="center"/>
              <w:ind w:right="100"/>
              <w:spacing w:after="0" w:line="123" w:lineRule="exact"/>
              <w:rPr>
                <w:sz w:val="20"/>
                <w:szCs w:val="20"/>
                <w:color w:val="auto"/>
              </w:rPr>
            </w:pPr>
            <w:r>
              <w:rPr>
                <w:rFonts w:ascii="Arial" w:cs="Arial" w:eastAsia="Arial" w:hAnsi="Arial"/>
                <w:sz w:val="11"/>
                <w:szCs w:val="11"/>
                <w:b w:val="1"/>
                <w:bCs w:val="1"/>
                <w:color w:val="auto"/>
              </w:rPr>
              <w:t>Other</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tcPr>
          <w:p>
            <w:pPr>
              <w:jc w:val="center"/>
              <w:ind w:right="94"/>
              <w:spacing w:after="0" w:line="123" w:lineRule="exact"/>
              <w:rPr>
                <w:sz w:val="20"/>
                <w:szCs w:val="20"/>
                <w:color w:val="auto"/>
              </w:rPr>
            </w:pPr>
            <w:r>
              <w:rPr>
                <w:rFonts w:ascii="Arial" w:cs="Arial" w:eastAsia="Arial" w:hAnsi="Arial"/>
                <w:sz w:val="11"/>
                <w:szCs w:val="11"/>
                <w:b w:val="1"/>
                <w:bCs w:val="1"/>
                <w:color w:val="auto"/>
                <w:w w:val="86"/>
              </w:rPr>
              <w:t>credit losses</w:t>
            </w:r>
          </w:p>
        </w:tc>
        <w:tc>
          <w:tcPr>
            <w:tcW w:w="80" w:type="dxa"/>
            <w:vAlign w:val="bottom"/>
          </w:tcPr>
          <w:p>
            <w:pPr>
              <w:spacing w:after="0"/>
              <w:rPr>
                <w:sz w:val="10"/>
                <w:szCs w:val="10"/>
                <w:color w:val="auto"/>
              </w:rPr>
            </w:pPr>
          </w:p>
        </w:tc>
        <w:tc>
          <w:tcPr>
            <w:tcW w:w="860" w:type="dxa"/>
            <w:vAlign w:val="bottom"/>
            <w:gridSpan w:val="3"/>
          </w:tcPr>
          <w:p>
            <w:pPr>
              <w:jc w:val="center"/>
              <w:ind w:right="174"/>
              <w:spacing w:after="0" w:line="123" w:lineRule="exact"/>
              <w:rPr>
                <w:sz w:val="20"/>
                <w:szCs w:val="20"/>
                <w:color w:val="auto"/>
              </w:rPr>
            </w:pPr>
            <w:r>
              <w:rPr>
                <w:rFonts w:ascii="Arial" w:cs="Arial" w:eastAsia="Arial" w:hAnsi="Arial"/>
                <w:sz w:val="11"/>
                <w:szCs w:val="11"/>
                <w:b w:val="1"/>
                <w:bCs w:val="1"/>
                <w:color w:val="auto"/>
                <w:w w:val="95"/>
              </w:rPr>
              <w:t>Depreciation</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220"/>
              <w:spacing w:after="0" w:line="123" w:lineRule="exact"/>
              <w:rPr>
                <w:sz w:val="20"/>
                <w:szCs w:val="20"/>
                <w:color w:val="auto"/>
              </w:rPr>
            </w:pPr>
            <w:r>
              <w:rPr>
                <w:rFonts w:ascii="Arial" w:cs="Arial" w:eastAsia="Arial" w:hAnsi="Arial"/>
                <w:sz w:val="11"/>
                <w:szCs w:val="11"/>
                <w:b w:val="1"/>
                <w:bCs w:val="1"/>
                <w:color w:val="auto"/>
                <w:w w:val="96"/>
              </w:rPr>
              <w:t>From other</w:t>
            </w: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1"/>
                <w:szCs w:val="11"/>
                <w:b w:val="1"/>
                <w:bCs w:val="1"/>
                <w:color w:val="auto"/>
                <w:w w:val="91"/>
              </w:rPr>
              <w:t>income and</w:t>
            </w:r>
          </w:p>
        </w:tc>
        <w:tc>
          <w:tcPr>
            <w:tcW w:w="20" w:type="dxa"/>
            <w:vAlign w:val="bottom"/>
          </w:tcPr>
          <w:p>
            <w:pPr>
              <w:spacing w:after="0"/>
              <w:rPr>
                <w:sz w:val="10"/>
                <w:szCs w:val="10"/>
                <w:color w:val="auto"/>
              </w:rPr>
            </w:pPr>
          </w:p>
        </w:tc>
        <w:tc>
          <w:tcPr>
            <w:tcW w:w="720" w:type="dxa"/>
            <w:vAlign w:val="bottom"/>
            <w:gridSpan w:val="3"/>
          </w:tcPr>
          <w:p>
            <w:pPr>
              <w:jc w:val="center"/>
              <w:ind w:right="100"/>
              <w:spacing w:after="0" w:line="123" w:lineRule="exact"/>
              <w:rPr>
                <w:sz w:val="20"/>
                <w:szCs w:val="20"/>
                <w:color w:val="auto"/>
              </w:rPr>
            </w:pPr>
            <w:r>
              <w:rPr>
                <w:rFonts w:ascii="Arial" w:cs="Arial" w:eastAsia="Arial" w:hAnsi="Arial"/>
                <w:sz w:val="11"/>
                <w:szCs w:val="11"/>
                <w:b w:val="1"/>
                <w:bCs w:val="1"/>
                <w:color w:val="auto"/>
                <w:w w:val="91"/>
              </w:rPr>
              <w:t>income,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tcPr>
          <w:p>
            <w:pPr>
              <w:jc w:val="center"/>
              <w:ind w:right="74"/>
              <w:spacing w:after="0" w:line="123" w:lineRule="exact"/>
              <w:rPr>
                <w:sz w:val="20"/>
                <w:szCs w:val="20"/>
                <w:color w:val="auto"/>
              </w:rPr>
            </w:pPr>
            <w:r>
              <w:rPr>
                <w:rFonts w:ascii="Arial" w:cs="Arial" w:eastAsia="Arial" w:hAnsi="Arial"/>
                <w:sz w:val="11"/>
                <w:szCs w:val="11"/>
                <w:b w:val="1"/>
                <w:bCs w:val="1"/>
                <w:color w:val="auto"/>
                <w:w w:val="91"/>
              </w:rPr>
              <w:t>on loan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tcPr>
          <w:p>
            <w:pPr>
              <w:jc w:val="center"/>
              <w:ind w:right="214"/>
              <w:spacing w:after="0" w:line="123" w:lineRule="exact"/>
              <w:rPr>
                <w:sz w:val="20"/>
                <w:szCs w:val="20"/>
                <w:color w:val="auto"/>
              </w:rPr>
            </w:pPr>
            <w:r>
              <w:rPr>
                <w:rFonts w:ascii="Arial" w:cs="Arial" w:eastAsia="Arial" w:hAnsi="Arial"/>
                <w:sz w:val="11"/>
                <w:szCs w:val="11"/>
                <w:b w:val="1"/>
                <w:bCs w:val="1"/>
                <w:color w:val="auto"/>
                <w:w w:val="91"/>
              </w:rPr>
              <w:t>and</w:t>
            </w:r>
          </w:p>
        </w:tc>
        <w:tc>
          <w:tcPr>
            <w:tcW w:w="800" w:type="dxa"/>
            <w:vAlign w:val="bottom"/>
            <w:gridSpan w:val="2"/>
          </w:tcPr>
          <w:p>
            <w:pPr>
              <w:jc w:val="center"/>
              <w:ind w:right="160"/>
              <w:spacing w:after="0" w:line="123" w:lineRule="exact"/>
              <w:rPr>
                <w:sz w:val="20"/>
                <w:szCs w:val="20"/>
                <w:color w:val="auto"/>
              </w:rPr>
            </w:pPr>
            <w:r>
              <w:rPr>
                <w:rFonts w:ascii="Arial" w:cs="Arial" w:eastAsia="Arial" w:hAnsi="Arial"/>
                <w:sz w:val="11"/>
                <w:szCs w:val="11"/>
                <w:b w:val="1"/>
                <w:bCs w:val="1"/>
                <w:color w:val="auto"/>
                <w:w w:val="93"/>
              </w:rPr>
              <w:t>Income</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39"/>
        </w:trPr>
        <w:tc>
          <w:tcPr>
            <w:tcW w:w="2220" w:type="dxa"/>
            <w:vAlign w:val="bottom"/>
            <w:gridSpan w:val="2"/>
          </w:tcPr>
          <w:p>
            <w:pPr>
              <w:ind w:left="560"/>
              <w:spacing w:after="0"/>
              <w:rPr>
                <w:sz w:val="20"/>
                <w:szCs w:val="20"/>
                <w:color w:val="auto"/>
              </w:rPr>
            </w:pPr>
            <w:r>
              <w:rPr>
                <w:rFonts w:ascii="Arial" w:cs="Arial" w:eastAsia="Arial" w:hAnsi="Arial"/>
                <w:sz w:val="11"/>
                <w:szCs w:val="11"/>
                <w:b w:val="1"/>
                <w:bCs w:val="1"/>
                <w:color w:val="auto"/>
              </w:rPr>
              <w:t>Operating segments</w:t>
            </w: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External</w:t>
            </w: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segments (**)</w:t>
            </w:r>
          </w:p>
        </w:tc>
        <w:tc>
          <w:tcPr>
            <w:tcW w:w="8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3"/>
              </w:rPr>
              <w:t>expenses</w:t>
            </w:r>
          </w:p>
        </w:tc>
        <w:tc>
          <w:tcPr>
            <w:tcW w:w="20" w:type="dxa"/>
            <w:vAlign w:val="bottom"/>
          </w:tcPr>
          <w:p>
            <w:pPr>
              <w:spacing w:after="0"/>
              <w:rPr>
                <w:sz w:val="12"/>
                <w:szCs w:val="12"/>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net (***)</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center"/>
              <w:ind w:right="94"/>
              <w:spacing w:after="0"/>
              <w:rPr>
                <w:sz w:val="20"/>
                <w:szCs w:val="20"/>
                <w:color w:val="auto"/>
              </w:rPr>
            </w:pPr>
            <w:r>
              <w:rPr>
                <w:rFonts w:ascii="Arial" w:cs="Arial" w:eastAsia="Arial" w:hAnsi="Arial"/>
                <w:sz w:val="11"/>
                <w:szCs w:val="11"/>
                <w:b w:val="1"/>
                <w:bCs w:val="1"/>
                <w:color w:val="auto"/>
                <w:w w:val="94"/>
              </w:rPr>
              <w:t>portfolio</w:t>
            </w:r>
          </w:p>
        </w:tc>
        <w:tc>
          <w:tcPr>
            <w:tcW w:w="80" w:type="dxa"/>
            <w:vAlign w:val="bottom"/>
          </w:tcPr>
          <w:p>
            <w:pPr>
              <w:spacing w:after="0"/>
              <w:rPr>
                <w:sz w:val="12"/>
                <w:szCs w:val="12"/>
                <w:color w:val="auto"/>
              </w:rPr>
            </w:pPr>
          </w:p>
        </w:tc>
        <w:tc>
          <w:tcPr>
            <w:tcW w:w="860" w:type="dxa"/>
            <w:vAlign w:val="bottom"/>
            <w:gridSpan w:val="3"/>
          </w:tcPr>
          <w:p>
            <w:pPr>
              <w:jc w:val="center"/>
              <w:ind w:right="174"/>
              <w:spacing w:after="0"/>
              <w:rPr>
                <w:sz w:val="20"/>
                <w:szCs w:val="20"/>
                <w:color w:val="auto"/>
              </w:rPr>
            </w:pPr>
            <w:r>
              <w:rPr>
                <w:rFonts w:ascii="Arial" w:cs="Arial" w:eastAsia="Arial" w:hAnsi="Arial"/>
                <w:sz w:val="11"/>
                <w:szCs w:val="11"/>
                <w:b w:val="1"/>
                <w:bCs w:val="1"/>
                <w:color w:val="auto"/>
                <w:w w:val="97"/>
              </w:rPr>
              <w:t>amortization</w:t>
            </w:r>
          </w:p>
        </w:tc>
        <w:tc>
          <w:tcPr>
            <w:tcW w:w="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tax</w:t>
            </w:r>
          </w:p>
        </w:tc>
        <w:tc>
          <w:tcPr>
            <w:tcW w:w="82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Net profit</w:t>
            </w:r>
          </w:p>
        </w:tc>
        <w:tc>
          <w:tcPr>
            <w:tcW w:w="8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7"/>
              </w:rPr>
              <w:t>Total assets</w:t>
            </w:r>
          </w:p>
        </w:tc>
        <w:tc>
          <w:tcPr>
            <w:tcW w:w="7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liabilities</w:t>
            </w:r>
          </w:p>
        </w:tc>
        <w:tc>
          <w:tcPr>
            <w:tcW w:w="0" w:type="dxa"/>
            <w:vAlign w:val="bottom"/>
          </w:tcPr>
          <w:p>
            <w:pPr>
              <w:spacing w:after="0"/>
              <w:rPr>
                <w:sz w:val="1"/>
                <w:szCs w:val="1"/>
                <w:color w:val="auto"/>
              </w:rPr>
            </w:pPr>
          </w:p>
        </w:tc>
      </w:tr>
      <w:tr>
        <w:trPr>
          <w:trHeight w:val="115"/>
        </w:trPr>
        <w:tc>
          <w:tcPr>
            <w:tcW w:w="21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Universal Banking</w:t>
            </w: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gridSpan w:val="2"/>
          </w:tcPr>
          <w:p>
            <w:pPr>
              <w:ind w:left="140"/>
              <w:spacing w:after="0" w:line="123" w:lineRule="exact"/>
              <w:rPr>
                <w:sz w:val="20"/>
                <w:szCs w:val="20"/>
                <w:color w:val="auto"/>
              </w:rPr>
            </w:pPr>
            <w:r>
              <w:rPr>
                <w:rFonts w:ascii="Arial" w:cs="Arial" w:eastAsia="Arial" w:hAnsi="Arial"/>
                <w:sz w:val="11"/>
                <w:szCs w:val="11"/>
                <w:color w:val="auto"/>
              </w:rPr>
              <w:t>Banco de Crédito del Perú</w:t>
            </w: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2,821</w:t>
            </w:r>
          </w:p>
        </w:tc>
        <w:tc>
          <w:tcPr>
            <w:tcW w:w="22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95</w:t>
            </w:r>
          </w:p>
        </w:tc>
        <w:tc>
          <w:tcPr>
            <w:tcW w:w="22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1,489</w:t>
            </w:r>
          </w:p>
        </w:tc>
        <w:tc>
          <w:tcPr>
            <w:tcW w:w="200" w:type="dxa"/>
            <w:vAlign w:val="bottom"/>
          </w:tcPr>
          <w:p>
            <w:pPr>
              <w:spacing w:after="0"/>
              <w:rPr>
                <w:sz w:val="10"/>
                <w:szCs w:val="10"/>
                <w:color w:val="auto"/>
              </w:rPr>
            </w:pPr>
          </w:p>
        </w:tc>
        <w:tc>
          <w:tcPr>
            <w:tcW w:w="640" w:type="dxa"/>
            <w:vAlign w:val="bottom"/>
            <w:gridSpan w:val="3"/>
          </w:tcPr>
          <w:p>
            <w:pPr>
              <w:jc w:val="right"/>
              <w:spacing w:after="0" w:line="123" w:lineRule="exact"/>
              <w:rPr>
                <w:sz w:val="20"/>
                <w:szCs w:val="20"/>
                <w:color w:val="auto"/>
              </w:rPr>
            </w:pPr>
            <w:r>
              <w:rPr>
                <w:rFonts w:ascii="Arial" w:cs="Arial" w:eastAsia="Arial" w:hAnsi="Arial"/>
                <w:sz w:val="11"/>
                <w:szCs w:val="11"/>
                <w:color w:val="auto"/>
              </w:rPr>
              <w:t>831</w:t>
            </w:r>
          </w:p>
        </w:tc>
        <w:tc>
          <w:tcPr>
            <w:tcW w:w="100" w:type="dxa"/>
            <w:vAlign w:val="bottom"/>
          </w:tcPr>
          <w:p>
            <w:pPr>
              <w:spacing w:after="0"/>
              <w:rPr>
                <w:sz w:val="10"/>
                <w:szCs w:val="10"/>
                <w:color w:val="auto"/>
              </w:rPr>
            </w:pPr>
          </w:p>
        </w:tc>
        <w:tc>
          <w:tcPr>
            <w:tcW w:w="820" w:type="dxa"/>
            <w:vAlign w:val="bottom"/>
            <w:gridSpan w:val="5"/>
          </w:tcPr>
          <w:p>
            <w:pPr>
              <w:jc w:val="right"/>
              <w:ind w:right="54"/>
              <w:spacing w:after="0" w:line="123" w:lineRule="exact"/>
              <w:rPr>
                <w:sz w:val="20"/>
                <w:szCs w:val="20"/>
                <w:color w:val="auto"/>
              </w:rPr>
            </w:pPr>
            <w:r>
              <w:rPr>
                <w:rFonts w:ascii="Arial" w:cs="Arial" w:eastAsia="Arial" w:hAnsi="Arial"/>
                <w:sz w:val="11"/>
                <w:szCs w:val="11"/>
                <w:color w:val="auto"/>
              </w:rPr>
              <w:t>(331)</w:t>
            </w:r>
          </w:p>
        </w:tc>
        <w:tc>
          <w:tcPr>
            <w:tcW w:w="940" w:type="dxa"/>
            <w:vAlign w:val="bottom"/>
            <w:gridSpan w:val="4"/>
          </w:tcPr>
          <w:p>
            <w:pPr>
              <w:jc w:val="right"/>
              <w:ind w:right="174"/>
              <w:spacing w:after="0" w:line="123" w:lineRule="exact"/>
              <w:rPr>
                <w:sz w:val="20"/>
                <w:szCs w:val="20"/>
                <w:color w:val="auto"/>
              </w:rPr>
            </w:pPr>
            <w:r>
              <w:rPr>
                <w:rFonts w:ascii="Arial" w:cs="Arial" w:eastAsia="Arial" w:hAnsi="Arial"/>
                <w:sz w:val="11"/>
                <w:szCs w:val="11"/>
                <w:color w:val="auto"/>
              </w:rPr>
              <w:t>(86)</w:t>
            </w:r>
          </w:p>
        </w:tc>
        <w:tc>
          <w:tcPr>
            <w:tcW w:w="80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(314)</w:t>
            </w: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835</w:t>
            </w:r>
          </w:p>
        </w:tc>
        <w:tc>
          <w:tcPr>
            <w:tcW w:w="20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139,832</w:t>
            </w:r>
          </w:p>
        </w:tc>
        <w:tc>
          <w:tcPr>
            <w:tcW w:w="20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123,057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gridSpan w:val="2"/>
            <w:shd w:val="clear" w:color="auto" w:fill="CCEEFF"/>
          </w:tcPr>
          <w:p>
            <w:pPr>
              <w:ind w:left="140"/>
              <w:spacing w:after="0" w:line="123" w:lineRule="exact"/>
              <w:rPr>
                <w:sz w:val="20"/>
                <w:szCs w:val="20"/>
                <w:color w:val="auto"/>
              </w:rPr>
            </w:pPr>
            <w:r>
              <w:rPr>
                <w:rFonts w:ascii="Arial" w:cs="Arial" w:eastAsia="Arial" w:hAnsi="Arial"/>
                <w:sz w:val="11"/>
                <w:szCs w:val="11"/>
                <w:color w:val="auto"/>
              </w:rPr>
              <w:t>Banco de Crédito de Bolivia</w:t>
            </w: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175</w:t>
            </w: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w:t>
            </w: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78</w:t>
            </w:r>
          </w:p>
        </w:tc>
        <w:tc>
          <w:tcPr>
            <w:tcW w:w="200" w:type="dxa"/>
            <w:vAlign w:val="bottom"/>
            <w:shd w:val="clear" w:color="auto" w:fill="CCEEFF"/>
          </w:tcPr>
          <w:p>
            <w:pPr>
              <w:spacing w:after="0"/>
              <w:rPr>
                <w:sz w:val="10"/>
                <w:szCs w:val="10"/>
                <w:color w:val="auto"/>
              </w:rPr>
            </w:pPr>
          </w:p>
        </w:tc>
        <w:tc>
          <w:tcPr>
            <w:tcW w:w="640" w:type="dxa"/>
            <w:vAlign w:val="bottom"/>
            <w:gridSpan w:val="3"/>
            <w:shd w:val="clear" w:color="auto" w:fill="CCEEFF"/>
          </w:tcPr>
          <w:p>
            <w:pPr>
              <w:jc w:val="right"/>
              <w:spacing w:after="0" w:line="123" w:lineRule="exact"/>
              <w:rPr>
                <w:sz w:val="20"/>
                <w:szCs w:val="20"/>
                <w:color w:val="auto"/>
              </w:rPr>
            </w:pPr>
            <w:r>
              <w:rPr>
                <w:rFonts w:ascii="Arial" w:cs="Arial" w:eastAsia="Arial" w:hAnsi="Arial"/>
                <w:sz w:val="11"/>
                <w:szCs w:val="11"/>
                <w:color w:val="auto"/>
              </w:rPr>
              <w:t>29</w:t>
            </w:r>
          </w:p>
        </w:tc>
        <w:tc>
          <w:tcPr>
            <w:tcW w:w="100" w:type="dxa"/>
            <w:vAlign w:val="bottom"/>
            <w:shd w:val="clear" w:color="auto" w:fill="CCEEFF"/>
          </w:tcPr>
          <w:p>
            <w:pPr>
              <w:spacing w:after="0"/>
              <w:rPr>
                <w:sz w:val="10"/>
                <w:szCs w:val="10"/>
                <w:color w:val="auto"/>
              </w:rPr>
            </w:pPr>
          </w:p>
        </w:tc>
        <w:tc>
          <w:tcPr>
            <w:tcW w:w="820" w:type="dxa"/>
            <w:vAlign w:val="bottom"/>
            <w:gridSpan w:val="5"/>
            <w:shd w:val="clear" w:color="auto" w:fill="CCEEFF"/>
          </w:tcPr>
          <w:p>
            <w:pPr>
              <w:jc w:val="right"/>
              <w:ind w:right="54"/>
              <w:spacing w:after="0" w:line="123" w:lineRule="exact"/>
              <w:rPr>
                <w:sz w:val="20"/>
                <w:szCs w:val="20"/>
                <w:color w:val="auto"/>
              </w:rPr>
            </w:pPr>
            <w:r>
              <w:rPr>
                <w:rFonts w:ascii="Arial" w:cs="Arial" w:eastAsia="Arial" w:hAnsi="Arial"/>
                <w:sz w:val="11"/>
                <w:szCs w:val="11"/>
                <w:color w:val="auto"/>
              </w:rPr>
              <w:t>(15)</w:t>
            </w:r>
          </w:p>
        </w:tc>
        <w:tc>
          <w:tcPr>
            <w:tcW w:w="940" w:type="dxa"/>
            <w:vAlign w:val="bottom"/>
            <w:gridSpan w:val="4"/>
            <w:shd w:val="clear" w:color="auto" w:fill="CCEEFF"/>
          </w:tcPr>
          <w:p>
            <w:pPr>
              <w:jc w:val="right"/>
              <w:ind w:right="174"/>
              <w:spacing w:after="0" w:line="123" w:lineRule="exact"/>
              <w:rPr>
                <w:sz w:val="20"/>
                <w:szCs w:val="20"/>
                <w:color w:val="auto"/>
              </w:rPr>
            </w:pPr>
            <w:r>
              <w:rPr>
                <w:rFonts w:ascii="Arial" w:cs="Arial" w:eastAsia="Arial" w:hAnsi="Arial"/>
                <w:sz w:val="11"/>
                <w:szCs w:val="11"/>
                <w:color w:val="auto"/>
              </w:rPr>
              <w:t>(3)</w:t>
            </w:r>
          </w:p>
        </w:tc>
        <w:tc>
          <w:tcPr>
            <w:tcW w:w="80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(7)</w:t>
            </w: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13</w:t>
            </w: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10,481</w:t>
            </w: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9,744</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gridSpan w:val="2"/>
          </w:tcPr>
          <w:p>
            <w:pPr>
              <w:spacing w:after="0" w:line="123" w:lineRule="exact"/>
              <w:rPr>
                <w:sz w:val="20"/>
                <w:szCs w:val="20"/>
                <w:color w:val="auto"/>
              </w:rPr>
            </w:pPr>
            <w:r>
              <w:rPr>
                <w:rFonts w:ascii="Arial" w:cs="Arial" w:eastAsia="Arial" w:hAnsi="Arial"/>
                <w:sz w:val="11"/>
                <w:szCs w:val="11"/>
                <w:color w:val="auto"/>
              </w:rPr>
              <w:t>Insurance and Pension funds</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gridSpan w:val="2"/>
            <w:shd w:val="clear" w:color="auto" w:fill="CCEEFF"/>
          </w:tcPr>
          <w:p>
            <w:pPr>
              <w:ind w:left="140"/>
              <w:spacing w:after="0" w:line="123" w:lineRule="exact"/>
              <w:rPr>
                <w:sz w:val="20"/>
                <w:szCs w:val="20"/>
                <w:color w:val="auto"/>
              </w:rPr>
            </w:pPr>
            <w:r>
              <w:rPr>
                <w:rFonts w:ascii="Arial" w:cs="Arial" w:eastAsia="Arial" w:hAnsi="Arial"/>
                <w:sz w:val="11"/>
                <w:szCs w:val="11"/>
                <w:color w:val="auto"/>
              </w:rPr>
              <w:t>Pacífico Seguros and Subsidiaries</w:t>
            </w: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766</w:t>
            </w:r>
          </w:p>
        </w:tc>
        <w:tc>
          <w:tcPr>
            <w:tcW w:w="2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(4)</w:t>
            </w: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121</w:t>
            </w:r>
          </w:p>
        </w:tc>
        <w:tc>
          <w:tcPr>
            <w:tcW w:w="200" w:type="dxa"/>
            <w:vAlign w:val="bottom"/>
            <w:shd w:val="clear" w:color="auto" w:fill="CCEEFF"/>
          </w:tcPr>
          <w:p>
            <w:pPr>
              <w:spacing w:after="0"/>
              <w:rPr>
                <w:sz w:val="10"/>
                <w:szCs w:val="10"/>
                <w:color w:val="auto"/>
              </w:rPr>
            </w:pPr>
          </w:p>
        </w:tc>
        <w:tc>
          <w:tcPr>
            <w:tcW w:w="640" w:type="dxa"/>
            <w:vAlign w:val="bottom"/>
            <w:gridSpan w:val="3"/>
            <w:shd w:val="clear" w:color="auto" w:fill="CCEEFF"/>
          </w:tcPr>
          <w:p>
            <w:pPr>
              <w:jc w:val="right"/>
              <w:spacing w:after="0" w:line="123" w:lineRule="exact"/>
              <w:rPr>
                <w:sz w:val="20"/>
                <w:szCs w:val="20"/>
                <w:color w:val="auto"/>
              </w:rPr>
            </w:pPr>
            <w:r>
              <w:rPr>
                <w:rFonts w:ascii="Arial" w:cs="Arial" w:eastAsia="Arial" w:hAnsi="Arial"/>
                <w:sz w:val="11"/>
                <w:szCs w:val="11"/>
                <w:color w:val="auto"/>
              </w:rPr>
              <w:t>808</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gridSpan w:val="3"/>
            <w:shd w:val="clear" w:color="auto" w:fill="CCEEFF"/>
          </w:tcPr>
          <w:p>
            <w:pPr>
              <w:jc w:val="right"/>
              <w:ind w:right="94"/>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4"/>
            <w:shd w:val="clear" w:color="auto" w:fill="CCEEFF"/>
          </w:tcPr>
          <w:p>
            <w:pPr>
              <w:jc w:val="right"/>
              <w:ind w:right="174"/>
              <w:spacing w:after="0" w:line="123" w:lineRule="exact"/>
              <w:rPr>
                <w:sz w:val="20"/>
                <w:szCs w:val="20"/>
                <w:color w:val="auto"/>
              </w:rPr>
            </w:pPr>
            <w:r>
              <w:rPr>
                <w:rFonts w:ascii="Arial" w:cs="Arial" w:eastAsia="Arial" w:hAnsi="Arial"/>
                <w:sz w:val="11"/>
                <w:szCs w:val="11"/>
                <w:color w:val="auto"/>
              </w:rPr>
              <w:t>(14)</w:t>
            </w:r>
          </w:p>
        </w:tc>
        <w:tc>
          <w:tcPr>
            <w:tcW w:w="80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(2)</w:t>
            </w: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78</w:t>
            </w: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13,785</w:t>
            </w: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10,964</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gridSpan w:val="2"/>
          </w:tcPr>
          <w:p>
            <w:pPr>
              <w:ind w:left="140"/>
              <w:spacing w:after="0" w:line="123" w:lineRule="exact"/>
              <w:rPr>
                <w:sz w:val="20"/>
                <w:szCs w:val="20"/>
                <w:color w:val="auto"/>
              </w:rPr>
            </w:pPr>
            <w:r>
              <w:rPr>
                <w:rFonts w:ascii="Arial" w:cs="Arial" w:eastAsia="Arial" w:hAnsi="Arial"/>
                <w:sz w:val="11"/>
                <w:szCs w:val="11"/>
                <w:color w:val="auto"/>
              </w:rPr>
              <w:t>Prima AFP</w:t>
            </w: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123</w:t>
            </w:r>
          </w:p>
        </w:tc>
        <w:tc>
          <w:tcPr>
            <w:tcW w:w="22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1</w:t>
            </w:r>
          </w:p>
        </w:tc>
        <w:tc>
          <w:tcPr>
            <w:tcW w:w="22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1</w:t>
            </w:r>
          </w:p>
        </w:tc>
        <w:tc>
          <w:tcPr>
            <w:tcW w:w="200" w:type="dxa"/>
            <w:vAlign w:val="bottom"/>
          </w:tcPr>
          <w:p>
            <w:pPr>
              <w:spacing w:after="0"/>
              <w:rPr>
                <w:sz w:val="10"/>
                <w:szCs w:val="10"/>
                <w:color w:val="auto"/>
              </w:rPr>
            </w:pPr>
          </w:p>
        </w:tc>
        <w:tc>
          <w:tcPr>
            <w:tcW w:w="640" w:type="dxa"/>
            <w:vAlign w:val="bottom"/>
            <w:gridSpan w:val="3"/>
          </w:tcPr>
          <w:p>
            <w:pPr>
              <w:jc w:val="right"/>
              <w:spacing w:after="0" w:line="123" w:lineRule="exact"/>
              <w:rPr>
                <w:sz w:val="20"/>
                <w:szCs w:val="20"/>
                <w:color w:val="auto"/>
              </w:rPr>
            </w:pPr>
            <w:r>
              <w:rPr>
                <w:rFonts w:ascii="Arial" w:cs="Arial" w:eastAsia="Arial" w:hAnsi="Arial"/>
                <w:sz w:val="11"/>
                <w:szCs w:val="11"/>
                <w:color w:val="auto"/>
              </w:rPr>
              <w:t>123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tcPr>
          <w:p>
            <w:pPr>
              <w:jc w:val="right"/>
              <w:ind w:right="94"/>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4"/>
          </w:tcPr>
          <w:p>
            <w:pPr>
              <w:jc w:val="right"/>
              <w:ind w:right="174"/>
              <w:spacing w:after="0" w:line="123" w:lineRule="exact"/>
              <w:rPr>
                <w:sz w:val="20"/>
                <w:szCs w:val="20"/>
                <w:color w:val="auto"/>
              </w:rPr>
            </w:pPr>
            <w:r>
              <w:rPr>
                <w:rFonts w:ascii="Arial" w:cs="Arial" w:eastAsia="Arial" w:hAnsi="Arial"/>
                <w:sz w:val="11"/>
                <w:szCs w:val="11"/>
                <w:color w:val="auto"/>
              </w:rPr>
              <w:t>(4)</w:t>
            </w:r>
          </w:p>
        </w:tc>
        <w:tc>
          <w:tcPr>
            <w:tcW w:w="80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(24)</w:t>
            </w: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57</w:t>
            </w:r>
          </w:p>
        </w:tc>
        <w:tc>
          <w:tcPr>
            <w:tcW w:w="20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909</w:t>
            </w:r>
          </w:p>
        </w:tc>
        <w:tc>
          <w:tcPr>
            <w:tcW w:w="20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211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gridSpan w:val="2"/>
            <w:shd w:val="clear" w:color="auto" w:fill="CCEEFF"/>
          </w:tcPr>
          <w:p>
            <w:pPr>
              <w:spacing w:after="0" w:line="123" w:lineRule="exact"/>
              <w:rPr>
                <w:sz w:val="20"/>
                <w:szCs w:val="20"/>
                <w:color w:val="auto"/>
              </w:rPr>
            </w:pPr>
            <w:r>
              <w:rPr>
                <w:rFonts w:ascii="Arial" w:cs="Arial" w:eastAsia="Arial" w:hAnsi="Arial"/>
                <w:sz w:val="11"/>
                <w:szCs w:val="11"/>
                <w:color w:val="auto"/>
              </w:rPr>
              <w:t>Microfinance</w:t>
            </w: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gridSpan w:val="2"/>
          </w:tcPr>
          <w:p>
            <w:pPr>
              <w:ind w:left="140"/>
              <w:spacing w:after="0" w:line="123" w:lineRule="exact"/>
              <w:rPr>
                <w:sz w:val="20"/>
                <w:szCs w:val="20"/>
                <w:color w:val="auto"/>
              </w:rPr>
            </w:pPr>
            <w:r>
              <w:rPr>
                <w:rFonts w:ascii="Arial" w:cs="Arial" w:eastAsia="Arial" w:hAnsi="Arial"/>
                <w:sz w:val="11"/>
                <w:szCs w:val="11"/>
                <w:color w:val="auto"/>
              </w:rPr>
              <w:t>Mibanco</w:t>
            </w: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600</w:t>
            </w:r>
          </w:p>
        </w:tc>
        <w:tc>
          <w:tcPr>
            <w:tcW w:w="22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29</w:t>
            </w:r>
          </w:p>
        </w:tc>
        <w:tc>
          <w:tcPr>
            <w:tcW w:w="22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468</w:t>
            </w:r>
          </w:p>
        </w:tc>
        <w:tc>
          <w:tcPr>
            <w:tcW w:w="200" w:type="dxa"/>
            <w:vAlign w:val="bottom"/>
          </w:tcPr>
          <w:p>
            <w:pPr>
              <w:spacing w:after="0"/>
              <w:rPr>
                <w:sz w:val="10"/>
                <w:szCs w:val="10"/>
                <w:color w:val="auto"/>
              </w:rPr>
            </w:pPr>
          </w:p>
        </w:tc>
        <w:tc>
          <w:tcPr>
            <w:tcW w:w="640" w:type="dxa"/>
            <w:vAlign w:val="bottom"/>
            <w:gridSpan w:val="3"/>
          </w:tcPr>
          <w:p>
            <w:pPr>
              <w:jc w:val="right"/>
              <w:spacing w:after="0" w:line="123" w:lineRule="exact"/>
              <w:rPr>
                <w:sz w:val="20"/>
                <w:szCs w:val="20"/>
                <w:color w:val="auto"/>
              </w:rPr>
            </w:pPr>
            <w:r>
              <w:rPr>
                <w:rFonts w:ascii="Arial" w:cs="Arial" w:eastAsia="Arial" w:hAnsi="Arial"/>
                <w:sz w:val="11"/>
                <w:szCs w:val="11"/>
                <w:color w:val="auto"/>
              </w:rPr>
              <w:t>45</w:t>
            </w:r>
          </w:p>
        </w:tc>
        <w:tc>
          <w:tcPr>
            <w:tcW w:w="100" w:type="dxa"/>
            <w:vAlign w:val="bottom"/>
          </w:tcPr>
          <w:p>
            <w:pPr>
              <w:spacing w:after="0"/>
              <w:rPr>
                <w:sz w:val="10"/>
                <w:szCs w:val="10"/>
                <w:color w:val="auto"/>
              </w:rPr>
            </w:pPr>
          </w:p>
        </w:tc>
        <w:tc>
          <w:tcPr>
            <w:tcW w:w="820" w:type="dxa"/>
            <w:vAlign w:val="bottom"/>
            <w:gridSpan w:val="5"/>
          </w:tcPr>
          <w:p>
            <w:pPr>
              <w:jc w:val="right"/>
              <w:ind w:right="54"/>
              <w:spacing w:after="0" w:line="123" w:lineRule="exact"/>
              <w:rPr>
                <w:sz w:val="20"/>
                <w:szCs w:val="20"/>
                <w:color w:val="auto"/>
              </w:rPr>
            </w:pPr>
            <w:r>
              <w:rPr>
                <w:rFonts w:ascii="Arial" w:cs="Arial" w:eastAsia="Arial" w:hAnsi="Arial"/>
                <w:sz w:val="11"/>
                <w:szCs w:val="11"/>
                <w:color w:val="auto"/>
              </w:rPr>
              <w:t>(106)</w:t>
            </w:r>
          </w:p>
        </w:tc>
        <w:tc>
          <w:tcPr>
            <w:tcW w:w="940" w:type="dxa"/>
            <w:vAlign w:val="bottom"/>
            <w:gridSpan w:val="4"/>
          </w:tcPr>
          <w:p>
            <w:pPr>
              <w:jc w:val="right"/>
              <w:ind w:right="174"/>
              <w:spacing w:after="0" w:line="123" w:lineRule="exact"/>
              <w:rPr>
                <w:sz w:val="20"/>
                <w:szCs w:val="20"/>
                <w:color w:val="auto"/>
              </w:rPr>
            </w:pPr>
            <w:r>
              <w:rPr>
                <w:rFonts w:ascii="Arial" w:cs="Arial" w:eastAsia="Arial" w:hAnsi="Arial"/>
                <w:sz w:val="11"/>
                <w:szCs w:val="11"/>
                <w:color w:val="auto"/>
              </w:rPr>
              <w:t>(12)</w:t>
            </w:r>
          </w:p>
        </w:tc>
        <w:tc>
          <w:tcPr>
            <w:tcW w:w="80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(40)</w:t>
            </w: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102</w:t>
            </w:r>
          </w:p>
        </w:tc>
        <w:tc>
          <w:tcPr>
            <w:tcW w:w="20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13,576</w:t>
            </w:r>
          </w:p>
        </w:tc>
        <w:tc>
          <w:tcPr>
            <w:tcW w:w="20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11,489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gridSpan w:val="2"/>
            <w:shd w:val="clear" w:color="auto" w:fill="CCEEFF"/>
          </w:tcPr>
          <w:p>
            <w:pPr>
              <w:ind w:left="140"/>
              <w:spacing w:after="0" w:line="123" w:lineRule="exact"/>
              <w:rPr>
                <w:sz w:val="20"/>
                <w:szCs w:val="20"/>
                <w:color w:val="auto"/>
              </w:rPr>
            </w:pPr>
            <w:r>
              <w:rPr>
                <w:rFonts w:ascii="Arial" w:cs="Arial" w:eastAsia="Arial" w:hAnsi="Arial"/>
                <w:sz w:val="11"/>
                <w:szCs w:val="11"/>
                <w:color w:val="auto"/>
              </w:rPr>
              <w:t>Banco Compartir S.A.</w:t>
            </w:r>
          </w:p>
        </w:tc>
        <w:tc>
          <w:tcPr>
            <w:tcW w:w="860" w:type="dxa"/>
            <w:vAlign w:val="bottom"/>
            <w:gridSpan w:val="2"/>
            <w:shd w:val="clear" w:color="auto" w:fill="CCEEFF"/>
          </w:tcPr>
          <w:p>
            <w:pPr>
              <w:jc w:val="right"/>
              <w:ind w:right="240"/>
              <w:spacing w:after="0" w:line="123"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720" w:type="dxa"/>
            <w:vAlign w:val="bottom"/>
            <w:gridSpan w:val="3"/>
            <w:shd w:val="clear" w:color="auto" w:fill="CCEEFF"/>
          </w:tcPr>
          <w:p>
            <w:pPr>
              <w:jc w:val="right"/>
              <w:ind w:right="10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gridSpan w:val="3"/>
            <w:shd w:val="clear" w:color="auto" w:fill="CCEEFF"/>
          </w:tcPr>
          <w:p>
            <w:pPr>
              <w:jc w:val="right"/>
              <w:ind w:right="94"/>
              <w:spacing w:after="0" w:line="123"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14"/>
              <w:spacing w:after="0" w:line="123"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200"/>
              <w:spacing w:after="0" w:line="123"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1,046</w:t>
            </w: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888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gridSpan w:val="2"/>
          </w:tcPr>
          <w:p>
            <w:pPr>
              <w:ind w:left="140"/>
              <w:spacing w:after="0" w:line="123" w:lineRule="exact"/>
              <w:rPr>
                <w:sz w:val="20"/>
                <w:szCs w:val="20"/>
                <w:color w:val="auto"/>
              </w:rPr>
            </w:pPr>
            <w:r>
              <w:rPr>
                <w:rFonts w:ascii="Arial" w:cs="Arial" w:eastAsia="Arial" w:hAnsi="Arial"/>
                <w:sz w:val="11"/>
                <w:szCs w:val="11"/>
                <w:color w:val="auto"/>
              </w:rPr>
              <w:t>Edyficar S.A.S.</w:t>
            </w: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12</w:t>
            </w:r>
          </w:p>
        </w:tc>
        <w:tc>
          <w:tcPr>
            <w:tcW w:w="220" w:type="dxa"/>
            <w:vAlign w:val="bottom"/>
          </w:tcPr>
          <w:p>
            <w:pPr>
              <w:spacing w:after="0"/>
              <w:rPr>
                <w:sz w:val="10"/>
                <w:szCs w:val="10"/>
                <w:color w:val="auto"/>
              </w:rPr>
            </w:pP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11</w:t>
            </w:r>
          </w:p>
        </w:tc>
        <w:tc>
          <w:tcPr>
            <w:tcW w:w="200" w:type="dxa"/>
            <w:vAlign w:val="bottom"/>
          </w:tcPr>
          <w:p>
            <w:pPr>
              <w:spacing w:after="0"/>
              <w:rPr>
                <w:sz w:val="10"/>
                <w:szCs w:val="10"/>
                <w:color w:val="auto"/>
              </w:rPr>
            </w:pPr>
          </w:p>
        </w:tc>
        <w:tc>
          <w:tcPr>
            <w:tcW w:w="740" w:type="dxa"/>
            <w:vAlign w:val="bottom"/>
            <w:gridSpan w:val="4"/>
          </w:tcPr>
          <w:p>
            <w:pPr>
              <w:jc w:val="right"/>
              <w:ind w:right="60"/>
              <w:spacing w:after="0" w:line="123" w:lineRule="exact"/>
              <w:rPr>
                <w:sz w:val="20"/>
                <w:szCs w:val="20"/>
                <w:color w:val="auto"/>
              </w:rPr>
            </w:pPr>
            <w:r>
              <w:rPr>
                <w:rFonts w:ascii="Arial" w:cs="Arial" w:eastAsia="Arial" w:hAnsi="Arial"/>
                <w:sz w:val="11"/>
                <w:szCs w:val="11"/>
                <w:color w:val="auto"/>
              </w:rPr>
              <w:t>(80)</w:t>
            </w:r>
          </w:p>
        </w:tc>
        <w:tc>
          <w:tcPr>
            <w:tcW w:w="820" w:type="dxa"/>
            <w:vAlign w:val="bottom"/>
            <w:gridSpan w:val="5"/>
          </w:tcPr>
          <w:p>
            <w:pPr>
              <w:jc w:val="right"/>
              <w:ind w:right="54"/>
              <w:spacing w:after="0" w:line="123" w:lineRule="exact"/>
              <w:rPr>
                <w:sz w:val="20"/>
                <w:szCs w:val="20"/>
                <w:color w:val="auto"/>
              </w:rPr>
            </w:pPr>
            <w:r>
              <w:rPr>
                <w:rFonts w:ascii="Arial" w:cs="Arial" w:eastAsia="Arial" w:hAnsi="Arial"/>
                <w:sz w:val="11"/>
                <w:szCs w:val="11"/>
                <w:color w:val="auto"/>
              </w:rPr>
              <w:t>(1)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tcPr>
          <w:p>
            <w:pPr>
              <w:jc w:val="right"/>
              <w:ind w:right="214"/>
              <w:spacing w:after="0" w:line="123"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(1)</w:t>
            </w: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2</w:t>
            </w:r>
          </w:p>
        </w:tc>
        <w:tc>
          <w:tcPr>
            <w:tcW w:w="20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141</w:t>
            </w:r>
          </w:p>
        </w:tc>
        <w:tc>
          <w:tcPr>
            <w:tcW w:w="20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80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gridSpan w:val="2"/>
            <w:shd w:val="clear" w:color="auto" w:fill="CCEEFF"/>
          </w:tcPr>
          <w:p>
            <w:pPr>
              <w:spacing w:after="0" w:line="123" w:lineRule="exact"/>
              <w:rPr>
                <w:sz w:val="20"/>
                <w:szCs w:val="20"/>
                <w:color w:val="auto"/>
              </w:rPr>
            </w:pPr>
            <w:r>
              <w:rPr>
                <w:rFonts w:ascii="Arial" w:cs="Arial" w:eastAsia="Arial" w:hAnsi="Arial"/>
                <w:sz w:val="11"/>
                <w:szCs w:val="11"/>
                <w:color w:val="auto"/>
                <w:w w:val="98"/>
              </w:rPr>
              <w:t>Investment Banking and Wealth Management</w:t>
            </w: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238</w:t>
            </w: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w:t>
            </w: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24</w:t>
            </w:r>
          </w:p>
        </w:tc>
        <w:tc>
          <w:tcPr>
            <w:tcW w:w="200" w:type="dxa"/>
            <w:vAlign w:val="bottom"/>
            <w:shd w:val="clear" w:color="auto" w:fill="CCEEFF"/>
          </w:tcPr>
          <w:p>
            <w:pPr>
              <w:spacing w:after="0"/>
              <w:rPr>
                <w:sz w:val="10"/>
                <w:szCs w:val="10"/>
                <w:color w:val="auto"/>
              </w:rPr>
            </w:pPr>
          </w:p>
        </w:tc>
        <w:tc>
          <w:tcPr>
            <w:tcW w:w="640" w:type="dxa"/>
            <w:vAlign w:val="bottom"/>
            <w:gridSpan w:val="3"/>
            <w:shd w:val="clear" w:color="auto" w:fill="CCEEFF"/>
          </w:tcPr>
          <w:p>
            <w:pPr>
              <w:jc w:val="right"/>
              <w:spacing w:after="0" w:line="123" w:lineRule="exact"/>
              <w:rPr>
                <w:sz w:val="20"/>
                <w:szCs w:val="20"/>
                <w:color w:val="auto"/>
              </w:rPr>
            </w:pPr>
            <w:r>
              <w:rPr>
                <w:rFonts w:ascii="Arial" w:cs="Arial" w:eastAsia="Arial" w:hAnsi="Arial"/>
                <w:sz w:val="11"/>
                <w:szCs w:val="11"/>
                <w:color w:val="auto"/>
              </w:rPr>
              <w:t>175</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gridSpan w:val="3"/>
            <w:shd w:val="clear" w:color="auto" w:fill="CCEEFF"/>
          </w:tcPr>
          <w:p>
            <w:pPr>
              <w:jc w:val="right"/>
              <w:ind w:right="94"/>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4"/>
            <w:shd w:val="clear" w:color="auto" w:fill="CCEEFF"/>
          </w:tcPr>
          <w:p>
            <w:pPr>
              <w:jc w:val="right"/>
              <w:ind w:right="174"/>
              <w:spacing w:after="0" w:line="123" w:lineRule="exact"/>
              <w:rPr>
                <w:sz w:val="20"/>
                <w:szCs w:val="20"/>
                <w:color w:val="auto"/>
              </w:rPr>
            </w:pPr>
            <w:r>
              <w:rPr>
                <w:rFonts w:ascii="Arial" w:cs="Arial" w:eastAsia="Arial" w:hAnsi="Arial"/>
                <w:sz w:val="11"/>
                <w:szCs w:val="11"/>
                <w:color w:val="auto"/>
              </w:rPr>
              <w:t>(5)</w:t>
            </w:r>
          </w:p>
        </w:tc>
        <w:tc>
          <w:tcPr>
            <w:tcW w:w="80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(5)</w:t>
            </w: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65</w:t>
            </w: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9,423</w:t>
            </w: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7,950</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gridSpan w:val="2"/>
          </w:tcPr>
          <w:p>
            <w:pPr>
              <w:spacing w:after="0" w:line="123" w:lineRule="exact"/>
              <w:rPr>
                <w:sz w:val="20"/>
                <w:szCs w:val="20"/>
                <w:color w:val="auto"/>
              </w:rPr>
            </w:pPr>
            <w:r>
              <w:rPr>
                <w:rFonts w:ascii="Arial" w:cs="Arial" w:eastAsia="Arial" w:hAnsi="Arial"/>
                <w:sz w:val="11"/>
                <w:szCs w:val="11"/>
                <w:color w:val="auto"/>
              </w:rPr>
              <w:t>Other segments</w:t>
            </w: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27</w:t>
            </w:r>
          </w:p>
        </w:tc>
        <w:tc>
          <w:tcPr>
            <w:tcW w:w="22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38</w:t>
            </w:r>
          </w:p>
        </w:tc>
        <w:tc>
          <w:tcPr>
            <w:tcW w:w="22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305</w:t>
            </w:r>
          </w:p>
        </w:tc>
        <w:tc>
          <w:tcPr>
            <w:tcW w:w="200" w:type="dxa"/>
            <w:vAlign w:val="bottom"/>
          </w:tcPr>
          <w:p>
            <w:pPr>
              <w:spacing w:after="0"/>
              <w:rPr>
                <w:sz w:val="10"/>
                <w:szCs w:val="10"/>
                <w:color w:val="auto"/>
              </w:rPr>
            </w:pPr>
          </w:p>
        </w:tc>
        <w:tc>
          <w:tcPr>
            <w:tcW w:w="640" w:type="dxa"/>
            <w:vAlign w:val="bottom"/>
            <w:gridSpan w:val="3"/>
          </w:tcPr>
          <w:p>
            <w:pPr>
              <w:jc w:val="right"/>
              <w:spacing w:after="0" w:line="123" w:lineRule="exact"/>
              <w:rPr>
                <w:sz w:val="20"/>
                <w:szCs w:val="20"/>
                <w:color w:val="auto"/>
              </w:rPr>
            </w:pPr>
            <w:r>
              <w:rPr>
                <w:rFonts w:ascii="Arial" w:cs="Arial" w:eastAsia="Arial" w:hAnsi="Arial"/>
                <w:sz w:val="11"/>
                <w:szCs w:val="11"/>
                <w:color w:val="auto"/>
              </w:rPr>
              <w:t>43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tcPr>
          <w:p>
            <w:pPr>
              <w:jc w:val="right"/>
              <w:ind w:right="94"/>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4"/>
          </w:tcPr>
          <w:p>
            <w:pPr>
              <w:jc w:val="right"/>
              <w:ind w:right="174"/>
              <w:spacing w:after="0" w:line="123" w:lineRule="exact"/>
              <w:rPr>
                <w:sz w:val="20"/>
                <w:szCs w:val="20"/>
                <w:color w:val="auto"/>
              </w:rPr>
            </w:pPr>
            <w:r>
              <w:rPr>
                <w:rFonts w:ascii="Arial" w:cs="Arial" w:eastAsia="Arial" w:hAnsi="Arial"/>
                <w:sz w:val="11"/>
                <w:szCs w:val="11"/>
                <w:color w:val="auto"/>
              </w:rPr>
              <w:t>(7)</w:t>
            </w:r>
          </w:p>
        </w:tc>
        <w:tc>
          <w:tcPr>
            <w:tcW w:w="80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(29)</w:t>
            </w:r>
          </w:p>
        </w:tc>
        <w:tc>
          <w:tcPr>
            <w:tcW w:w="82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(29)</w:t>
            </w: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2,998</w:t>
            </w:r>
          </w:p>
        </w:tc>
        <w:tc>
          <w:tcPr>
            <w:tcW w:w="20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auto"/>
              </w:rPr>
              <w:t>992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Eliminations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(300)</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(689)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9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14"/>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(4,314)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(4,245)</w:t>
            </w:r>
          </w:p>
        </w:tc>
        <w:tc>
          <w:tcPr>
            <w:tcW w:w="0" w:type="dxa"/>
            <w:vAlign w:val="bottom"/>
          </w:tcPr>
          <w:p>
            <w:pPr>
              <w:spacing w:after="0"/>
              <w:rPr>
                <w:sz w:val="1"/>
                <w:szCs w:val="1"/>
                <w:color w:val="auto"/>
              </w:rPr>
            </w:pPr>
          </w:p>
        </w:tc>
      </w:tr>
      <w:tr>
        <w:trPr>
          <w:trHeight w:val="127"/>
        </w:trPr>
        <w:tc>
          <w:tcPr>
            <w:tcW w:w="2220" w:type="dxa"/>
            <w:vAlign w:val="bottom"/>
            <w:gridSpan w:val="2"/>
          </w:tcPr>
          <w:p>
            <w:pPr>
              <w:spacing w:after="0"/>
              <w:rPr>
                <w:sz w:val="20"/>
                <w:szCs w:val="20"/>
                <w:color w:val="auto"/>
              </w:rPr>
            </w:pPr>
            <w:r>
              <w:rPr>
                <w:rFonts w:ascii="Arial" w:cs="Arial" w:eastAsia="Arial" w:hAnsi="Arial"/>
                <w:sz w:val="11"/>
                <w:szCs w:val="11"/>
                <w:b w:val="1"/>
                <w:bCs w:val="1"/>
                <w:color w:val="auto"/>
              </w:rPr>
              <w:t>Total consolidated</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4,762</w:t>
            </w:r>
          </w:p>
        </w:tc>
        <w:tc>
          <w:tcPr>
            <w:tcW w:w="2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163</w:t>
            </w:r>
          </w:p>
        </w:tc>
        <w:tc>
          <w:tcPr>
            <w:tcW w:w="2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2,197</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color w:val="auto"/>
              </w:rPr>
              <w:t>1,285</w:t>
            </w:r>
          </w:p>
        </w:tc>
        <w:tc>
          <w:tcPr>
            <w:tcW w:w="10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640" w:type="dxa"/>
            <w:vAlign w:val="bottom"/>
            <w:tcBorders>
              <w:top w:val="single" w:sz="8" w:color="auto"/>
              <w:bottom w:val="single" w:sz="8" w:color="auto"/>
            </w:tcBorders>
            <w:gridSpan w:val="2"/>
          </w:tcPr>
          <w:p>
            <w:pPr>
              <w:jc w:val="right"/>
              <w:ind w:right="14"/>
              <w:spacing w:after="0"/>
              <w:rPr>
                <w:sz w:val="20"/>
                <w:szCs w:val="20"/>
                <w:color w:val="auto"/>
              </w:rPr>
            </w:pPr>
            <w:r>
              <w:rPr>
                <w:rFonts w:ascii="Arial" w:cs="Arial" w:eastAsia="Arial" w:hAnsi="Arial"/>
                <w:sz w:val="11"/>
                <w:szCs w:val="11"/>
                <w:color w:val="auto"/>
              </w:rPr>
              <w:t>(453</w:t>
            </w:r>
          </w:p>
        </w:tc>
        <w:tc>
          <w:tcPr>
            <w:tcW w:w="80" w:type="dxa"/>
            <w:vAlign w:val="bottom"/>
          </w:tcPr>
          <w:p>
            <w:pPr>
              <w:jc w:val="right"/>
              <w:ind w:right="54"/>
              <w:spacing w:after="0"/>
              <w:rPr>
                <w:sz w:val="20"/>
                <w:szCs w:val="20"/>
                <w:color w:val="auto"/>
              </w:rPr>
            </w:pPr>
            <w:r>
              <w:rPr>
                <w:rFonts w:ascii="Arial" w:cs="Arial" w:eastAsia="Arial" w:hAnsi="Arial"/>
                <w:sz w:val="1"/>
                <w:szCs w:val="1"/>
                <w:color w:val="auto"/>
                <w:w w:val="4294967281"/>
              </w:rPr>
              <w:t>)</w:t>
            </w:r>
          </w:p>
        </w:tc>
        <w:tc>
          <w:tcPr>
            <w:tcW w:w="100" w:type="dxa"/>
            <w:vAlign w:val="bottom"/>
            <w:gridSpan w:val="2"/>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(131</w:t>
            </w:r>
          </w:p>
        </w:tc>
        <w:tc>
          <w:tcPr>
            <w:tcW w:w="200" w:type="dxa"/>
            <w:vAlign w:val="bottom"/>
          </w:tcPr>
          <w:p>
            <w:pPr>
              <w:jc w:val="right"/>
              <w:ind w:right="174"/>
              <w:spacing w:after="0"/>
              <w:rPr>
                <w:sz w:val="20"/>
                <w:szCs w:val="20"/>
                <w:color w:val="auto"/>
              </w:rPr>
            </w:pPr>
            <w:r>
              <w:rPr>
                <w:rFonts w:ascii="Arial" w:cs="Arial" w:eastAsia="Arial" w:hAnsi="Arial"/>
                <w:sz w:val="1"/>
                <w:szCs w:val="1"/>
                <w:color w:val="auto"/>
                <w:w w:val="429496728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(422</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1,123</w:t>
            </w:r>
          </w:p>
        </w:tc>
        <w:tc>
          <w:tcPr>
            <w:tcW w:w="20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187,877</w:t>
            </w:r>
          </w:p>
        </w:tc>
        <w:tc>
          <w:tcPr>
            <w:tcW w:w="20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161,130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802" w:hanging="458"/>
        <w:spacing w:after="0" w:line="263" w:lineRule="auto"/>
        <w:tabs>
          <w:tab w:leader="none" w:pos="802"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Corresponds to total interest and similar income, other income (includes income and expenses on commissions) and net earned premiums from insurance activities.</w:t>
      </w:r>
    </w:p>
    <w:p>
      <w:pPr>
        <w:spacing w:after="0" w:line="1" w:lineRule="exact"/>
        <w:rPr>
          <w:sz w:val="20"/>
          <w:szCs w:val="20"/>
          <w:color w:val="auto"/>
        </w:rPr>
      </w:pPr>
    </w:p>
    <w:p>
      <w:pPr>
        <w:ind w:left="342" w:right="340" w:firstLine="2"/>
        <w:spacing w:after="0" w:line="272" w:lineRule="auto"/>
        <w:tabs>
          <w:tab w:leader="none" w:pos="809"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Corresponds to income derived from transactions with other segments, which were eliminated in the interim condensed consolidated statement of income. (***) Corresponds to other income (include income and expenses for commissions) and insurance underwriting result.</w:t>
      </w:r>
    </w:p>
    <w:p>
      <w:pPr>
        <w:spacing w:after="0" w:line="357" w:lineRule="exact"/>
        <w:rPr>
          <w:rFonts w:ascii="Arial" w:cs="Arial" w:eastAsia="Arial" w:hAnsi="Arial"/>
          <w:sz w:val="16"/>
          <w:szCs w:val="16"/>
          <w:color w:val="auto"/>
        </w:rPr>
      </w:pPr>
    </w:p>
    <w:p>
      <w:pPr>
        <w:ind w:left="5542" w:hanging="93"/>
        <w:spacing w:after="0"/>
        <w:tabs>
          <w:tab w:leader="none" w:pos="5542" w:val="left"/>
        </w:tabs>
        <w:numPr>
          <w:ilvl w:val="1"/>
          <w:numId w:val="85"/>
        </w:numPr>
        <w:rPr>
          <w:rFonts w:ascii="Arial" w:cs="Arial" w:eastAsia="Arial" w:hAnsi="Arial"/>
          <w:sz w:val="16"/>
          <w:szCs w:val="16"/>
          <w:color w:val="auto"/>
        </w:rPr>
      </w:pPr>
      <w:r>
        <w:rPr>
          <w:rFonts w:ascii="Arial" w:cs="Arial" w:eastAsia="Arial" w:hAnsi="Arial"/>
          <w:sz w:val="16"/>
          <w:szCs w:val="16"/>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1036" w:right="339" w:bottom="1440" w:gutter="0" w:footer="0" w:header="0"/>
        </w:sectPr>
      </w:pPr>
    </w:p>
    <w:bookmarkStart w:id="78" w:name="page79"/>
    <w:bookmarkEnd w:id="78"/>
    <w:p>
      <w:pPr>
        <w:ind w:left="322" w:hanging="322"/>
        <w:spacing w:after="0" w:line="287" w:lineRule="auto"/>
        <w:tabs>
          <w:tab w:leader="none" w:pos="322"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following table presents (in millions of soles) the distribution of the total revenue, operating revenue and non-current assets of the Group; all assigned based on the location of the clients and assets, respectively:</w:t>
      </w:r>
    </w:p>
    <w:p>
      <w:pPr>
        <w:spacing w:after="0" w:line="128" w:lineRule="exact"/>
        <w:rPr>
          <w:sz w:val="20"/>
          <w:szCs w:val="20"/>
          <w:color w:val="auto"/>
        </w:rPr>
      </w:pPr>
    </w:p>
    <w:tbl>
      <w:tblPr>
        <w:tblLayout w:type="fixed"/>
        <w:tblInd w:w="402"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2780" w:type="dxa"/>
            <w:vAlign w:val="bottom"/>
            <w:gridSpan w:val="5"/>
          </w:tcPr>
          <w:p>
            <w:pPr>
              <w:jc w:val="right"/>
              <w:ind w:right="160"/>
              <w:spacing w:after="0"/>
              <w:rPr>
                <w:sz w:val="20"/>
                <w:szCs w:val="20"/>
                <w:color w:val="auto"/>
              </w:rPr>
            </w:pPr>
            <w:r>
              <w:rPr>
                <w:rFonts w:ascii="Arial" w:cs="Arial" w:eastAsia="Arial" w:hAnsi="Arial"/>
                <w:sz w:val="13"/>
                <w:szCs w:val="13"/>
                <w:b w:val="1"/>
                <w:bCs w:val="1"/>
                <w:color w:val="auto"/>
              </w:rPr>
              <w:t>For the three-month period ended</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6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w w:val="98"/>
              </w:rPr>
              <w:t>For the three-month period ended</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2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60" w:type="dxa"/>
            <w:vAlign w:val="bottom"/>
            <w:gridSpan w:val="4"/>
          </w:tcPr>
          <w:p>
            <w:pPr>
              <w:jc w:val="right"/>
              <w:ind w:right="700"/>
              <w:spacing w:after="0"/>
              <w:rPr>
                <w:sz w:val="20"/>
                <w:szCs w:val="20"/>
                <w:color w:val="auto"/>
              </w:rPr>
            </w:pPr>
            <w:r>
              <w:rPr>
                <w:rFonts w:ascii="Arial" w:cs="Arial" w:eastAsia="Arial" w:hAnsi="Arial"/>
                <w:sz w:val="13"/>
                <w:szCs w:val="13"/>
                <w:b w:val="1"/>
                <w:bCs w:val="1"/>
                <w:color w:val="auto"/>
              </w:rPr>
              <w:t>March 31, 2020</w:t>
            </w:r>
          </w:p>
        </w:tc>
        <w:tc>
          <w:tcPr>
            <w:tcW w:w="1640" w:type="dxa"/>
            <w:vAlign w:val="bottom"/>
            <w:gridSpan w:val="3"/>
          </w:tcPr>
          <w:p>
            <w:pPr>
              <w:jc w:val="right"/>
              <w:ind w:right="175"/>
              <w:spacing w:after="0"/>
              <w:rPr>
                <w:sz w:val="20"/>
                <w:szCs w:val="20"/>
                <w:color w:val="auto"/>
              </w:rPr>
            </w:pPr>
            <w:r>
              <w:rPr>
                <w:rFonts w:ascii="Arial" w:cs="Arial" w:eastAsia="Arial" w:hAnsi="Arial"/>
                <w:sz w:val="13"/>
                <w:szCs w:val="13"/>
                <w:b w:val="1"/>
                <w:bCs w:val="1"/>
                <w:color w:val="auto"/>
              </w:rPr>
              <w:t>As of March 31, 2020</w:t>
            </w:r>
          </w:p>
        </w:tc>
        <w:tc>
          <w:tcPr>
            <w:tcW w:w="180" w:type="dxa"/>
            <w:vAlign w:val="bottom"/>
          </w:tcPr>
          <w:p>
            <w:pPr>
              <w:spacing w:after="0"/>
              <w:rPr>
                <w:sz w:val="13"/>
                <w:szCs w:val="13"/>
                <w:color w:val="auto"/>
              </w:rPr>
            </w:pPr>
          </w:p>
        </w:tc>
        <w:tc>
          <w:tcPr>
            <w:tcW w:w="2080" w:type="dxa"/>
            <w:vAlign w:val="bottom"/>
            <w:gridSpan w:val="4"/>
          </w:tcPr>
          <w:p>
            <w:pPr>
              <w:jc w:val="right"/>
              <w:ind w:right="720"/>
              <w:spacing w:after="0"/>
              <w:rPr>
                <w:sz w:val="20"/>
                <w:szCs w:val="20"/>
                <w:color w:val="auto"/>
              </w:rPr>
            </w:pPr>
            <w:r>
              <w:rPr>
                <w:rFonts w:ascii="Arial" w:cs="Arial" w:eastAsia="Arial" w:hAnsi="Arial"/>
                <w:sz w:val="13"/>
                <w:szCs w:val="13"/>
                <w:b w:val="1"/>
                <w:bCs w:val="1"/>
                <w:color w:val="auto"/>
              </w:rPr>
              <w:t>March 31, 2019</w:t>
            </w:r>
          </w:p>
        </w:tc>
        <w:tc>
          <w:tcPr>
            <w:tcW w:w="1740" w:type="dxa"/>
            <w:vAlign w:val="bottom"/>
            <w:gridSpan w:val="4"/>
          </w:tcPr>
          <w:p>
            <w:pPr>
              <w:ind w:left="120"/>
              <w:spacing w:after="0"/>
              <w:rPr>
                <w:sz w:val="20"/>
                <w:szCs w:val="20"/>
                <w:color w:val="auto"/>
              </w:rPr>
            </w:pPr>
            <w:r>
              <w:rPr>
                <w:rFonts w:ascii="Arial" w:cs="Arial" w:eastAsia="Arial" w:hAnsi="Arial"/>
                <w:sz w:val="13"/>
                <w:szCs w:val="13"/>
                <w:b w:val="1"/>
                <w:bCs w:val="1"/>
                <w:color w:val="auto"/>
              </w:rPr>
              <w:t>As of December 31, 2019</w:t>
            </w:r>
          </w:p>
        </w:tc>
      </w:tr>
      <w:tr>
        <w:trPr>
          <w:trHeight w:val="107"/>
        </w:trPr>
        <w:tc>
          <w:tcPr>
            <w:tcW w:w="2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top w:val="single" w:sz="8" w:color="auto"/>
            </w:tcBorders>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w w:val="96"/>
              </w:rPr>
              <w:t>Total non</w:t>
            </w:r>
          </w:p>
        </w:tc>
        <w:tc>
          <w:tcPr>
            <w:tcW w:w="7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top w:val="single" w:sz="8" w:color="auto"/>
            </w:tcBorders>
            <w:gridSpan w:val="2"/>
          </w:tcPr>
          <w:p>
            <w:pPr>
              <w:jc w:val="center"/>
              <w:ind w:right="220"/>
              <w:spacing w:after="0" w:line="107" w:lineRule="exact"/>
              <w:rPr>
                <w:sz w:val="20"/>
                <w:szCs w:val="20"/>
                <w:color w:val="auto"/>
              </w:rPr>
            </w:pPr>
            <w:r>
              <w:rPr>
                <w:rFonts w:ascii="Arial" w:cs="Arial" w:eastAsia="Arial" w:hAnsi="Arial"/>
                <w:sz w:val="12"/>
                <w:szCs w:val="12"/>
                <w:b w:val="1"/>
                <w:bCs w:val="1"/>
                <w:color w:val="auto"/>
                <w:w w:val="99"/>
              </w:rPr>
              <w:t>Total non</w:t>
            </w: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2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Total</w:t>
            </w:r>
          </w:p>
        </w:tc>
        <w:tc>
          <w:tcPr>
            <w:tcW w:w="102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Operating</w:t>
            </w: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current</w:t>
            </w:r>
          </w:p>
        </w:tc>
        <w:tc>
          <w:tcPr>
            <w:tcW w:w="720" w:type="dxa"/>
            <w:vAlign w:val="bottom"/>
          </w:tcPr>
          <w:p>
            <w:pPr>
              <w:jc w:val="right"/>
              <w:ind w:right="155"/>
              <w:spacing w:after="0" w:line="135" w:lineRule="exact"/>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Total</w:t>
            </w:r>
          </w:p>
        </w:tc>
        <w:tc>
          <w:tcPr>
            <w:tcW w:w="102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Operating</w:t>
            </w: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current</w:t>
            </w: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Total</w:t>
            </w:r>
          </w:p>
        </w:tc>
      </w:tr>
      <w:tr>
        <w:trPr>
          <w:trHeight w:val="155"/>
        </w:trPr>
        <w:tc>
          <w:tcPr>
            <w:tcW w:w="2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income (*)</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income (**)</w:t>
            </w: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assets (***)</w:t>
            </w:r>
          </w:p>
        </w:tc>
        <w:tc>
          <w:tcPr>
            <w:tcW w:w="720" w:type="dxa"/>
            <w:vAlign w:val="bottom"/>
          </w:tcPr>
          <w:p>
            <w:pPr>
              <w:jc w:val="right"/>
              <w:ind w:right="55"/>
              <w:spacing w:after="0"/>
              <w:rPr>
                <w:sz w:val="20"/>
                <w:szCs w:val="20"/>
                <w:color w:val="auto"/>
              </w:rPr>
            </w:pPr>
            <w:r>
              <w:rPr>
                <w:rFonts w:ascii="Arial" w:cs="Arial" w:eastAsia="Arial" w:hAnsi="Arial"/>
                <w:sz w:val="13"/>
                <w:szCs w:val="13"/>
                <w:b w:val="1"/>
                <w:bCs w:val="1"/>
                <w:color w:val="auto"/>
              </w:rPr>
              <w:t>liabilities</w:t>
            </w:r>
          </w:p>
        </w:tc>
        <w:tc>
          <w:tcPr>
            <w:tcW w:w="18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income (*)</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income (**)</w:t>
            </w: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assets (***)</w:t>
            </w: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liabilities</w:t>
            </w:r>
          </w:p>
        </w:tc>
      </w:tr>
      <w:tr>
        <w:trPr>
          <w:trHeight w:val="127"/>
        </w:trPr>
        <w:tc>
          <w:tcPr>
            <w:tcW w:w="2040" w:type="dxa"/>
            <w:vAlign w:val="bottom"/>
            <w:tcBorders>
              <w:top w:val="single" w:sz="8" w:color="CCEEFF"/>
            </w:tcBorders>
            <w:shd w:val="clear" w:color="auto" w:fill="CCEEFF"/>
          </w:tcPr>
          <w:p>
            <w:pPr>
              <w:spacing w:after="0" w:line="128" w:lineRule="exact"/>
              <w:rPr>
                <w:sz w:val="20"/>
                <w:szCs w:val="20"/>
                <w:color w:val="auto"/>
              </w:rPr>
            </w:pPr>
            <w:r>
              <w:rPr>
                <w:rFonts w:ascii="Arial" w:cs="Arial" w:eastAsia="Arial" w:hAnsi="Arial"/>
                <w:sz w:val="13"/>
                <w:szCs w:val="13"/>
                <w:color w:val="auto"/>
              </w:rPr>
              <w:t>Peru</w:t>
            </w:r>
          </w:p>
        </w:tc>
        <w:tc>
          <w:tcPr>
            <w:tcW w:w="7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4,322</w:t>
            </w:r>
          </w:p>
        </w:tc>
        <w:tc>
          <w:tcPr>
            <w:tcW w:w="2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2,360</w:t>
            </w:r>
          </w:p>
        </w:tc>
        <w:tc>
          <w:tcPr>
            <w:tcW w:w="2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3,835</w:t>
            </w:r>
          </w:p>
        </w:tc>
        <w:tc>
          <w:tcPr>
            <w:tcW w:w="2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149,850</w:t>
            </w:r>
          </w:p>
        </w:tc>
        <w:tc>
          <w:tcPr>
            <w:tcW w:w="1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4,337</w:t>
            </w:r>
          </w:p>
        </w:tc>
        <w:tc>
          <w:tcPr>
            <w:tcW w:w="2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2,177</w:t>
            </w:r>
          </w:p>
        </w:tc>
        <w:tc>
          <w:tcPr>
            <w:tcW w:w="2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3,943</w:t>
            </w:r>
          </w:p>
        </w:tc>
        <w:tc>
          <w:tcPr>
            <w:tcW w:w="2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142,178</w:t>
            </w:r>
          </w:p>
        </w:tc>
        <w:tc>
          <w:tcPr>
            <w:tcW w:w="100" w:type="dxa"/>
            <w:vAlign w:val="bottom"/>
            <w:tcBorders>
              <w:top w:val="single" w:sz="8" w:color="CCEEFF"/>
            </w:tcBorders>
            <w:shd w:val="clear" w:color="auto" w:fill="CCEEFF"/>
          </w:tcPr>
          <w:p>
            <w:pPr>
              <w:spacing w:after="0"/>
              <w:rPr>
                <w:sz w:val="11"/>
                <w:szCs w:val="11"/>
                <w:color w:val="auto"/>
              </w:rPr>
            </w:pPr>
          </w:p>
        </w:tc>
      </w:tr>
      <w:tr>
        <w:trPr>
          <w:trHeight w:val="135"/>
        </w:trPr>
        <w:tc>
          <w:tcPr>
            <w:tcW w:w="2040" w:type="dxa"/>
            <w:vAlign w:val="bottom"/>
          </w:tcPr>
          <w:p>
            <w:pPr>
              <w:spacing w:after="0" w:line="135" w:lineRule="exact"/>
              <w:rPr>
                <w:sz w:val="20"/>
                <w:szCs w:val="20"/>
                <w:color w:val="auto"/>
              </w:rPr>
            </w:pPr>
            <w:r>
              <w:rPr>
                <w:rFonts w:ascii="Arial" w:cs="Arial" w:eastAsia="Arial" w:hAnsi="Arial"/>
                <w:sz w:val="13"/>
                <w:szCs w:val="13"/>
                <w:color w:val="auto"/>
              </w:rPr>
              <w:t>Bermuda</w:t>
            </w:r>
          </w:p>
        </w:tc>
        <w:tc>
          <w:tcPr>
            <w:tcW w:w="1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w:t>
            </w: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115</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3,098</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w:t>
            </w: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117</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266</w:t>
            </w:r>
          </w:p>
        </w:tc>
        <w:tc>
          <w:tcPr>
            <w:tcW w:w="100" w:type="dxa"/>
            <w:vAlign w:val="bottom"/>
          </w:tcPr>
          <w:p>
            <w:pPr>
              <w:spacing w:after="0"/>
              <w:rPr>
                <w:sz w:val="11"/>
                <w:szCs w:val="11"/>
                <w:color w:val="auto"/>
              </w:rPr>
            </w:pPr>
          </w:p>
        </w:tc>
      </w:tr>
      <w:tr>
        <w:trPr>
          <w:trHeight w:val="135"/>
        </w:trPr>
        <w:tc>
          <w:tcPr>
            <w:tcW w:w="2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Panama</w:t>
            </w:r>
          </w:p>
        </w:tc>
        <w:tc>
          <w:tcPr>
            <w:tcW w:w="1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r>
      <w:tr>
        <w:trPr>
          <w:trHeight w:val="135"/>
        </w:trPr>
        <w:tc>
          <w:tcPr>
            <w:tcW w:w="2040" w:type="dxa"/>
            <w:vAlign w:val="bottom"/>
          </w:tcPr>
          <w:p>
            <w:pPr>
              <w:spacing w:after="0" w:line="135" w:lineRule="exact"/>
              <w:rPr>
                <w:sz w:val="20"/>
                <w:szCs w:val="20"/>
                <w:color w:val="auto"/>
              </w:rPr>
            </w:pPr>
            <w:r>
              <w:rPr>
                <w:rFonts w:ascii="Arial" w:cs="Arial" w:eastAsia="Arial" w:hAnsi="Arial"/>
                <w:sz w:val="13"/>
                <w:szCs w:val="13"/>
                <w:color w:val="auto"/>
              </w:rPr>
              <w:t>Cayman Islands</w:t>
            </w:r>
          </w:p>
        </w:tc>
        <w:tc>
          <w:tcPr>
            <w:tcW w:w="1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38</w:t>
            </w: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27</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7,122</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94</w:t>
            </w: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35</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5,008</w:t>
            </w:r>
          </w:p>
        </w:tc>
        <w:tc>
          <w:tcPr>
            <w:tcW w:w="100" w:type="dxa"/>
            <w:vAlign w:val="bottom"/>
          </w:tcPr>
          <w:p>
            <w:pPr>
              <w:spacing w:after="0"/>
              <w:rPr>
                <w:sz w:val="11"/>
                <w:szCs w:val="11"/>
                <w:color w:val="auto"/>
              </w:rPr>
            </w:pPr>
          </w:p>
        </w:tc>
      </w:tr>
      <w:tr>
        <w:trPr>
          <w:trHeight w:val="135"/>
        </w:trPr>
        <w:tc>
          <w:tcPr>
            <w:tcW w:w="2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Bolivia</w:t>
            </w:r>
          </w:p>
        </w:tc>
        <w:tc>
          <w:tcPr>
            <w:tcW w:w="1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209</w:t>
            </w: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10,769</w:t>
            </w:r>
          </w:p>
        </w:tc>
        <w:tc>
          <w:tcPr>
            <w:tcW w:w="10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193</w:t>
            </w: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9,815</w:t>
            </w:r>
          </w:p>
        </w:tc>
        <w:tc>
          <w:tcPr>
            <w:tcW w:w="100" w:type="dxa"/>
            <w:vAlign w:val="bottom"/>
            <w:shd w:val="clear" w:color="auto" w:fill="CCEEFF"/>
          </w:tcPr>
          <w:p>
            <w:pPr>
              <w:spacing w:after="0"/>
              <w:rPr>
                <w:sz w:val="11"/>
                <w:szCs w:val="11"/>
                <w:color w:val="auto"/>
              </w:rPr>
            </w:pPr>
          </w:p>
        </w:tc>
      </w:tr>
      <w:tr>
        <w:trPr>
          <w:trHeight w:val="135"/>
        </w:trPr>
        <w:tc>
          <w:tcPr>
            <w:tcW w:w="2040" w:type="dxa"/>
            <w:vAlign w:val="bottom"/>
          </w:tcPr>
          <w:p>
            <w:pPr>
              <w:spacing w:after="0" w:line="135" w:lineRule="exact"/>
              <w:rPr>
                <w:sz w:val="20"/>
                <w:szCs w:val="20"/>
                <w:color w:val="auto"/>
              </w:rPr>
            </w:pPr>
            <w:r>
              <w:rPr>
                <w:rFonts w:ascii="Arial" w:cs="Arial" w:eastAsia="Arial" w:hAnsi="Arial"/>
                <w:sz w:val="13"/>
                <w:szCs w:val="13"/>
                <w:color w:val="auto"/>
              </w:rPr>
              <w:t>Colombia</w:t>
            </w:r>
          </w:p>
        </w:tc>
        <w:tc>
          <w:tcPr>
            <w:tcW w:w="1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138</w:t>
            </w: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38</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427</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2,195</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81</w:t>
            </w: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435</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2,769</w:t>
            </w:r>
          </w:p>
        </w:tc>
        <w:tc>
          <w:tcPr>
            <w:tcW w:w="100" w:type="dxa"/>
            <w:vAlign w:val="bottom"/>
          </w:tcPr>
          <w:p>
            <w:pPr>
              <w:spacing w:after="0"/>
              <w:rPr>
                <w:sz w:val="11"/>
                <w:szCs w:val="11"/>
                <w:color w:val="auto"/>
              </w:rPr>
            </w:pPr>
          </w:p>
        </w:tc>
      </w:tr>
      <w:tr>
        <w:trPr>
          <w:trHeight w:val="135"/>
        </w:trPr>
        <w:tc>
          <w:tcPr>
            <w:tcW w:w="2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United States of America</w:t>
            </w:r>
          </w:p>
        </w:tc>
        <w:tc>
          <w:tcPr>
            <w:tcW w:w="1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0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1"/>
                <w:szCs w:val="11"/>
                <w:color w:val="auto"/>
              </w:rPr>
            </w:pPr>
          </w:p>
        </w:tc>
      </w:tr>
      <w:tr>
        <w:trPr>
          <w:trHeight w:val="147"/>
        </w:trPr>
        <w:tc>
          <w:tcPr>
            <w:tcW w:w="2040" w:type="dxa"/>
            <w:vAlign w:val="bottom"/>
          </w:tcPr>
          <w:p>
            <w:pPr>
              <w:spacing w:after="0" w:line="148" w:lineRule="exact"/>
              <w:rPr>
                <w:sz w:val="20"/>
                <w:szCs w:val="20"/>
                <w:color w:val="auto"/>
              </w:rPr>
            </w:pPr>
            <w:r>
              <w:rPr>
                <w:rFonts w:ascii="Arial" w:cs="Arial" w:eastAsia="Arial" w:hAnsi="Arial"/>
                <w:sz w:val="13"/>
                <w:szCs w:val="13"/>
                <w:color w:val="auto"/>
              </w:rPr>
              <w:t>Chile</w:t>
            </w:r>
          </w:p>
        </w:tc>
        <w:tc>
          <w:tcPr>
            <w:tcW w:w="15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21</w:t>
            </w:r>
          </w:p>
        </w:tc>
        <w:tc>
          <w:tcPr>
            <w:tcW w:w="220" w:type="dxa"/>
            <w:vAlign w:val="bottom"/>
          </w:tcPr>
          <w:p>
            <w:pPr>
              <w:spacing w:after="0"/>
              <w:rPr>
                <w:sz w:val="12"/>
                <w:szCs w:val="12"/>
                <w:color w:val="auto"/>
              </w:rPr>
            </w:pPr>
          </w:p>
        </w:tc>
        <w:tc>
          <w:tcPr>
            <w:tcW w:w="10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w:t>
            </w: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128</w:t>
            </w:r>
          </w:p>
        </w:tc>
        <w:tc>
          <w:tcPr>
            <w:tcW w:w="20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1,058</w:t>
            </w:r>
          </w:p>
        </w:tc>
        <w:tc>
          <w:tcPr>
            <w:tcW w:w="10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41</w:t>
            </w:r>
          </w:p>
        </w:tc>
        <w:tc>
          <w:tcPr>
            <w:tcW w:w="220" w:type="dxa"/>
            <w:vAlign w:val="bottom"/>
          </w:tcPr>
          <w:p>
            <w:pPr>
              <w:spacing w:after="0"/>
              <w:rPr>
                <w:sz w:val="12"/>
                <w:szCs w:val="12"/>
                <w:color w:val="auto"/>
              </w:rPr>
            </w:pPr>
          </w:p>
        </w:tc>
        <w:tc>
          <w:tcPr>
            <w:tcW w:w="10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(2)</w:t>
            </w: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209</w:t>
            </w:r>
          </w:p>
        </w:tc>
        <w:tc>
          <w:tcPr>
            <w:tcW w:w="20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1,088</w:t>
            </w:r>
          </w:p>
        </w:tc>
        <w:tc>
          <w:tcPr>
            <w:tcW w:w="100" w:type="dxa"/>
            <w:vAlign w:val="bottom"/>
          </w:tcPr>
          <w:p>
            <w:pPr>
              <w:spacing w:after="0"/>
              <w:rPr>
                <w:sz w:val="12"/>
                <w:szCs w:val="12"/>
                <w:color w:val="auto"/>
              </w:rPr>
            </w:pPr>
          </w:p>
        </w:tc>
      </w:tr>
      <w:tr>
        <w:trPr>
          <w:trHeight w:val="140"/>
        </w:trPr>
        <w:tc>
          <w:tcPr>
            <w:tcW w:w="2040" w:type="dxa"/>
            <w:vAlign w:val="bottom"/>
            <w:tcBorders>
              <w:top w:val="single" w:sz="8" w:color="CCEEFF"/>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b w:val="1"/>
                <w:bCs w:val="1"/>
                <w:color w:val="auto"/>
              </w:rPr>
              <w:t>Total consolidated</w:t>
            </w: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4,749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2,521</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4,627</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174,099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4,762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2,306</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4,820</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161,130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2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682" w:hanging="387"/>
        <w:spacing w:after="0"/>
        <w:tabs>
          <w:tab w:leader="none" w:pos="682"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Including total interest and similar income, other income and net premiums earned from insurance activities.</w:t>
      </w:r>
    </w:p>
    <w:p>
      <w:pPr>
        <w:spacing w:after="0" w:line="24" w:lineRule="exact"/>
        <w:rPr>
          <w:sz w:val="20"/>
          <w:szCs w:val="20"/>
          <w:color w:val="auto"/>
        </w:rPr>
      </w:pPr>
    </w:p>
    <w:p>
      <w:pPr>
        <w:ind w:left="302" w:right="1360" w:hanging="7"/>
        <w:spacing w:after="0" w:line="345" w:lineRule="auto"/>
        <w:tabs>
          <w:tab w:leader="none" w:pos="695" w:val="left"/>
        </w:tabs>
        <w:numPr>
          <w:ilvl w:val="0"/>
          <w:numId w:val="88"/>
        </w:numPr>
        <w:rPr>
          <w:rFonts w:ascii="Arial" w:cs="Arial" w:eastAsia="Arial" w:hAnsi="Arial"/>
          <w:sz w:val="14"/>
          <w:szCs w:val="14"/>
          <w:color w:val="auto"/>
        </w:rPr>
      </w:pPr>
      <w:r>
        <w:rPr>
          <w:rFonts w:ascii="Arial" w:cs="Arial" w:eastAsia="Arial" w:hAnsi="Arial"/>
          <w:sz w:val="14"/>
          <w:szCs w:val="14"/>
          <w:color w:val="auto"/>
        </w:rPr>
        <w:t>Operating income includes the income from interest and similar expenses from banking activities and insurance underwriting result. (***) Non-current assets consist of property, furniture and equipment (fixed assets), intangible assets and goodwill and right-for-use assets, net.</w:t>
      </w:r>
    </w:p>
    <w:p>
      <w:pPr>
        <w:spacing w:after="0" w:line="311" w:lineRule="exact"/>
        <w:rPr>
          <w:rFonts w:ascii="Arial" w:cs="Arial" w:eastAsia="Arial" w:hAnsi="Arial"/>
          <w:sz w:val="14"/>
          <w:szCs w:val="14"/>
          <w:color w:val="auto"/>
        </w:rPr>
      </w:pPr>
    </w:p>
    <w:p>
      <w:pPr>
        <w:ind w:left="5542" w:hanging="93"/>
        <w:spacing w:after="0"/>
        <w:tabs>
          <w:tab w:leader="none" w:pos="5542" w:val="left"/>
        </w:tabs>
        <w:numPr>
          <w:ilvl w:val="1"/>
          <w:numId w:val="88"/>
        </w:numPr>
        <w:rPr>
          <w:rFonts w:ascii="Arial" w:cs="Arial" w:eastAsia="Arial" w:hAnsi="Arial"/>
          <w:sz w:val="16"/>
          <w:szCs w:val="16"/>
          <w:color w:val="auto"/>
        </w:rPr>
      </w:pPr>
      <w:r>
        <w:rPr>
          <w:rFonts w:ascii="Arial" w:cs="Arial" w:eastAsia="Arial" w:hAnsi="Arial"/>
          <w:sz w:val="16"/>
          <w:szCs w:val="16"/>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042"/>
          </w:cols>
          <w:pgMar w:left="318" w:top="839" w:right="539" w:bottom="1440" w:gutter="0" w:footer="0" w:header="0"/>
        </w:sectPr>
      </w:pPr>
    </w:p>
    <w:bookmarkStart w:id="79" w:name="page80"/>
    <w:bookmarkEnd w:id="79"/>
    <w:p>
      <w:pPr>
        <w:ind w:left="582" w:hanging="582"/>
        <w:spacing w:after="0"/>
        <w:tabs>
          <w:tab w:leader="none" w:pos="582"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TRANSACTIONS WITH RELATED PARTIES</w:t>
      </w:r>
    </w:p>
    <w:p>
      <w:pPr>
        <w:spacing w:after="0" w:line="213" w:lineRule="exact"/>
        <w:rPr>
          <w:rFonts w:ascii="Arial" w:cs="Arial" w:eastAsia="Arial" w:hAnsi="Arial"/>
          <w:sz w:val="16"/>
          <w:szCs w:val="16"/>
          <w:b w:val="1"/>
          <w:bCs w:val="1"/>
          <w:color w:val="auto"/>
        </w:rPr>
      </w:pPr>
    </w:p>
    <w:p>
      <w:pPr>
        <w:ind w:left="942" w:right="40" w:hanging="352"/>
        <w:spacing w:after="0" w:line="271" w:lineRule="auto"/>
        <w:tabs>
          <w:tab w:leader="none" w:pos="942"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Group’s interim condensed consolidated financial statements as of March 31, 2020 and December 31, 2019 include transactions with related companies, the Board of Directors, the Group’s key executives (defined as the Management of Credicorp) and the companies which are controlled by these individuals through their majority shareholding or their role as Chairman or CEO.</w:t>
      </w:r>
    </w:p>
    <w:p>
      <w:pPr>
        <w:spacing w:after="0" w:line="162" w:lineRule="exact"/>
        <w:rPr>
          <w:rFonts w:ascii="Arial" w:cs="Arial" w:eastAsia="Arial" w:hAnsi="Arial"/>
          <w:sz w:val="16"/>
          <w:szCs w:val="16"/>
          <w:color w:val="auto"/>
        </w:rPr>
      </w:pPr>
    </w:p>
    <w:p>
      <w:pPr>
        <w:ind w:left="942" w:hanging="352"/>
        <w:spacing w:after="0"/>
        <w:tabs>
          <w:tab w:leader="none" w:pos="942"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following table presents the main transactions with related parties:</w:t>
      </w:r>
    </w:p>
    <w:p>
      <w:pPr>
        <w:spacing w:after="0" w:line="205" w:lineRule="exact"/>
        <w:rPr>
          <w:sz w:val="20"/>
          <w:szCs w:val="20"/>
          <w:color w:val="auto"/>
        </w:rPr>
      </w:pPr>
    </w:p>
    <w:tbl>
      <w:tblPr>
        <w:tblLayout w:type="fixed"/>
        <w:tblInd w:w="962"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As of</w:t>
            </w:r>
          </w:p>
        </w:tc>
      </w:tr>
      <w:tr>
        <w:trPr>
          <w:trHeight w:val="197"/>
        </w:trPr>
        <w:tc>
          <w:tcPr>
            <w:tcW w:w="70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As of March</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4"/>
              </w:rPr>
              <w:t>December 31,</w:t>
            </w:r>
          </w:p>
        </w:tc>
      </w:tr>
      <w:tr>
        <w:trPr>
          <w:trHeight w:val="212"/>
        </w:trPr>
        <w:tc>
          <w:tcPr>
            <w:tcW w:w="702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31, 2020</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r>
      <w:tr>
        <w:trPr>
          <w:trHeight w:val="190"/>
        </w:trPr>
        <w:tc>
          <w:tcPr>
            <w:tcW w:w="7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1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100" w:type="dxa"/>
            <w:vAlign w:val="bottom"/>
          </w:tcPr>
          <w:p>
            <w:pPr>
              <w:spacing w:after="0"/>
              <w:rPr>
                <w:sz w:val="16"/>
                <w:szCs w:val="16"/>
                <w:color w:val="auto"/>
              </w:rPr>
            </w:pPr>
          </w:p>
        </w:tc>
      </w:tr>
      <w:tr>
        <w:trPr>
          <w:trHeight w:val="197"/>
        </w:trPr>
        <w:tc>
          <w:tcPr>
            <w:tcW w:w="7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financial position -</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6"/>
                <w:szCs w:val="16"/>
                <w:color w:val="auto"/>
              </w:rPr>
              <w:t>Direct loans</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2,269,648</w:t>
            </w:r>
          </w:p>
        </w:tc>
        <w:tc>
          <w:tcPr>
            <w:tcW w:w="1020" w:type="dxa"/>
            <w:vAlign w:val="bottom"/>
          </w:tcPr>
          <w:p>
            <w:pPr>
              <w:jc w:val="right"/>
              <w:spacing w:after="0"/>
              <w:rPr>
                <w:sz w:val="20"/>
                <w:szCs w:val="20"/>
                <w:color w:val="auto"/>
              </w:rPr>
            </w:pPr>
            <w:r>
              <w:rPr>
                <w:rFonts w:ascii="Arial" w:cs="Arial" w:eastAsia="Arial" w:hAnsi="Arial"/>
                <w:sz w:val="16"/>
                <w:szCs w:val="16"/>
                <w:color w:val="auto"/>
              </w:rPr>
              <w:t>1,657,206</w:t>
            </w:r>
          </w:p>
        </w:tc>
        <w:tc>
          <w:tcPr>
            <w:tcW w:w="100" w:type="dxa"/>
            <w:vAlign w:val="bottom"/>
          </w:tcPr>
          <w:p>
            <w:pPr>
              <w:spacing w:after="0"/>
              <w:rPr>
                <w:sz w:val="17"/>
                <w:szCs w:val="17"/>
                <w:color w:val="auto"/>
              </w:rPr>
            </w:pPr>
          </w:p>
        </w:tc>
      </w:tr>
      <w:tr>
        <w:trPr>
          <w:trHeight w:val="197"/>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Investments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876,807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935,286</w:t>
            </w:r>
          </w:p>
        </w:tc>
      </w:tr>
      <w:tr>
        <w:trPr>
          <w:trHeight w:val="197"/>
        </w:trPr>
        <w:tc>
          <w:tcPr>
            <w:tcW w:w="7020" w:type="dxa"/>
            <w:vAlign w:val="bottom"/>
          </w:tcPr>
          <w:p>
            <w:pPr>
              <w:spacing w:after="0"/>
              <w:rPr>
                <w:sz w:val="20"/>
                <w:szCs w:val="20"/>
                <w:color w:val="auto"/>
              </w:rPr>
            </w:pPr>
            <w:r>
              <w:rPr>
                <w:rFonts w:ascii="Arial" w:cs="Arial" w:eastAsia="Arial" w:hAnsi="Arial"/>
                <w:sz w:val="16"/>
                <w:szCs w:val="16"/>
                <w:color w:val="auto"/>
              </w:rPr>
              <w:t>Deposits</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(1,846,410)</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(751,990)</w:t>
            </w:r>
          </w:p>
        </w:tc>
      </w:tr>
      <w:tr>
        <w:trPr>
          <w:trHeight w:val="197"/>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Derivatives at fair value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3,390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4,984</w:t>
            </w:r>
          </w:p>
        </w:tc>
      </w:tr>
      <w:tr>
        <w:trPr>
          <w:trHeight w:val="197"/>
        </w:trPr>
        <w:tc>
          <w:tcPr>
            <w:tcW w:w="7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Off-balance sheet</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8"/>
        </w:trPr>
        <w:tc>
          <w:tcPr>
            <w:tcW w:w="7020" w:type="dxa"/>
            <w:vAlign w:val="bottom"/>
          </w:tcPr>
          <w:p>
            <w:pPr>
              <w:spacing w:after="0"/>
              <w:rPr>
                <w:sz w:val="20"/>
                <w:szCs w:val="20"/>
                <w:color w:val="auto"/>
              </w:rPr>
            </w:pPr>
            <w:r>
              <w:rPr>
                <w:rFonts w:ascii="Arial" w:cs="Arial" w:eastAsia="Arial" w:hAnsi="Arial"/>
                <w:sz w:val="16"/>
                <w:szCs w:val="16"/>
                <w:color w:val="auto"/>
              </w:rPr>
              <w:t>Indirect loans</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421,168</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373,865</w:t>
            </w:r>
          </w:p>
        </w:tc>
      </w:tr>
      <w:tr>
        <w:trPr>
          <w:trHeight w:val="365"/>
        </w:trPr>
        <w:tc>
          <w:tcPr>
            <w:tcW w:w="7020" w:type="dxa"/>
            <w:vAlign w:val="bottom"/>
          </w:tcPr>
          <w:p>
            <w:pPr>
              <w:spacing w:after="0"/>
              <w:rPr>
                <w:sz w:val="24"/>
                <w:szCs w:val="24"/>
                <w:color w:val="auto"/>
              </w:rPr>
            </w:pPr>
          </w:p>
        </w:tc>
        <w:tc>
          <w:tcPr>
            <w:tcW w:w="232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w w:val="97"/>
              </w:rPr>
              <w:t>For the three-month periods</w:t>
            </w:r>
          </w:p>
        </w:tc>
      </w:tr>
      <w:tr>
        <w:trPr>
          <w:trHeight w:val="212"/>
        </w:trPr>
        <w:tc>
          <w:tcPr>
            <w:tcW w:w="7020" w:type="dxa"/>
            <w:vAlign w:val="bottom"/>
          </w:tcPr>
          <w:p>
            <w:pPr>
              <w:spacing w:after="0"/>
              <w:rPr>
                <w:sz w:val="18"/>
                <w:szCs w:val="18"/>
                <w:color w:val="auto"/>
              </w:rPr>
            </w:pPr>
          </w:p>
        </w:tc>
        <w:tc>
          <w:tcPr>
            <w:tcW w:w="232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ended March 31,</w:t>
            </w:r>
          </w:p>
        </w:tc>
      </w:tr>
      <w:tr>
        <w:trPr>
          <w:trHeight w:val="202"/>
        </w:trPr>
        <w:tc>
          <w:tcPr>
            <w:tcW w:w="70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2020</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7"/>
                <w:szCs w:val="17"/>
                <w:color w:val="auto"/>
              </w:rPr>
            </w:pPr>
          </w:p>
        </w:tc>
      </w:tr>
      <w:tr>
        <w:trPr>
          <w:trHeight w:val="189"/>
        </w:trPr>
        <w:tc>
          <w:tcPr>
            <w:tcW w:w="7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5"/>
              </w:rPr>
              <w:t>S/(000)</w:t>
            </w:r>
          </w:p>
        </w:tc>
        <w:tc>
          <w:tcPr>
            <w:tcW w:w="1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1"/>
              </w:rPr>
              <w:t>S/(000)</w:t>
            </w:r>
          </w:p>
        </w:tc>
        <w:tc>
          <w:tcPr>
            <w:tcW w:w="100" w:type="dxa"/>
            <w:vAlign w:val="bottom"/>
          </w:tcPr>
          <w:p>
            <w:pPr>
              <w:spacing w:after="0"/>
              <w:rPr>
                <w:sz w:val="16"/>
                <w:szCs w:val="16"/>
                <w:color w:val="auto"/>
              </w:rPr>
            </w:pPr>
          </w:p>
        </w:tc>
      </w:tr>
      <w:tr>
        <w:trPr>
          <w:trHeight w:val="197"/>
        </w:trPr>
        <w:tc>
          <w:tcPr>
            <w:tcW w:w="7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income</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7020" w:type="dxa"/>
            <w:vAlign w:val="bottom"/>
          </w:tcPr>
          <w:p>
            <w:pPr>
              <w:spacing w:after="0"/>
              <w:rPr>
                <w:sz w:val="20"/>
                <w:szCs w:val="20"/>
                <w:color w:val="auto"/>
              </w:rPr>
            </w:pPr>
            <w:r>
              <w:rPr>
                <w:rFonts w:ascii="Arial" w:cs="Arial" w:eastAsia="Arial" w:hAnsi="Arial"/>
                <w:sz w:val="16"/>
                <w:szCs w:val="16"/>
                <w:color w:val="auto"/>
              </w:rPr>
              <w:t>Interest income related to loans</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8,012</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7,225</w:t>
            </w:r>
          </w:p>
        </w:tc>
      </w:tr>
      <w:tr>
        <w:trPr>
          <w:trHeight w:val="197"/>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expenses related to deposits</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(2,794)</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(3,431)</w:t>
            </w:r>
          </w:p>
        </w:tc>
      </w:tr>
      <w:tr>
        <w:trPr>
          <w:trHeight w:val="208"/>
        </w:trPr>
        <w:tc>
          <w:tcPr>
            <w:tcW w:w="7020" w:type="dxa"/>
            <w:vAlign w:val="bottom"/>
          </w:tcPr>
          <w:p>
            <w:pPr>
              <w:spacing w:after="0"/>
              <w:rPr>
                <w:sz w:val="20"/>
                <w:szCs w:val="20"/>
                <w:color w:val="auto"/>
              </w:rPr>
            </w:pPr>
            <w:r>
              <w:rPr>
                <w:rFonts w:ascii="Arial" w:cs="Arial" w:eastAsia="Arial" w:hAnsi="Arial"/>
                <w:sz w:val="16"/>
                <w:szCs w:val="16"/>
                <w:color w:val="auto"/>
              </w:rPr>
              <w:t>Other income</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1,520</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2,595</w:t>
            </w:r>
          </w:p>
        </w:tc>
      </w:tr>
    </w:tbl>
    <w:p>
      <w:pPr>
        <w:spacing w:after="0" w:line="173" w:lineRule="exact"/>
        <w:rPr>
          <w:sz w:val="20"/>
          <w:szCs w:val="20"/>
          <w:color w:val="auto"/>
        </w:rPr>
      </w:pPr>
    </w:p>
    <w:p>
      <w:pPr>
        <w:ind w:left="942" w:hanging="352"/>
        <w:spacing w:after="0" w:line="310" w:lineRule="auto"/>
        <w:tabs>
          <w:tab w:leader="none" w:pos="942" w:val="left"/>
        </w:tabs>
        <w:numPr>
          <w:ilvl w:val="0"/>
          <w:numId w:val="90"/>
        </w:numPr>
        <w:rPr>
          <w:rFonts w:ascii="Arial" w:cs="Arial" w:eastAsia="Arial" w:hAnsi="Arial"/>
          <w:sz w:val="14"/>
          <w:szCs w:val="14"/>
          <w:color w:val="auto"/>
        </w:rPr>
      </w:pPr>
      <w:r>
        <w:rPr>
          <w:rFonts w:ascii="Arial" w:cs="Arial" w:eastAsia="Arial" w:hAnsi="Arial"/>
          <w:sz w:val="14"/>
          <w:szCs w:val="14"/>
          <w:color w:val="auto"/>
        </w:rPr>
        <w:t>All transactions with related parties are made in accordance with normal market conditions available to other customers. As of March 31, 2020, direct loans to related companies are secured by collateral, had maturities between Abril 2020 and January 2030, at an annual soles average interest rate of 6.21 percent and at an annual foreign currency average interest rate of 4.79 percent (as of December 31, 2019, maturities where between January 2020 and December 2028, and the annual soles average interest rate was 6.21 percent and the annual foreign currency average interest rate was 5.70 ). Also, as of March 31, 2020 and December 2019, the Group maintains an allowance for loan losses for related parties amounting to S/30.1 million and S/12.6 million, respectively.</w:t>
      </w:r>
    </w:p>
    <w:p>
      <w:pPr>
        <w:spacing w:after="0" w:line="139" w:lineRule="exact"/>
        <w:rPr>
          <w:rFonts w:ascii="Arial" w:cs="Arial" w:eastAsia="Arial" w:hAnsi="Arial"/>
          <w:sz w:val="14"/>
          <w:szCs w:val="14"/>
          <w:color w:val="auto"/>
        </w:rPr>
      </w:pPr>
    </w:p>
    <w:p>
      <w:pPr>
        <w:ind w:left="942" w:right="200" w:hanging="352"/>
        <w:spacing w:after="0" w:line="264" w:lineRule="auto"/>
        <w:tabs>
          <w:tab w:leader="none" w:pos="942" w:val="left"/>
        </w:tabs>
        <w:numPr>
          <w:ilvl w:val="0"/>
          <w:numId w:val="90"/>
        </w:numPr>
        <w:rPr>
          <w:rFonts w:ascii="Arial" w:cs="Arial" w:eastAsia="Arial" w:hAnsi="Arial"/>
          <w:sz w:val="16"/>
          <w:szCs w:val="16"/>
          <w:color w:val="auto"/>
        </w:rPr>
      </w:pPr>
      <w:r>
        <w:rPr>
          <w:rFonts w:ascii="Arial" w:cs="Arial" w:eastAsia="Arial" w:hAnsi="Arial"/>
          <w:sz w:val="16"/>
          <w:szCs w:val="16"/>
          <w:color w:val="auto"/>
        </w:rPr>
        <w:t>As of March 31, 2020 and December 31, 2019, directors, officers and employees of the Group have been involved, directly and indirectly, in credit transactions with certain subsidiaries of the Group, as permitted by Peruvian Banking and Insurance Law Nº26702, which regulates and limits certain transactions with employees, directors and officers of a bank or an insurance company. As of March 31, 2020 and December 31, 2019, direct loans to employees, directors, key management and family members amounted to S/993.4 million and S/1,003.2 million, respectively; they are repaid monthly and earn interest at market rates.</w:t>
      </w:r>
    </w:p>
    <w:p>
      <w:pPr>
        <w:spacing w:after="0" w:line="363" w:lineRule="exact"/>
        <w:rPr>
          <w:rFonts w:ascii="Arial" w:cs="Arial" w:eastAsia="Arial" w:hAnsi="Arial"/>
          <w:sz w:val="16"/>
          <w:szCs w:val="16"/>
          <w:color w:val="auto"/>
        </w:rPr>
      </w:pPr>
    </w:p>
    <w:p>
      <w:pPr>
        <w:ind w:left="5542" w:hanging="93"/>
        <w:spacing w:after="0"/>
        <w:tabs>
          <w:tab w:leader="none" w:pos="5542" w:val="left"/>
        </w:tabs>
        <w:numPr>
          <w:ilvl w:val="1"/>
          <w:numId w:val="90"/>
        </w:numPr>
        <w:rPr>
          <w:rFonts w:ascii="Arial" w:cs="Arial" w:eastAsia="Arial" w:hAnsi="Arial"/>
          <w:sz w:val="16"/>
          <w:szCs w:val="16"/>
          <w:color w:val="auto"/>
        </w:rPr>
      </w:pPr>
      <w:r>
        <w:rPr>
          <w:rFonts w:ascii="Arial" w:cs="Arial" w:eastAsia="Arial" w:hAnsi="Arial"/>
          <w:sz w:val="16"/>
          <w:szCs w:val="16"/>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35" w:right="339" w:bottom="1440" w:gutter="0" w:footer="0" w:header="0"/>
        </w:sectPr>
      </w:pPr>
    </w:p>
    <w:bookmarkStart w:id="80" w:name="page81"/>
    <w:bookmarkEnd w:id="80"/>
    <w:p>
      <w:pPr>
        <w:spacing w:after="0"/>
        <w:tabs>
          <w:tab w:leader="none" w:pos="560" w:val="left"/>
        </w:tabs>
        <w:rPr>
          <w:sz w:val="20"/>
          <w:szCs w:val="20"/>
          <w:color w:val="auto"/>
        </w:rPr>
      </w:pPr>
      <w:r>
        <w:rPr>
          <w:rFonts w:ascii="Arial" w:cs="Arial" w:eastAsia="Arial" w:hAnsi="Arial"/>
          <w:sz w:val="16"/>
          <w:szCs w:val="16"/>
          <w:b w:val="1"/>
          <w:bCs w:val="1"/>
          <w:color w:val="auto"/>
        </w:rPr>
        <w:t>33</w:t>
      </w:r>
      <w:r>
        <w:rPr>
          <w:sz w:val="20"/>
          <w:szCs w:val="20"/>
          <w:color w:val="auto"/>
        </w:rPr>
        <w:tab/>
      </w:r>
      <w:r>
        <w:rPr>
          <w:rFonts w:ascii="Arial" w:cs="Arial" w:eastAsia="Arial" w:hAnsi="Arial"/>
          <w:sz w:val="16"/>
          <w:szCs w:val="16"/>
          <w:b w:val="1"/>
          <w:bCs w:val="1"/>
          <w:color w:val="auto"/>
        </w:rPr>
        <w:t>FINANCIAL INSTRUMENTS CLASSIFICATION</w:t>
      </w:r>
    </w:p>
    <w:p>
      <w:pPr>
        <w:spacing w:after="0" w:line="213" w:lineRule="exact"/>
        <w:rPr>
          <w:sz w:val="20"/>
          <w:szCs w:val="20"/>
          <w:color w:val="auto"/>
        </w:rPr>
      </w:pPr>
    </w:p>
    <w:p>
      <w:pPr>
        <w:ind w:left="580" w:right="260"/>
        <w:spacing w:after="0" w:line="287" w:lineRule="auto"/>
        <w:rPr>
          <w:sz w:val="20"/>
          <w:szCs w:val="20"/>
          <w:color w:val="auto"/>
        </w:rPr>
      </w:pPr>
      <w:r>
        <w:rPr>
          <w:rFonts w:ascii="Arial" w:cs="Arial" w:eastAsia="Arial" w:hAnsi="Arial"/>
          <w:sz w:val="16"/>
          <w:szCs w:val="16"/>
          <w:color w:val="auto"/>
        </w:rPr>
        <w:t>The table below shows the carrying amounts of the financial assets and liabilities captions in the interim condensed consolidated statement of financial position, by categories as defined under IFRS 9 as of March 31,2020 and IAS 39 as of December 31,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ind w:left="240"/>
              <w:spacing w:after="0"/>
              <w:rPr>
                <w:sz w:val="20"/>
                <w:szCs w:val="20"/>
                <w:color w:val="auto"/>
              </w:rPr>
            </w:pPr>
            <w:r>
              <w:rPr>
                <w:rFonts w:ascii="Arial" w:cs="Arial" w:eastAsia="Arial" w:hAnsi="Arial"/>
                <w:sz w:val="11"/>
                <w:szCs w:val="11"/>
                <w:b w:val="1"/>
                <w:bCs w:val="1"/>
                <w:color w:val="auto"/>
              </w:rPr>
              <w:t>As of March 31, 2020</w:t>
            </w:r>
          </w:p>
        </w:tc>
        <w:tc>
          <w:tcPr>
            <w:tcW w:w="7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1"/>
                <w:szCs w:val="11"/>
                <w:b w:val="1"/>
                <w:bCs w:val="1"/>
                <w:color w:val="auto"/>
              </w:rPr>
              <w:t>As of December 31, 2019</w:t>
            </w: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580" w:type="dxa"/>
            <w:vAlign w:val="bottom"/>
            <w:gridSpan w:val="4"/>
          </w:tcPr>
          <w:p>
            <w:pPr>
              <w:jc w:val="center"/>
              <w:ind w:right="80"/>
              <w:spacing w:after="0" w:line="100" w:lineRule="exact"/>
              <w:rPr>
                <w:sz w:val="20"/>
                <w:szCs w:val="20"/>
                <w:color w:val="auto"/>
              </w:rPr>
            </w:pPr>
            <w:r>
              <w:rPr>
                <w:rFonts w:ascii="Arial" w:cs="Arial" w:eastAsia="Arial" w:hAnsi="Arial"/>
                <w:sz w:val="11"/>
                <w:szCs w:val="11"/>
                <w:b w:val="1"/>
                <w:bCs w:val="1"/>
                <w:color w:val="auto"/>
                <w:w w:val="91"/>
              </w:rPr>
              <w:t>Financial assets and</w:t>
            </w:r>
          </w:p>
        </w:tc>
        <w:tc>
          <w:tcPr>
            <w:tcW w:w="1640" w:type="dxa"/>
            <w:vAlign w:val="bottom"/>
            <w:gridSpan w:val="4"/>
          </w:tcPr>
          <w:p>
            <w:pPr>
              <w:jc w:val="center"/>
              <w:ind w:right="60"/>
              <w:spacing w:after="0" w:line="100" w:lineRule="exact"/>
              <w:rPr>
                <w:sz w:val="20"/>
                <w:szCs w:val="20"/>
                <w:color w:val="auto"/>
              </w:rPr>
            </w:pPr>
            <w:r>
              <w:rPr>
                <w:rFonts w:ascii="Arial" w:cs="Arial" w:eastAsia="Arial" w:hAnsi="Arial"/>
                <w:sz w:val="11"/>
                <w:szCs w:val="11"/>
                <w:b w:val="1"/>
                <w:bCs w:val="1"/>
                <w:color w:val="auto"/>
                <w:w w:val="92"/>
              </w:rPr>
              <w:t>Financial assets at fair value</w:t>
            </w: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gridSpan w:val="5"/>
          </w:tcPr>
          <w:p>
            <w:pPr>
              <w:jc w:val="center"/>
              <w:ind w:right="60"/>
              <w:spacing w:after="0" w:line="100" w:lineRule="exact"/>
              <w:rPr>
                <w:sz w:val="20"/>
                <w:szCs w:val="20"/>
                <w:color w:val="auto"/>
              </w:rPr>
            </w:pPr>
            <w:r>
              <w:rPr>
                <w:rFonts w:ascii="Arial" w:cs="Arial" w:eastAsia="Arial" w:hAnsi="Arial"/>
                <w:sz w:val="11"/>
                <w:szCs w:val="11"/>
                <w:b w:val="1"/>
                <w:bCs w:val="1"/>
                <w:color w:val="auto"/>
                <w:w w:val="91"/>
              </w:rPr>
              <w:t>Financial assets and</w:t>
            </w:r>
          </w:p>
        </w:tc>
        <w:tc>
          <w:tcPr>
            <w:tcW w:w="1660" w:type="dxa"/>
            <w:vAlign w:val="bottom"/>
            <w:gridSpan w:val="4"/>
          </w:tcPr>
          <w:p>
            <w:pPr>
              <w:jc w:val="center"/>
              <w:ind w:right="80"/>
              <w:spacing w:after="0" w:line="100" w:lineRule="exact"/>
              <w:rPr>
                <w:sz w:val="20"/>
                <w:szCs w:val="20"/>
                <w:color w:val="auto"/>
              </w:rPr>
            </w:pPr>
            <w:r>
              <w:rPr>
                <w:rFonts w:ascii="Arial" w:cs="Arial" w:eastAsia="Arial" w:hAnsi="Arial"/>
                <w:sz w:val="11"/>
                <w:szCs w:val="11"/>
                <w:b w:val="1"/>
                <w:bCs w:val="1"/>
                <w:color w:val="auto"/>
                <w:w w:val="92"/>
              </w:rPr>
              <w:t>Financial assets at fair value</w:t>
            </w: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580" w:type="dxa"/>
            <w:vAlign w:val="bottom"/>
            <w:gridSpan w:val="4"/>
          </w:tcPr>
          <w:p>
            <w:pPr>
              <w:jc w:val="center"/>
              <w:ind w:right="80"/>
              <w:spacing w:after="0" w:line="123" w:lineRule="exact"/>
              <w:rPr>
                <w:sz w:val="20"/>
                <w:szCs w:val="20"/>
                <w:color w:val="auto"/>
              </w:rPr>
            </w:pPr>
            <w:r>
              <w:rPr>
                <w:rFonts w:ascii="Arial" w:cs="Arial" w:eastAsia="Arial" w:hAnsi="Arial"/>
                <w:sz w:val="11"/>
                <w:szCs w:val="11"/>
                <w:b w:val="1"/>
                <w:bCs w:val="1"/>
                <w:color w:val="auto"/>
                <w:w w:val="97"/>
              </w:rPr>
              <w:t>liabilities at fair</w:t>
            </w:r>
          </w:p>
        </w:tc>
        <w:tc>
          <w:tcPr>
            <w:tcW w:w="1640" w:type="dxa"/>
            <w:vAlign w:val="bottom"/>
            <w:gridSpan w:val="4"/>
          </w:tcPr>
          <w:p>
            <w:pPr>
              <w:jc w:val="center"/>
              <w:ind w:right="80"/>
              <w:spacing w:after="0" w:line="123" w:lineRule="exact"/>
              <w:rPr>
                <w:sz w:val="20"/>
                <w:szCs w:val="20"/>
                <w:color w:val="auto"/>
              </w:rPr>
            </w:pPr>
            <w:r>
              <w:rPr>
                <w:rFonts w:ascii="Arial" w:cs="Arial" w:eastAsia="Arial" w:hAnsi="Arial"/>
                <w:sz w:val="11"/>
                <w:szCs w:val="11"/>
                <w:b w:val="1"/>
                <w:bCs w:val="1"/>
                <w:color w:val="auto"/>
                <w:w w:val="92"/>
              </w:rPr>
              <w:t>through other comprehensive</w:t>
            </w: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5"/>
          </w:tcPr>
          <w:p>
            <w:pPr>
              <w:jc w:val="center"/>
              <w:ind w:right="60"/>
              <w:spacing w:after="0" w:line="123" w:lineRule="exact"/>
              <w:rPr>
                <w:sz w:val="20"/>
                <w:szCs w:val="20"/>
                <w:color w:val="auto"/>
              </w:rPr>
            </w:pPr>
            <w:r>
              <w:rPr>
                <w:rFonts w:ascii="Arial" w:cs="Arial" w:eastAsia="Arial" w:hAnsi="Arial"/>
                <w:sz w:val="11"/>
                <w:szCs w:val="11"/>
                <w:b w:val="1"/>
                <w:bCs w:val="1"/>
                <w:color w:val="auto"/>
                <w:w w:val="97"/>
              </w:rPr>
              <w:t>liabilities at fair</w:t>
            </w:r>
          </w:p>
        </w:tc>
        <w:tc>
          <w:tcPr>
            <w:tcW w:w="1660" w:type="dxa"/>
            <w:vAlign w:val="bottom"/>
            <w:gridSpan w:val="4"/>
          </w:tcPr>
          <w:p>
            <w:pPr>
              <w:jc w:val="center"/>
              <w:ind w:right="60"/>
              <w:spacing w:after="0" w:line="123" w:lineRule="exact"/>
              <w:rPr>
                <w:sz w:val="20"/>
                <w:szCs w:val="20"/>
                <w:color w:val="auto"/>
              </w:rPr>
            </w:pPr>
            <w:r>
              <w:rPr>
                <w:rFonts w:ascii="Arial" w:cs="Arial" w:eastAsia="Arial" w:hAnsi="Arial"/>
                <w:sz w:val="11"/>
                <w:szCs w:val="11"/>
                <w:b w:val="1"/>
                <w:bCs w:val="1"/>
                <w:color w:val="auto"/>
                <w:w w:val="92"/>
              </w:rPr>
              <w:t>through other comprehensive</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58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93"/>
              </w:rPr>
              <w:t>value through profit or loss</w:t>
            </w:r>
          </w:p>
        </w:tc>
        <w:tc>
          <w:tcPr>
            <w:tcW w:w="1640" w:type="dxa"/>
            <w:vAlign w:val="bottom"/>
            <w:gridSpan w:val="4"/>
          </w:tcPr>
          <w:p>
            <w:pPr>
              <w:jc w:val="center"/>
              <w:ind w:right="60"/>
              <w:spacing w:after="0"/>
              <w:rPr>
                <w:sz w:val="20"/>
                <w:szCs w:val="20"/>
                <w:color w:val="auto"/>
              </w:rPr>
            </w:pPr>
            <w:r>
              <w:rPr>
                <w:rFonts w:ascii="Arial" w:cs="Arial" w:eastAsia="Arial" w:hAnsi="Arial"/>
                <w:sz w:val="11"/>
                <w:szCs w:val="11"/>
                <w:b w:val="1"/>
                <w:bCs w:val="1"/>
                <w:color w:val="auto"/>
                <w:w w:val="88"/>
              </w:rPr>
              <w:t>income</w:t>
            </w:r>
          </w:p>
        </w:tc>
        <w:tc>
          <w:tcPr>
            <w:tcW w:w="82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w w:val="92"/>
              </w:rPr>
              <w:t>Financial</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w w:val="93"/>
              </w:rPr>
              <w:t>value through profit or loss</w:t>
            </w:r>
          </w:p>
        </w:tc>
        <w:tc>
          <w:tcPr>
            <w:tcW w:w="166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8"/>
              </w:rPr>
              <w:t>income</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6"/>
              </w:rPr>
              <w:t>Financial</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w w:val="84"/>
              </w:rPr>
              <w:t>assets and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87"/>
              </w:rPr>
              <w:t>assets and</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w w:val="90"/>
              </w:rPr>
              <w:t>Investments</w:t>
            </w: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90"/>
              </w:rPr>
              <w:t>Investments</w:t>
            </w:r>
          </w:p>
        </w:tc>
        <w:tc>
          <w:tcPr>
            <w:tcW w:w="82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w w:val="93"/>
              </w:rPr>
              <w:t>liabilities</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w w:val="93"/>
              </w:rPr>
              <w:t>Investments</w:t>
            </w: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93"/>
              </w:rPr>
              <w:t>Investments</w:t>
            </w:r>
          </w:p>
        </w:tc>
        <w:tc>
          <w:tcPr>
            <w:tcW w:w="82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97"/>
              </w:rPr>
              <w:t>liabilities</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60" w:type="dxa"/>
            <w:vAlign w:val="bottom"/>
            <w:gridSpan w:val="2"/>
          </w:tcPr>
          <w:p>
            <w:pPr>
              <w:jc w:val="center"/>
              <w:ind w:right="240"/>
              <w:spacing w:after="0" w:line="123" w:lineRule="exact"/>
              <w:rPr>
                <w:sz w:val="20"/>
                <w:szCs w:val="20"/>
                <w:color w:val="auto"/>
              </w:rPr>
            </w:pPr>
            <w:r>
              <w:rPr>
                <w:rFonts w:ascii="Arial" w:cs="Arial" w:eastAsia="Arial" w:hAnsi="Arial"/>
                <w:sz w:val="11"/>
                <w:szCs w:val="11"/>
                <w:b w:val="1"/>
                <w:bCs w:val="1"/>
                <w:color w:val="auto"/>
                <w:w w:val="90"/>
              </w:rPr>
              <w:t>Investments</w:t>
            </w:r>
          </w:p>
        </w:tc>
        <w:tc>
          <w:tcPr>
            <w:tcW w:w="72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w w:val="93"/>
              </w:rPr>
              <w:t>designated at</w:t>
            </w: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w w:val="90"/>
              </w:rPr>
              <w:t>designated at</w:t>
            </w:r>
          </w:p>
        </w:tc>
        <w:tc>
          <w:tcPr>
            <w:tcW w:w="82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w w:val="92"/>
              </w:rPr>
              <w:t>measured at</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140"/>
              <w:spacing w:after="0" w:line="123" w:lineRule="exact"/>
              <w:rPr>
                <w:sz w:val="20"/>
                <w:szCs w:val="20"/>
                <w:color w:val="auto"/>
              </w:rPr>
            </w:pPr>
            <w:r>
              <w:rPr>
                <w:rFonts w:ascii="Arial" w:cs="Arial" w:eastAsia="Arial" w:hAnsi="Arial"/>
                <w:sz w:val="11"/>
                <w:szCs w:val="11"/>
                <w:b w:val="1"/>
                <w:bCs w:val="1"/>
                <w:color w:val="auto"/>
                <w:w w:val="90"/>
              </w:rPr>
              <w:t>Investments</w:t>
            </w:r>
          </w:p>
        </w:tc>
        <w:tc>
          <w:tcPr>
            <w:tcW w:w="820" w:type="dxa"/>
            <w:vAlign w:val="bottom"/>
            <w:gridSpan w:val="3"/>
          </w:tcPr>
          <w:p>
            <w:pPr>
              <w:jc w:val="center"/>
              <w:ind w:left="3"/>
              <w:spacing w:after="0" w:line="123" w:lineRule="exact"/>
              <w:rPr>
                <w:sz w:val="20"/>
                <w:szCs w:val="20"/>
                <w:color w:val="auto"/>
              </w:rPr>
            </w:pPr>
            <w:r>
              <w:rPr>
                <w:rFonts w:ascii="Arial" w:cs="Arial" w:eastAsia="Arial" w:hAnsi="Arial"/>
                <w:sz w:val="11"/>
                <w:szCs w:val="11"/>
                <w:b w:val="1"/>
                <w:bCs w:val="1"/>
                <w:color w:val="auto"/>
                <w:w w:val="90"/>
              </w:rPr>
              <w:t>designated at</w:t>
            </w: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90"/>
              </w:rPr>
              <w:t>designated at</w:t>
            </w:r>
          </w:p>
        </w:tc>
        <w:tc>
          <w:tcPr>
            <w:tcW w:w="82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2"/>
              </w:rPr>
              <w:t>measured at</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and hedges</w:t>
            </w:r>
          </w:p>
        </w:tc>
        <w:tc>
          <w:tcPr>
            <w:tcW w:w="7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3"/>
              </w:rPr>
              <w:t>inception</w:t>
            </w:r>
          </w:p>
        </w:tc>
        <w:tc>
          <w:tcPr>
            <w:tcW w:w="94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w w:val="93"/>
              </w:rPr>
              <w:t>Investments</w:t>
            </w:r>
          </w:p>
        </w:tc>
        <w:tc>
          <w:tcPr>
            <w:tcW w:w="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inception</w:t>
            </w:r>
          </w:p>
        </w:tc>
        <w:tc>
          <w:tcPr>
            <w:tcW w:w="8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amortized cost</w:t>
            </w:r>
          </w:p>
        </w:tc>
        <w:tc>
          <w:tcPr>
            <w:tcW w:w="7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Total</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1"/>
              </w:rPr>
              <w:t>and hedges</w:t>
            </w:r>
          </w:p>
        </w:tc>
        <w:tc>
          <w:tcPr>
            <w:tcW w:w="12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inception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Investments</w:t>
            </w:r>
          </w:p>
        </w:tc>
        <w:tc>
          <w:tcPr>
            <w:tcW w:w="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inception</w:t>
            </w:r>
          </w:p>
        </w:tc>
        <w:tc>
          <w:tcPr>
            <w:tcW w:w="8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amortized cost</w:t>
            </w:r>
          </w:p>
        </w:tc>
        <w:tc>
          <w:tcPr>
            <w:tcW w:w="640" w:type="dxa"/>
            <w:vAlign w:val="bottom"/>
            <w:gridSpan w:val="2"/>
          </w:tcPr>
          <w:p>
            <w:pPr>
              <w:ind w:left="1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240" w:type="dxa"/>
            <w:vAlign w:val="bottom"/>
          </w:tcPr>
          <w:p>
            <w:pPr>
              <w:spacing w:after="0"/>
              <w:rPr>
                <w:sz w:val="10"/>
                <w:szCs w:val="10"/>
                <w:color w:val="auto"/>
              </w:rPr>
            </w:pPr>
          </w:p>
        </w:tc>
        <w:tc>
          <w:tcPr>
            <w:tcW w:w="6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80" w:type="dxa"/>
            <w:vAlign w:val="bottom"/>
          </w:tcPr>
          <w:p>
            <w:pPr>
              <w:spacing w:after="0"/>
              <w:rPr>
                <w:sz w:val="10"/>
                <w:szCs w:val="10"/>
                <w:color w:val="auto"/>
              </w:rPr>
            </w:pPr>
          </w:p>
        </w:tc>
        <w:tc>
          <w:tcPr>
            <w:tcW w:w="660" w:type="dxa"/>
            <w:vAlign w:val="bottom"/>
            <w:tcBorders>
              <w:top w:val="single" w:sz="8" w:color="auto"/>
            </w:tcBorders>
          </w:tcPr>
          <w:p>
            <w:pPr>
              <w:jc w:val="right"/>
              <w:ind w:right="103"/>
              <w:spacing w:after="0" w:line="115" w:lineRule="exact"/>
              <w:rPr>
                <w:sz w:val="20"/>
                <w:szCs w:val="20"/>
                <w:color w:val="auto"/>
              </w:rPr>
            </w:pPr>
            <w:r>
              <w:rPr>
                <w:rFonts w:ascii="Arial" w:cs="Arial" w:eastAsia="Arial" w:hAnsi="Arial"/>
                <w:sz w:val="11"/>
                <w:szCs w:val="11"/>
                <w:b w:val="1"/>
                <w:bCs w:val="1"/>
                <w:color w:val="auto"/>
              </w:rPr>
              <w:t>S/(000)</w:t>
            </w:r>
          </w:p>
        </w:tc>
        <w:tc>
          <w:tcPr>
            <w:tcW w:w="280" w:type="dxa"/>
            <w:vAlign w:val="bottom"/>
          </w:tcPr>
          <w:p>
            <w:pPr>
              <w:spacing w:after="0"/>
              <w:rPr>
                <w:sz w:val="10"/>
                <w:szCs w:val="10"/>
                <w:color w:val="auto"/>
              </w:rPr>
            </w:pPr>
          </w:p>
        </w:tc>
        <w:tc>
          <w:tcPr>
            <w:tcW w:w="6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60" w:type="dxa"/>
            <w:vAlign w:val="bottom"/>
          </w:tcPr>
          <w:p>
            <w:pPr>
              <w:spacing w:after="0"/>
              <w:rPr>
                <w:sz w:val="10"/>
                <w:szCs w:val="10"/>
                <w:color w:val="auto"/>
              </w:rPr>
            </w:pPr>
          </w:p>
        </w:tc>
        <w:tc>
          <w:tcPr>
            <w:tcW w:w="76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9"/>
              </w:rPr>
              <w:t>S/(000)</w:t>
            </w:r>
          </w:p>
        </w:tc>
        <w:tc>
          <w:tcPr>
            <w:tcW w:w="60" w:type="dxa"/>
            <w:vAlign w:val="bottom"/>
          </w:tcPr>
          <w:p>
            <w:pPr>
              <w:spacing w:after="0"/>
              <w:rPr>
                <w:sz w:val="10"/>
                <w:szCs w:val="10"/>
                <w:color w:val="auto"/>
              </w:rPr>
            </w:pPr>
          </w:p>
        </w:tc>
        <w:tc>
          <w:tcPr>
            <w:tcW w:w="620" w:type="dxa"/>
            <w:vAlign w:val="bottom"/>
            <w:tcBorders>
              <w:top w:val="single" w:sz="8" w:color="auto"/>
            </w:tcBorders>
          </w:tcPr>
          <w:p>
            <w:pPr>
              <w:jc w:val="right"/>
              <w:ind w:right="83"/>
              <w:spacing w:after="0" w:line="115" w:lineRule="exact"/>
              <w:rPr>
                <w:sz w:val="20"/>
                <w:szCs w:val="20"/>
                <w:color w:val="auto"/>
              </w:rPr>
            </w:pPr>
            <w:r>
              <w:rPr>
                <w:rFonts w:ascii="Arial" w:cs="Arial" w:eastAsia="Arial" w:hAnsi="Arial"/>
                <w:sz w:val="11"/>
                <w:szCs w:val="11"/>
                <w:b w:val="1"/>
                <w:bCs w:val="1"/>
                <w:color w:val="auto"/>
              </w:rPr>
              <w:t>S/(000)</w:t>
            </w:r>
          </w:p>
        </w:tc>
        <w:tc>
          <w:tcPr>
            <w:tcW w:w="80" w:type="dxa"/>
            <w:vAlign w:val="bottom"/>
          </w:tcPr>
          <w:p>
            <w:pPr>
              <w:spacing w:after="0"/>
              <w:rPr>
                <w:sz w:val="10"/>
                <w:szCs w:val="10"/>
                <w:color w:val="auto"/>
              </w:rPr>
            </w:pPr>
          </w:p>
        </w:tc>
        <w:tc>
          <w:tcPr>
            <w:tcW w:w="600" w:type="dxa"/>
            <w:vAlign w:val="bottom"/>
            <w:tcBorders>
              <w:top w:val="single" w:sz="8" w:color="auto"/>
            </w:tcBorders>
          </w:tcPr>
          <w:p>
            <w:pPr>
              <w:jc w:val="right"/>
              <w:ind w:right="63"/>
              <w:spacing w:after="0" w:line="115" w:lineRule="exact"/>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60" w:type="dxa"/>
            <w:vAlign w:val="bottom"/>
          </w:tcPr>
          <w:p>
            <w:pPr>
              <w:spacing w:after="0"/>
              <w:rPr>
                <w:sz w:val="10"/>
                <w:szCs w:val="10"/>
                <w:color w:val="auto"/>
              </w:rPr>
            </w:pPr>
          </w:p>
        </w:tc>
        <w:tc>
          <w:tcPr>
            <w:tcW w:w="680" w:type="dxa"/>
            <w:vAlign w:val="bottom"/>
            <w:tcBorders>
              <w:top w:val="single" w:sz="8" w:color="auto"/>
            </w:tcBorders>
          </w:tcPr>
          <w:p>
            <w:pPr>
              <w:jc w:val="right"/>
              <w:ind w:right="103"/>
              <w:spacing w:after="0" w:line="115" w:lineRule="exact"/>
              <w:rPr>
                <w:sz w:val="20"/>
                <w:szCs w:val="20"/>
                <w:color w:val="auto"/>
              </w:rPr>
            </w:pPr>
            <w:r>
              <w:rPr>
                <w:rFonts w:ascii="Arial" w:cs="Arial" w:eastAsia="Arial" w:hAnsi="Arial"/>
                <w:sz w:val="11"/>
                <w:szCs w:val="11"/>
                <w:b w:val="1"/>
                <w:bCs w:val="1"/>
                <w:color w:val="auto"/>
              </w:rPr>
              <w:t>S/(000)</w:t>
            </w:r>
          </w:p>
        </w:tc>
        <w:tc>
          <w:tcPr>
            <w:tcW w:w="260" w:type="dxa"/>
            <w:vAlign w:val="bottom"/>
          </w:tcPr>
          <w:p>
            <w:pPr>
              <w:spacing w:after="0"/>
              <w:rPr>
                <w:sz w:val="10"/>
                <w:szCs w:val="10"/>
                <w:color w:val="auto"/>
              </w:rPr>
            </w:pPr>
          </w:p>
        </w:tc>
        <w:tc>
          <w:tcPr>
            <w:tcW w:w="6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9"/>
              </w:rPr>
              <w:t>S/(000)</w:t>
            </w:r>
          </w:p>
        </w:tc>
        <w:tc>
          <w:tcPr>
            <w:tcW w:w="80" w:type="dxa"/>
            <w:vAlign w:val="bottom"/>
          </w:tcPr>
          <w:p>
            <w:pPr>
              <w:spacing w:after="0"/>
              <w:rPr>
                <w:sz w:val="10"/>
                <w:szCs w:val="10"/>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80" w:type="dxa"/>
            <w:vAlign w:val="bottom"/>
          </w:tcPr>
          <w:p>
            <w:pPr>
              <w:spacing w:after="0"/>
              <w:rPr>
                <w:sz w:val="10"/>
                <w:szCs w:val="10"/>
                <w:color w:val="auto"/>
              </w:rPr>
            </w:pPr>
          </w:p>
        </w:tc>
        <w:tc>
          <w:tcPr>
            <w:tcW w:w="620" w:type="dxa"/>
            <w:vAlign w:val="bottom"/>
            <w:tcBorders>
              <w:top w:val="single" w:sz="8" w:color="auto"/>
            </w:tcBorders>
          </w:tcPr>
          <w:p>
            <w:pPr>
              <w:jc w:val="right"/>
              <w:ind w:right="83"/>
              <w:spacing w:after="0" w:line="115" w:lineRule="exact"/>
              <w:rPr>
                <w:sz w:val="20"/>
                <w:szCs w:val="20"/>
                <w:color w:val="auto"/>
              </w:rPr>
            </w:pPr>
            <w:r>
              <w:rPr>
                <w:rFonts w:ascii="Arial" w:cs="Arial" w:eastAsia="Arial" w:hAnsi="Arial"/>
                <w:sz w:val="11"/>
                <w:szCs w:val="11"/>
                <w:b w:val="1"/>
                <w:bCs w:val="1"/>
                <w:color w:val="auto"/>
              </w:rPr>
              <w:t>S/(000)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0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Assets</w:t>
            </w: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1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190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Cash and due from banks</w:t>
            </w:r>
          </w:p>
        </w:tc>
        <w:tc>
          <w:tcPr>
            <w:tcW w:w="860" w:type="dxa"/>
            <w:vAlign w:val="bottom"/>
            <w:gridSpan w:val="2"/>
            <w:shd w:val="clear" w:color="auto" w:fill="CCEEFF"/>
          </w:tcPr>
          <w:p>
            <w:pPr>
              <w:jc w:val="right"/>
              <w:ind w:right="24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80"/>
              <w:spacing w:after="0" w:line="123"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60"/>
              <w:spacing w:after="0" w:line="123" w:lineRule="exact"/>
              <w:rPr>
                <w:sz w:val="20"/>
                <w:szCs w:val="20"/>
                <w:color w:val="auto"/>
              </w:rPr>
            </w:pPr>
            <w:r>
              <w:rPr>
                <w:rFonts w:ascii="Arial" w:cs="Arial" w:eastAsia="Arial" w:hAnsi="Arial"/>
                <w:sz w:val="11"/>
                <w:szCs w:val="11"/>
                <w:color w:val="auto"/>
              </w:rPr>
              <w:t>26,325,786</w:t>
            </w:r>
          </w:p>
        </w:tc>
        <w:tc>
          <w:tcPr>
            <w:tcW w:w="70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26,325,786</w:t>
            </w:r>
          </w:p>
        </w:tc>
        <w:tc>
          <w:tcPr>
            <w:tcW w:w="74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3"/>
            <w:shd w:val="clear" w:color="auto" w:fill="CCEEFF"/>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6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25,986,762</w:t>
            </w:r>
          </w:p>
        </w:tc>
        <w:tc>
          <w:tcPr>
            <w:tcW w:w="64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25,986,762</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900" w:type="dxa"/>
            <w:vAlign w:val="bottom"/>
          </w:tcPr>
          <w:p>
            <w:pPr>
              <w:spacing w:after="0" w:line="109" w:lineRule="exact"/>
              <w:rPr>
                <w:sz w:val="20"/>
                <w:szCs w:val="20"/>
                <w:color w:val="auto"/>
              </w:rPr>
            </w:pPr>
            <w:r>
              <w:rPr>
                <w:rFonts w:ascii="Arial" w:cs="Arial" w:eastAsia="Arial" w:hAnsi="Arial"/>
                <w:sz w:val="11"/>
                <w:szCs w:val="11"/>
                <w:color w:val="auto"/>
              </w:rPr>
              <w:t>Guarantee funds, reverse repurchase</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920" w:type="dxa"/>
            <w:vAlign w:val="bottom"/>
            <w:gridSpan w:val="2"/>
          </w:tcPr>
          <w:p>
            <w:pPr>
              <w:spacing w:after="0"/>
              <w:rPr>
                <w:sz w:val="20"/>
                <w:szCs w:val="20"/>
                <w:color w:val="auto"/>
              </w:rPr>
            </w:pPr>
            <w:r>
              <w:rPr>
                <w:rFonts w:ascii="Arial" w:cs="Arial" w:eastAsia="Arial" w:hAnsi="Arial"/>
                <w:sz w:val="11"/>
                <w:szCs w:val="11"/>
                <w:color w:val="auto"/>
              </w:rPr>
              <w:t>agreements and securities borrowings</w:t>
            </w: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4,424,345</w:t>
            </w: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4,424,345</w:t>
            </w: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4,288,524</w:t>
            </w:r>
          </w:p>
        </w:tc>
        <w:tc>
          <w:tcPr>
            <w:tcW w:w="80" w:type="dxa"/>
            <w:vAlign w:val="bottom"/>
          </w:tcPr>
          <w:p>
            <w:pPr>
              <w:spacing w:after="0"/>
              <w:rPr>
                <w:sz w:val="11"/>
                <w:szCs w:val="1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4,288,524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0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At fair value through profit or loss</w:t>
            </w:r>
          </w:p>
        </w:tc>
        <w:tc>
          <w:tcPr>
            <w:tcW w:w="860" w:type="dxa"/>
            <w:vAlign w:val="bottom"/>
            <w:gridSpan w:val="2"/>
            <w:shd w:val="clear" w:color="auto" w:fill="CCEEFF"/>
          </w:tcPr>
          <w:p>
            <w:pPr>
              <w:jc w:val="right"/>
              <w:ind w:right="240"/>
              <w:spacing w:after="0" w:line="123" w:lineRule="exact"/>
              <w:rPr>
                <w:sz w:val="20"/>
                <w:szCs w:val="20"/>
                <w:color w:val="auto"/>
              </w:rPr>
            </w:pPr>
            <w:r>
              <w:rPr>
                <w:rFonts w:ascii="Arial" w:cs="Arial" w:eastAsia="Arial" w:hAnsi="Arial"/>
                <w:sz w:val="11"/>
                <w:szCs w:val="11"/>
                <w:color w:val="auto"/>
              </w:rPr>
              <w:t>4,185,638</w:t>
            </w:r>
          </w:p>
        </w:tc>
        <w:tc>
          <w:tcPr>
            <w:tcW w:w="72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80"/>
              <w:spacing w:after="0" w:line="123"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4,185,638</w:t>
            </w:r>
          </w:p>
        </w:tc>
        <w:tc>
          <w:tcPr>
            <w:tcW w:w="74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3,850,762</w:t>
            </w:r>
          </w:p>
        </w:tc>
        <w:tc>
          <w:tcPr>
            <w:tcW w:w="820" w:type="dxa"/>
            <w:vAlign w:val="bottom"/>
            <w:gridSpan w:val="3"/>
            <w:shd w:val="clear" w:color="auto" w:fill="CCEEFF"/>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6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3,850,762</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900" w:type="dxa"/>
            <w:vAlign w:val="bottom"/>
          </w:tcPr>
          <w:p>
            <w:pPr>
              <w:spacing w:after="0" w:line="109" w:lineRule="exact"/>
              <w:rPr>
                <w:sz w:val="20"/>
                <w:szCs w:val="20"/>
                <w:color w:val="auto"/>
              </w:rPr>
            </w:pPr>
            <w:r>
              <w:rPr>
                <w:rFonts w:ascii="Arial" w:cs="Arial" w:eastAsia="Arial" w:hAnsi="Arial"/>
                <w:sz w:val="11"/>
                <w:szCs w:val="11"/>
                <w:color w:val="auto"/>
              </w:rPr>
              <w:t>Investments at fair value through other</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920" w:type="dxa"/>
            <w:vAlign w:val="bottom"/>
            <w:gridSpan w:val="2"/>
          </w:tcPr>
          <w:p>
            <w:pPr>
              <w:spacing w:after="0"/>
              <w:rPr>
                <w:sz w:val="20"/>
                <w:szCs w:val="20"/>
                <w:color w:val="auto"/>
              </w:rPr>
            </w:pPr>
            <w:r>
              <w:rPr>
                <w:rFonts w:ascii="Arial" w:cs="Arial" w:eastAsia="Arial" w:hAnsi="Arial"/>
                <w:sz w:val="11"/>
                <w:szCs w:val="11"/>
                <w:color w:val="auto"/>
              </w:rPr>
              <w:t>comprehensive income, note 6(b)</w:t>
            </w: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27,865,207</w:t>
            </w: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523,165</w:t>
            </w:r>
          </w:p>
        </w:tc>
        <w:tc>
          <w:tcPr>
            <w:tcW w:w="8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28,388,372</w:t>
            </w: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25,623,934</w:t>
            </w: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578,789</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26,202,723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0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Amortized cost investments</w:t>
            </w:r>
          </w:p>
        </w:tc>
        <w:tc>
          <w:tcPr>
            <w:tcW w:w="860" w:type="dxa"/>
            <w:vAlign w:val="bottom"/>
            <w:gridSpan w:val="2"/>
            <w:shd w:val="clear" w:color="auto" w:fill="CCEEFF"/>
          </w:tcPr>
          <w:p>
            <w:pPr>
              <w:jc w:val="right"/>
              <w:ind w:right="24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80"/>
              <w:spacing w:after="0" w:line="123"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4,242,643</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4,242,643</w:t>
            </w:r>
          </w:p>
        </w:tc>
        <w:tc>
          <w:tcPr>
            <w:tcW w:w="74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3"/>
            <w:shd w:val="clear" w:color="auto" w:fill="CCEEFF"/>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6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3,477,046</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3,477,046</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00" w:type="dxa"/>
            <w:vAlign w:val="bottom"/>
          </w:tcPr>
          <w:p>
            <w:pPr>
              <w:spacing w:after="0" w:line="123" w:lineRule="exact"/>
              <w:rPr>
                <w:sz w:val="20"/>
                <w:szCs w:val="20"/>
                <w:color w:val="auto"/>
              </w:rPr>
            </w:pPr>
            <w:r>
              <w:rPr>
                <w:rFonts w:ascii="Arial" w:cs="Arial" w:eastAsia="Arial" w:hAnsi="Arial"/>
                <w:sz w:val="11"/>
                <w:szCs w:val="11"/>
                <w:color w:val="auto"/>
              </w:rPr>
              <w:t>Loans, net</w:t>
            </w:r>
          </w:p>
        </w:tc>
        <w:tc>
          <w:tcPr>
            <w:tcW w:w="860" w:type="dxa"/>
            <w:vAlign w:val="bottom"/>
            <w:gridSpan w:val="2"/>
          </w:tcPr>
          <w:p>
            <w:pPr>
              <w:jc w:val="right"/>
              <w:ind w:right="24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80"/>
              <w:spacing w:after="0" w:line="123"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60"/>
              <w:spacing w:after="0" w:line="123" w:lineRule="exact"/>
              <w:rPr>
                <w:sz w:val="20"/>
                <w:szCs w:val="20"/>
                <w:color w:val="auto"/>
              </w:rPr>
            </w:pPr>
            <w:r>
              <w:rPr>
                <w:rFonts w:ascii="Arial" w:cs="Arial" w:eastAsia="Arial" w:hAnsi="Arial"/>
                <w:sz w:val="11"/>
                <w:szCs w:val="11"/>
                <w:color w:val="auto"/>
              </w:rPr>
              <w:t>114,776,743</w:t>
            </w:r>
          </w:p>
        </w:tc>
        <w:tc>
          <w:tcPr>
            <w:tcW w:w="70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w w:val="98"/>
              </w:rPr>
              <w:t>114,776,743</w:t>
            </w:r>
          </w:p>
        </w:tc>
        <w:tc>
          <w:tcPr>
            <w:tcW w:w="74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3"/>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6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110,485,717</w:t>
            </w:r>
          </w:p>
        </w:tc>
        <w:tc>
          <w:tcPr>
            <w:tcW w:w="64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w w:val="98"/>
              </w:rPr>
              <w:t>110,485,717</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9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w w:val="96"/>
              </w:rPr>
              <w:t>Financial assets designated at fair value</w:t>
            </w:r>
          </w:p>
        </w:tc>
        <w:tc>
          <w:tcPr>
            <w:tcW w:w="6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1"/>
                <w:szCs w:val="11"/>
                <w:color w:val="auto"/>
              </w:rPr>
              <w:t>through profit or loss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559,321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559,321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620,544</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620,544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00" w:type="dxa"/>
            <w:vAlign w:val="bottom"/>
          </w:tcPr>
          <w:p>
            <w:pPr>
              <w:spacing w:after="0" w:line="123" w:lineRule="exact"/>
              <w:rPr>
                <w:sz w:val="20"/>
                <w:szCs w:val="20"/>
                <w:color w:val="auto"/>
              </w:rPr>
            </w:pPr>
            <w:r>
              <w:rPr>
                <w:rFonts w:ascii="Arial" w:cs="Arial" w:eastAsia="Arial" w:hAnsi="Arial"/>
                <w:sz w:val="11"/>
                <w:szCs w:val="11"/>
                <w:color w:val="auto"/>
                <w:w w:val="97"/>
              </w:rPr>
              <w:t>Premiums and other policies receivable</w:t>
            </w:r>
          </w:p>
        </w:tc>
        <w:tc>
          <w:tcPr>
            <w:tcW w:w="860" w:type="dxa"/>
            <w:vAlign w:val="bottom"/>
            <w:gridSpan w:val="2"/>
          </w:tcPr>
          <w:p>
            <w:pPr>
              <w:jc w:val="right"/>
              <w:ind w:right="24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80"/>
              <w:spacing w:after="0" w:line="123"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3" w:lineRule="exact"/>
              <w:rPr>
                <w:sz w:val="20"/>
                <w:szCs w:val="20"/>
                <w:color w:val="auto"/>
              </w:rPr>
            </w:pPr>
            <w:r>
              <w:rPr>
                <w:rFonts w:ascii="Arial" w:cs="Arial" w:eastAsia="Arial" w:hAnsi="Arial"/>
                <w:sz w:val="11"/>
                <w:szCs w:val="11"/>
                <w:color w:val="auto"/>
              </w:rPr>
              <w:t>822,669</w:t>
            </w:r>
          </w:p>
        </w:tc>
        <w:tc>
          <w:tcPr>
            <w:tcW w:w="60" w:type="dxa"/>
            <w:vAlign w:val="bottom"/>
          </w:tcPr>
          <w:p>
            <w:pPr>
              <w:spacing w:after="0"/>
              <w:rPr>
                <w:sz w:val="10"/>
                <w:szCs w:val="10"/>
                <w:color w:val="auto"/>
              </w:rPr>
            </w:pPr>
          </w:p>
        </w:tc>
        <w:tc>
          <w:tcPr>
            <w:tcW w:w="70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822,669</w:t>
            </w:r>
          </w:p>
        </w:tc>
        <w:tc>
          <w:tcPr>
            <w:tcW w:w="74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3"/>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6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838,731</w:t>
            </w:r>
          </w:p>
        </w:tc>
        <w:tc>
          <w:tcPr>
            <w:tcW w:w="64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838,731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9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w w:val="95"/>
              </w:rPr>
              <w:t>Accounts receivable from reinsurers and</w:t>
            </w:r>
          </w:p>
        </w:tc>
        <w:tc>
          <w:tcPr>
            <w:tcW w:w="6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1"/>
                <w:szCs w:val="11"/>
                <w:color w:val="auto"/>
              </w:rPr>
              <w:t>coinsurers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787,672</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787,672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791,704</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791,704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00" w:type="dxa"/>
            <w:vAlign w:val="bottom"/>
          </w:tcPr>
          <w:p>
            <w:pPr>
              <w:spacing w:after="0" w:line="123" w:lineRule="exact"/>
              <w:rPr>
                <w:sz w:val="20"/>
                <w:szCs w:val="20"/>
                <w:color w:val="auto"/>
              </w:rPr>
            </w:pPr>
            <w:r>
              <w:rPr>
                <w:rFonts w:ascii="Arial" w:cs="Arial" w:eastAsia="Arial" w:hAnsi="Arial"/>
                <w:sz w:val="11"/>
                <w:szCs w:val="11"/>
                <w:color w:val="auto"/>
              </w:rPr>
              <w:t>Due from customers on acceptances</w:t>
            </w:r>
          </w:p>
        </w:tc>
        <w:tc>
          <w:tcPr>
            <w:tcW w:w="860" w:type="dxa"/>
            <w:vAlign w:val="bottom"/>
            <w:gridSpan w:val="2"/>
          </w:tcPr>
          <w:p>
            <w:pPr>
              <w:jc w:val="right"/>
              <w:ind w:right="24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80"/>
              <w:spacing w:after="0" w:line="123"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3" w:lineRule="exact"/>
              <w:rPr>
                <w:sz w:val="20"/>
                <w:szCs w:val="20"/>
                <w:color w:val="auto"/>
              </w:rPr>
            </w:pPr>
            <w:r>
              <w:rPr>
                <w:rFonts w:ascii="Arial" w:cs="Arial" w:eastAsia="Arial" w:hAnsi="Arial"/>
                <w:sz w:val="11"/>
                <w:szCs w:val="11"/>
                <w:color w:val="auto"/>
              </w:rPr>
              <w:t>555,598</w:t>
            </w:r>
          </w:p>
        </w:tc>
        <w:tc>
          <w:tcPr>
            <w:tcW w:w="60" w:type="dxa"/>
            <w:vAlign w:val="bottom"/>
          </w:tcPr>
          <w:p>
            <w:pPr>
              <w:spacing w:after="0"/>
              <w:rPr>
                <w:sz w:val="10"/>
                <w:szCs w:val="10"/>
                <w:color w:val="auto"/>
              </w:rPr>
            </w:pPr>
          </w:p>
        </w:tc>
        <w:tc>
          <w:tcPr>
            <w:tcW w:w="70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555,598</w:t>
            </w:r>
          </w:p>
        </w:tc>
        <w:tc>
          <w:tcPr>
            <w:tcW w:w="74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3"/>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6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535,222</w:t>
            </w:r>
          </w:p>
        </w:tc>
        <w:tc>
          <w:tcPr>
            <w:tcW w:w="64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535,222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1"/>
                <w:szCs w:val="11"/>
                <w:color w:val="auto"/>
              </w:rPr>
              <w:t>Other assets, note 13(a)</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1,790,770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2,773,091</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4,563,861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1,092,107</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1,700,861</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2,792,968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5,976,408</w:t>
            </w:r>
          </w:p>
        </w:tc>
        <w:tc>
          <w:tcPr>
            <w:tcW w:w="240" w:type="dxa"/>
            <w:vAlign w:val="bottom"/>
            <w:tcBorders>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559,321</w:t>
            </w:r>
          </w:p>
        </w:tc>
        <w:tc>
          <w:tcPr>
            <w:tcW w:w="8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27,865,207</w:t>
            </w:r>
          </w:p>
        </w:tc>
        <w:tc>
          <w:tcPr>
            <w:tcW w:w="280" w:type="dxa"/>
            <w:vAlign w:val="bottom"/>
            <w:tcBorders>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523,165</w:t>
            </w:r>
          </w:p>
        </w:tc>
        <w:tc>
          <w:tcPr>
            <w:tcW w:w="60" w:type="dxa"/>
            <w:vAlign w:val="bottom"/>
            <w:tcBorders>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154,708,547</w:t>
            </w:r>
          </w:p>
        </w:tc>
        <w:tc>
          <w:tcPr>
            <w:tcW w:w="60" w:type="dxa"/>
            <w:vAlign w:val="bottom"/>
            <w:tcBorders>
              <w:bottom w:val="single" w:sz="8" w:color="CCEEFF"/>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8"/>
              </w:rPr>
              <w:t>189,632,648</w:t>
            </w:r>
          </w:p>
        </w:tc>
        <w:tc>
          <w:tcPr>
            <w:tcW w:w="80" w:type="dxa"/>
            <w:vAlign w:val="bottom"/>
            <w:tcBorders>
              <w:bottom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4,942,869</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620,544</w:t>
            </w:r>
          </w:p>
        </w:tc>
        <w:tc>
          <w:tcPr>
            <w:tcW w:w="6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25,623,934</w:t>
            </w:r>
          </w:p>
        </w:tc>
        <w:tc>
          <w:tcPr>
            <w:tcW w:w="260" w:type="dxa"/>
            <w:vAlign w:val="bottom"/>
            <w:tcBorders>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578,789</w:t>
            </w:r>
          </w:p>
        </w:tc>
        <w:tc>
          <w:tcPr>
            <w:tcW w:w="8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148,104,567</w:t>
            </w:r>
          </w:p>
        </w:tc>
        <w:tc>
          <w:tcPr>
            <w:tcW w:w="80" w:type="dxa"/>
            <w:vAlign w:val="bottom"/>
            <w:tcBorders>
              <w:bottom w:val="single" w:sz="8" w:color="CCEEFF"/>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8"/>
              </w:rPr>
              <w:t>179,870,703</w:t>
            </w: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1900" w:type="dxa"/>
            <w:vAlign w:val="bottom"/>
          </w:tcPr>
          <w:p>
            <w:pPr>
              <w:spacing w:after="0" w:line="123" w:lineRule="exact"/>
              <w:rPr>
                <w:sz w:val="20"/>
                <w:szCs w:val="20"/>
                <w:color w:val="auto"/>
              </w:rPr>
            </w:pPr>
            <w:r>
              <w:rPr>
                <w:rFonts w:ascii="Arial" w:cs="Arial" w:eastAsia="Arial" w:hAnsi="Arial"/>
                <w:sz w:val="11"/>
                <w:szCs w:val="11"/>
                <w:b w:val="1"/>
                <w:bCs w:val="1"/>
                <w:color w:val="auto"/>
              </w:rPr>
              <w:t>Liabilities</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1900" w:type="dxa"/>
            <w:vAlign w:val="bottom"/>
          </w:tcPr>
          <w:p>
            <w:pPr>
              <w:spacing w:after="0" w:line="123" w:lineRule="exact"/>
              <w:rPr>
                <w:sz w:val="20"/>
                <w:szCs w:val="20"/>
                <w:color w:val="auto"/>
              </w:rPr>
            </w:pPr>
            <w:r>
              <w:rPr>
                <w:rFonts w:ascii="Arial" w:cs="Arial" w:eastAsia="Arial" w:hAnsi="Arial"/>
                <w:sz w:val="11"/>
                <w:szCs w:val="11"/>
                <w:color w:val="auto"/>
              </w:rPr>
              <w:t>Deposits and obligations</w:t>
            </w:r>
          </w:p>
        </w:tc>
        <w:tc>
          <w:tcPr>
            <w:tcW w:w="860" w:type="dxa"/>
            <w:vAlign w:val="bottom"/>
            <w:gridSpan w:val="2"/>
          </w:tcPr>
          <w:p>
            <w:pPr>
              <w:jc w:val="right"/>
              <w:ind w:right="24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80"/>
              <w:spacing w:after="0" w:line="123"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60"/>
              <w:spacing w:after="0" w:line="123" w:lineRule="exact"/>
              <w:rPr>
                <w:sz w:val="20"/>
                <w:szCs w:val="20"/>
                <w:color w:val="auto"/>
              </w:rPr>
            </w:pPr>
            <w:r>
              <w:rPr>
                <w:rFonts w:ascii="Arial" w:cs="Arial" w:eastAsia="Arial" w:hAnsi="Arial"/>
                <w:sz w:val="11"/>
                <w:szCs w:val="11"/>
                <w:color w:val="auto"/>
              </w:rPr>
              <w:t>119,563,545</w:t>
            </w:r>
          </w:p>
        </w:tc>
        <w:tc>
          <w:tcPr>
            <w:tcW w:w="70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w w:val="98"/>
              </w:rPr>
              <w:t>119,563,545</w:t>
            </w:r>
          </w:p>
        </w:tc>
        <w:tc>
          <w:tcPr>
            <w:tcW w:w="74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3"/>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6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112,005,385</w:t>
            </w:r>
          </w:p>
        </w:tc>
        <w:tc>
          <w:tcPr>
            <w:tcW w:w="64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w w:val="98"/>
              </w:rPr>
              <w:t>112,005,385</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9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w w:val="99"/>
              </w:rPr>
              <w:t>Payables from repurchase agreements</w:t>
            </w:r>
          </w:p>
        </w:tc>
        <w:tc>
          <w:tcPr>
            <w:tcW w:w="6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1"/>
                <w:szCs w:val="11"/>
                <w:color w:val="auto"/>
              </w:rPr>
              <w:t>and securities lending</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8,254,726</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8,254,726</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7,678,016</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7,678,016</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00" w:type="dxa"/>
            <w:vAlign w:val="bottom"/>
          </w:tcPr>
          <w:p>
            <w:pPr>
              <w:spacing w:after="0" w:line="123" w:lineRule="exact"/>
              <w:rPr>
                <w:sz w:val="20"/>
                <w:szCs w:val="20"/>
                <w:color w:val="auto"/>
              </w:rPr>
            </w:pPr>
            <w:r>
              <w:rPr>
                <w:rFonts w:ascii="Arial" w:cs="Arial" w:eastAsia="Arial" w:hAnsi="Arial"/>
                <w:sz w:val="11"/>
                <w:szCs w:val="11"/>
                <w:color w:val="auto"/>
              </w:rPr>
              <w:t>Due to banks and correspondents</w:t>
            </w:r>
          </w:p>
        </w:tc>
        <w:tc>
          <w:tcPr>
            <w:tcW w:w="860" w:type="dxa"/>
            <w:vAlign w:val="bottom"/>
            <w:gridSpan w:val="2"/>
          </w:tcPr>
          <w:p>
            <w:pPr>
              <w:jc w:val="right"/>
              <w:ind w:right="24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80"/>
              <w:spacing w:after="0" w:line="123"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3" w:lineRule="exact"/>
              <w:rPr>
                <w:sz w:val="20"/>
                <w:szCs w:val="20"/>
                <w:color w:val="auto"/>
              </w:rPr>
            </w:pPr>
            <w:r>
              <w:rPr>
                <w:rFonts w:ascii="Arial" w:cs="Arial" w:eastAsia="Arial" w:hAnsi="Arial"/>
                <w:sz w:val="11"/>
                <w:szCs w:val="11"/>
                <w:color w:val="auto"/>
              </w:rPr>
              <w:t>9,854,630</w:t>
            </w:r>
          </w:p>
        </w:tc>
        <w:tc>
          <w:tcPr>
            <w:tcW w:w="60" w:type="dxa"/>
            <w:vAlign w:val="bottom"/>
          </w:tcPr>
          <w:p>
            <w:pPr>
              <w:spacing w:after="0"/>
              <w:rPr>
                <w:sz w:val="10"/>
                <w:szCs w:val="10"/>
                <w:color w:val="auto"/>
              </w:rPr>
            </w:pPr>
          </w:p>
        </w:tc>
        <w:tc>
          <w:tcPr>
            <w:tcW w:w="70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9,854,630</w:t>
            </w:r>
          </w:p>
        </w:tc>
        <w:tc>
          <w:tcPr>
            <w:tcW w:w="74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3"/>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6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3" w:lineRule="exact"/>
              <w:rPr>
                <w:sz w:val="20"/>
                <w:szCs w:val="20"/>
                <w:color w:val="auto"/>
              </w:rPr>
            </w:pPr>
            <w:r>
              <w:rPr>
                <w:rFonts w:ascii="Arial" w:cs="Arial" w:eastAsia="Arial" w:hAnsi="Arial"/>
                <w:sz w:val="11"/>
                <w:szCs w:val="11"/>
                <w:color w:val="auto"/>
              </w:rPr>
              <w:t>8,841,732</w:t>
            </w:r>
          </w:p>
        </w:tc>
        <w:tc>
          <w:tcPr>
            <w:tcW w:w="80" w:type="dxa"/>
            <w:vAlign w:val="bottom"/>
          </w:tcPr>
          <w:p>
            <w:pPr>
              <w:spacing w:after="0"/>
              <w:rPr>
                <w:sz w:val="10"/>
                <w:szCs w:val="10"/>
                <w:color w:val="auto"/>
              </w:rPr>
            </w:pPr>
          </w:p>
        </w:tc>
        <w:tc>
          <w:tcPr>
            <w:tcW w:w="64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8,841,732</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0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Bankers’ acceptances outstanding</w:t>
            </w:r>
          </w:p>
        </w:tc>
        <w:tc>
          <w:tcPr>
            <w:tcW w:w="860" w:type="dxa"/>
            <w:vAlign w:val="bottom"/>
            <w:gridSpan w:val="2"/>
            <w:shd w:val="clear" w:color="auto" w:fill="CCEEFF"/>
          </w:tcPr>
          <w:p>
            <w:pPr>
              <w:jc w:val="right"/>
              <w:ind w:right="24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80"/>
              <w:spacing w:after="0" w:line="123"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555,598</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555,598</w:t>
            </w:r>
          </w:p>
        </w:tc>
        <w:tc>
          <w:tcPr>
            <w:tcW w:w="74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3"/>
            <w:shd w:val="clear" w:color="auto" w:fill="CCEEFF"/>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6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535,222</w:t>
            </w:r>
          </w:p>
        </w:tc>
        <w:tc>
          <w:tcPr>
            <w:tcW w:w="64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535,222</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900" w:type="dxa"/>
            <w:vAlign w:val="bottom"/>
          </w:tcPr>
          <w:p>
            <w:pPr>
              <w:spacing w:after="0" w:line="109" w:lineRule="exact"/>
              <w:rPr>
                <w:sz w:val="20"/>
                <w:szCs w:val="20"/>
                <w:color w:val="auto"/>
              </w:rPr>
            </w:pPr>
            <w:r>
              <w:rPr>
                <w:rFonts w:ascii="Arial" w:cs="Arial" w:eastAsia="Arial" w:hAnsi="Arial"/>
                <w:sz w:val="11"/>
                <w:szCs w:val="11"/>
                <w:color w:val="auto"/>
              </w:rPr>
              <w:t>Accounts payable to reinsurers and</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920" w:type="dxa"/>
            <w:vAlign w:val="bottom"/>
            <w:gridSpan w:val="2"/>
          </w:tcPr>
          <w:p>
            <w:pPr>
              <w:spacing w:after="0"/>
              <w:rPr>
                <w:sz w:val="20"/>
                <w:szCs w:val="20"/>
                <w:color w:val="auto"/>
              </w:rPr>
            </w:pPr>
            <w:r>
              <w:rPr>
                <w:rFonts w:ascii="Arial" w:cs="Arial" w:eastAsia="Arial" w:hAnsi="Arial"/>
                <w:sz w:val="11"/>
                <w:szCs w:val="11"/>
                <w:color w:val="auto"/>
              </w:rPr>
              <w:t>coinsurers</w:t>
            </w: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198,473</w:t>
            </w: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198,473</w:t>
            </w: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216,734</w:t>
            </w: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216,734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0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Lease liabilities</w:t>
            </w:r>
          </w:p>
        </w:tc>
        <w:tc>
          <w:tcPr>
            <w:tcW w:w="860" w:type="dxa"/>
            <w:vAlign w:val="bottom"/>
            <w:gridSpan w:val="2"/>
            <w:shd w:val="clear" w:color="auto" w:fill="CCEEFF"/>
          </w:tcPr>
          <w:p>
            <w:pPr>
              <w:jc w:val="right"/>
              <w:ind w:right="24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80"/>
              <w:spacing w:after="0" w:line="123"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838,248</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838,248</w:t>
            </w:r>
          </w:p>
        </w:tc>
        <w:tc>
          <w:tcPr>
            <w:tcW w:w="74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3"/>
            <w:shd w:val="clear" w:color="auto" w:fill="CCEEFF"/>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6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847,504</w:t>
            </w:r>
          </w:p>
        </w:tc>
        <w:tc>
          <w:tcPr>
            <w:tcW w:w="64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847,504</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900" w:type="dxa"/>
            <w:vAlign w:val="bottom"/>
          </w:tcPr>
          <w:p>
            <w:pPr>
              <w:spacing w:after="0" w:line="109" w:lineRule="exact"/>
              <w:rPr>
                <w:sz w:val="20"/>
                <w:szCs w:val="20"/>
                <w:color w:val="auto"/>
              </w:rPr>
            </w:pPr>
            <w:r>
              <w:rPr>
                <w:rFonts w:ascii="Arial" w:cs="Arial" w:eastAsia="Arial" w:hAnsi="Arial"/>
                <w:sz w:val="11"/>
                <w:szCs w:val="11"/>
                <w:color w:val="auto"/>
                <w:w w:val="99"/>
              </w:rPr>
              <w:t>Financial liabilities at fair value through</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920" w:type="dxa"/>
            <w:vAlign w:val="bottom"/>
            <w:gridSpan w:val="2"/>
          </w:tcPr>
          <w:p>
            <w:pPr>
              <w:spacing w:after="0"/>
              <w:rPr>
                <w:sz w:val="20"/>
                <w:szCs w:val="20"/>
                <w:color w:val="auto"/>
              </w:rPr>
            </w:pPr>
            <w:r>
              <w:rPr>
                <w:rFonts w:ascii="Arial" w:cs="Arial" w:eastAsia="Arial" w:hAnsi="Arial"/>
                <w:sz w:val="11"/>
                <w:szCs w:val="11"/>
                <w:color w:val="auto"/>
              </w:rPr>
              <w:t>profit or loss</w:t>
            </w: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533,146</w:t>
            </w: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533,146</w:t>
            </w: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493,700</w:t>
            </w:r>
          </w:p>
        </w:tc>
        <w:tc>
          <w:tcPr>
            <w:tcW w:w="82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493,700</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0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Bonds and notes issued</w:t>
            </w:r>
          </w:p>
        </w:tc>
        <w:tc>
          <w:tcPr>
            <w:tcW w:w="860" w:type="dxa"/>
            <w:vAlign w:val="bottom"/>
            <w:gridSpan w:val="2"/>
            <w:shd w:val="clear" w:color="auto" w:fill="CCEEFF"/>
          </w:tcPr>
          <w:p>
            <w:pPr>
              <w:jc w:val="right"/>
              <w:ind w:right="24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80"/>
              <w:spacing w:after="0" w:line="123"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60"/>
              <w:spacing w:after="0" w:line="123" w:lineRule="exact"/>
              <w:rPr>
                <w:sz w:val="20"/>
                <w:szCs w:val="20"/>
                <w:color w:val="auto"/>
              </w:rPr>
            </w:pPr>
            <w:r>
              <w:rPr>
                <w:rFonts w:ascii="Arial" w:cs="Arial" w:eastAsia="Arial" w:hAnsi="Arial"/>
                <w:sz w:val="11"/>
                <w:szCs w:val="11"/>
                <w:color w:val="auto"/>
              </w:rPr>
              <w:t>15,178,148</w:t>
            </w:r>
          </w:p>
        </w:tc>
        <w:tc>
          <w:tcPr>
            <w:tcW w:w="70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15,178,148</w:t>
            </w:r>
          </w:p>
        </w:tc>
        <w:tc>
          <w:tcPr>
            <w:tcW w:w="74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3"/>
            <w:shd w:val="clear" w:color="auto" w:fill="CCEEFF"/>
          </w:tcPr>
          <w:p>
            <w:pPr>
              <w:jc w:val="right"/>
              <w:ind w:right="6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60"/>
              <w:spacing w:after="0" w:line="123"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14,946,363</w:t>
            </w:r>
          </w:p>
        </w:tc>
        <w:tc>
          <w:tcPr>
            <w:tcW w:w="64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14,946,363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1"/>
                <w:szCs w:val="11"/>
                <w:color w:val="auto"/>
              </w:rPr>
              <w:t>Other liabilities, note 13(a)</w:t>
            </w: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1,751,719</w:t>
            </w: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5,994,663</w:t>
            </w: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7,746,382</w:t>
            </w: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1,040,282</w:t>
            </w:r>
          </w:p>
        </w:tc>
        <w:tc>
          <w:tcPr>
            <w:tcW w:w="82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3,206,544</w:t>
            </w:r>
          </w:p>
        </w:tc>
        <w:tc>
          <w:tcPr>
            <w:tcW w:w="80" w:type="dxa"/>
            <w:vAlign w:val="bottom"/>
          </w:tcPr>
          <w:p>
            <w:pPr>
              <w:spacing w:after="0"/>
              <w:rPr>
                <w:sz w:val="11"/>
                <w:szCs w:val="1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1"/>
                <w:szCs w:val="11"/>
                <w:color w:val="auto"/>
              </w:rPr>
              <w:t>4,246,826</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90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2,284,865</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160,438,031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8"/>
              </w:rPr>
              <w:t>162,722,896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1,533,982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148,277,500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8"/>
              </w:rPr>
              <w:t>149,811,482</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340"/>
          </w:cols>
          <w:pgMar w:left="320" w:top="835" w:right="239" w:bottom="1440" w:gutter="0" w:footer="0" w:header="0"/>
        </w:sectPr>
      </w:pPr>
    </w:p>
    <w:bookmarkStart w:id="81" w:name="page82"/>
    <w:bookmarkEnd w:id="81"/>
    <w:p>
      <w:pPr>
        <w:ind w:left="2"/>
        <w:spacing w:after="0"/>
        <w:tabs>
          <w:tab w:leader="none" w:pos="281" w:val="left"/>
        </w:tabs>
        <w:rPr>
          <w:sz w:val="20"/>
          <w:szCs w:val="20"/>
          <w:color w:val="auto"/>
        </w:rPr>
      </w:pPr>
      <w:r>
        <w:rPr>
          <w:rFonts w:ascii="Arial" w:cs="Arial" w:eastAsia="Arial" w:hAnsi="Arial"/>
          <w:sz w:val="16"/>
          <w:szCs w:val="16"/>
          <w:b w:val="1"/>
          <w:bCs w:val="1"/>
          <w:color w:val="auto"/>
        </w:rPr>
        <w:t>34</w:t>
        <w:tab/>
        <w:t>FINANCIAL RISK MANAGEMENT</w:t>
      </w:r>
    </w:p>
    <w:p>
      <w:pPr>
        <w:spacing w:after="0" w:line="213" w:lineRule="exact"/>
        <w:rPr>
          <w:sz w:val="20"/>
          <w:szCs w:val="20"/>
          <w:color w:val="auto"/>
        </w:rPr>
      </w:pPr>
    </w:p>
    <w:p>
      <w:pPr>
        <w:ind w:left="2" w:right="180"/>
        <w:spacing w:after="0" w:line="271" w:lineRule="auto"/>
        <w:rPr>
          <w:sz w:val="20"/>
          <w:szCs w:val="20"/>
          <w:color w:val="auto"/>
        </w:rPr>
      </w:pPr>
      <w:r>
        <w:rPr>
          <w:rFonts w:ascii="Arial" w:cs="Arial" w:eastAsia="Arial" w:hAnsi="Arial"/>
          <w:sz w:val="16"/>
          <w:szCs w:val="16"/>
          <w:color w:val="auto"/>
        </w:rPr>
        <w:t>The Group’s activities involve principally the use of financial instruments, including derivatives. It also accepts deposits from customers at both fixed and floating rates, for various periods, and invests these funds in high-quality assets. Additionally, it places these deposits at fixed and variable rates with legal entities and individuals, considering the finance costs and expected profitability.</w:t>
      </w:r>
    </w:p>
    <w:p>
      <w:pPr>
        <w:spacing w:after="0" w:line="163" w:lineRule="exact"/>
        <w:rPr>
          <w:sz w:val="20"/>
          <w:szCs w:val="20"/>
          <w:color w:val="auto"/>
        </w:rPr>
      </w:pPr>
    </w:p>
    <w:p>
      <w:pPr>
        <w:ind w:left="2" w:right="220"/>
        <w:spacing w:after="0" w:line="287" w:lineRule="auto"/>
        <w:rPr>
          <w:sz w:val="20"/>
          <w:szCs w:val="20"/>
          <w:color w:val="auto"/>
        </w:rPr>
      </w:pPr>
      <w:r>
        <w:rPr>
          <w:rFonts w:ascii="Arial" w:cs="Arial" w:eastAsia="Arial" w:hAnsi="Arial"/>
          <w:sz w:val="16"/>
          <w:szCs w:val="16"/>
          <w:color w:val="auto"/>
        </w:rPr>
        <w:t>The Group also trades in financial instruments where it takes positions in traded and over-the-counter instruments, derivatives included, to take advantage of short-term market movements on securities, bonds, currencies and interest rates.</w:t>
      </w:r>
    </w:p>
    <w:p>
      <w:pPr>
        <w:spacing w:after="0" w:line="150" w:lineRule="exact"/>
        <w:rPr>
          <w:sz w:val="20"/>
          <w:szCs w:val="20"/>
          <w:color w:val="auto"/>
        </w:rPr>
      </w:pPr>
    </w:p>
    <w:p>
      <w:pPr>
        <w:ind w:left="2" w:right="140"/>
        <w:spacing w:after="0" w:line="271" w:lineRule="auto"/>
        <w:rPr>
          <w:sz w:val="20"/>
          <w:szCs w:val="20"/>
          <w:color w:val="auto"/>
        </w:rPr>
      </w:pPr>
      <w:r>
        <w:rPr>
          <w:rFonts w:ascii="Arial" w:cs="Arial" w:eastAsia="Arial" w:hAnsi="Arial"/>
          <w:sz w:val="16"/>
          <w:szCs w:val="16"/>
          <w:color w:val="auto"/>
        </w:rPr>
        <w:t>Given the Group’s activities, it has a framework for risk appetite, a corner stone of the management. The risk management processes involve continuous identification, measurement, treatment and monitoring. The Group is exposed, principally, to operating risk, credit risk, liquidity risk, market risk, strategic risk and insurance technical risk. Finally, it reports on a consolidated basis the risks to which the Group is exposed.</w:t>
      </w:r>
    </w:p>
    <w:p>
      <w:pPr>
        <w:spacing w:after="0" w:line="163" w:lineRule="exact"/>
        <w:rPr>
          <w:sz w:val="20"/>
          <w:szCs w:val="20"/>
          <w:color w:val="auto"/>
        </w:rPr>
      </w:pPr>
    </w:p>
    <w:p>
      <w:pPr>
        <w:ind w:left="342" w:hanging="342"/>
        <w:spacing w:after="0"/>
        <w:tabs>
          <w:tab w:leader="none" w:pos="342" w:val="left"/>
        </w:tabs>
        <w:numPr>
          <w:ilvl w:val="0"/>
          <w:numId w:val="91"/>
        </w:numPr>
        <w:rPr>
          <w:rFonts w:ascii="Arial" w:cs="Arial" w:eastAsia="Arial" w:hAnsi="Arial"/>
          <w:sz w:val="16"/>
          <w:szCs w:val="16"/>
          <w:color w:val="auto"/>
        </w:rPr>
      </w:pPr>
      <w:r>
        <w:rPr>
          <w:rFonts w:ascii="Arial" w:cs="Arial" w:eastAsia="Arial" w:hAnsi="Arial"/>
          <w:sz w:val="16"/>
          <w:szCs w:val="16"/>
          <w:color w:val="auto"/>
        </w:rPr>
        <w:t>Risk management structure -</w:t>
      </w:r>
    </w:p>
    <w:p>
      <w:pPr>
        <w:spacing w:after="0" w:line="209" w:lineRule="exact"/>
        <w:rPr>
          <w:sz w:val="20"/>
          <w:szCs w:val="20"/>
          <w:color w:val="auto"/>
        </w:rPr>
      </w:pPr>
    </w:p>
    <w:p>
      <w:pPr>
        <w:ind w:left="302" w:right="180"/>
        <w:spacing w:after="0" w:line="287" w:lineRule="auto"/>
        <w:rPr>
          <w:sz w:val="20"/>
          <w:szCs w:val="20"/>
          <w:color w:val="auto"/>
        </w:rPr>
      </w:pPr>
      <w:r>
        <w:rPr>
          <w:rFonts w:ascii="Arial" w:cs="Arial" w:eastAsia="Arial" w:hAnsi="Arial"/>
          <w:sz w:val="16"/>
          <w:szCs w:val="16"/>
          <w:color w:val="auto"/>
        </w:rPr>
        <w:t>The Board of Directors of the Group and of each subsidiary are ultimately responsible for identifying and controlling risks; however, there are separate independent instances in the major subsidiaries responsible for managing and monitoring risks, as further explained below:</w:t>
      </w:r>
    </w:p>
    <w:p>
      <w:pPr>
        <w:spacing w:after="0" w:line="150" w:lineRule="exact"/>
        <w:rPr>
          <w:sz w:val="20"/>
          <w:szCs w:val="20"/>
          <w:color w:val="auto"/>
        </w:rPr>
      </w:pPr>
    </w:p>
    <w:p>
      <w:pPr>
        <w:ind w:left="582" w:right="8600" w:hanging="238"/>
        <w:spacing w:after="0" w:line="546" w:lineRule="auto"/>
        <w:tabs>
          <w:tab w:leader="none" w:pos="566" w:val="left"/>
        </w:tabs>
        <w:numPr>
          <w:ilvl w:val="0"/>
          <w:numId w:val="92"/>
        </w:numPr>
        <w:rPr>
          <w:rFonts w:ascii="Arial" w:cs="Arial" w:eastAsia="Arial" w:hAnsi="Arial"/>
          <w:sz w:val="15"/>
          <w:szCs w:val="15"/>
          <w:color w:val="auto"/>
        </w:rPr>
      </w:pPr>
      <w:r>
        <w:rPr>
          <w:rFonts w:ascii="Arial" w:cs="Arial" w:eastAsia="Arial" w:hAnsi="Arial"/>
          <w:sz w:val="15"/>
          <w:szCs w:val="15"/>
          <w:color w:val="auto"/>
        </w:rPr>
        <w:t>Group’s Board of Directors - Credicorp Board of Directors -</w:t>
      </w:r>
    </w:p>
    <w:p>
      <w:pPr>
        <w:spacing w:after="0" w:line="1" w:lineRule="exact"/>
        <w:rPr>
          <w:sz w:val="20"/>
          <w:szCs w:val="20"/>
          <w:color w:val="auto"/>
        </w:rPr>
      </w:pPr>
    </w:p>
    <w:p>
      <w:pPr>
        <w:jc w:val="both"/>
        <w:ind w:left="582" w:right="200"/>
        <w:spacing w:after="0" w:line="327" w:lineRule="auto"/>
        <w:rPr>
          <w:sz w:val="20"/>
          <w:szCs w:val="20"/>
          <w:color w:val="auto"/>
        </w:rPr>
      </w:pPr>
      <w:r>
        <w:rPr>
          <w:rFonts w:ascii="Arial" w:cs="Arial" w:eastAsia="Arial" w:hAnsi="Arial"/>
          <w:sz w:val="14"/>
          <w:szCs w:val="14"/>
          <w:color w:val="auto"/>
        </w:rPr>
        <w:t>This Board of Directors is responsible for the overall risk management approach and for the approval of the levels of risk appetite that the Group is prepared to assume. Furthermore, it approves the guidelines and policies for Integral Risk Management. On the other hand, the Board establishes an organizational culture which emphasizes the importance of risk management, oversees the internal control system and ensures the adequate performance of the compliance function.</w:t>
      </w:r>
    </w:p>
    <w:p>
      <w:pPr>
        <w:spacing w:after="0" w:line="128" w:lineRule="exact"/>
        <w:rPr>
          <w:sz w:val="20"/>
          <w:szCs w:val="20"/>
          <w:color w:val="auto"/>
        </w:rPr>
      </w:pPr>
    </w:p>
    <w:p>
      <w:pPr>
        <w:ind w:left="582"/>
        <w:spacing w:after="0"/>
        <w:rPr>
          <w:sz w:val="20"/>
          <w:szCs w:val="20"/>
          <w:color w:val="auto"/>
        </w:rPr>
      </w:pPr>
      <w:r>
        <w:rPr>
          <w:rFonts w:ascii="Arial" w:cs="Arial" w:eastAsia="Arial" w:hAnsi="Arial"/>
          <w:sz w:val="16"/>
          <w:szCs w:val="16"/>
          <w:color w:val="auto"/>
        </w:rPr>
        <w:t>Group Company Boards -</w:t>
      </w:r>
    </w:p>
    <w:p>
      <w:pPr>
        <w:spacing w:after="0" w:line="209" w:lineRule="exact"/>
        <w:rPr>
          <w:sz w:val="20"/>
          <w:szCs w:val="20"/>
          <w:color w:val="auto"/>
        </w:rPr>
      </w:pPr>
    </w:p>
    <w:p>
      <w:pPr>
        <w:ind w:left="582" w:right="40"/>
        <w:spacing w:after="0" w:line="287" w:lineRule="auto"/>
        <w:rPr>
          <w:sz w:val="20"/>
          <w:szCs w:val="20"/>
          <w:color w:val="auto"/>
        </w:rPr>
      </w:pPr>
      <w:r>
        <w:rPr>
          <w:rFonts w:ascii="Arial" w:cs="Arial" w:eastAsia="Arial" w:hAnsi="Arial"/>
          <w:sz w:val="16"/>
          <w:szCs w:val="16"/>
          <w:color w:val="auto"/>
        </w:rPr>
        <w:t>The Board of each of the Group companies is responsible for aligning the risk management established by the Board of Credicorp with the context of each one of them. For that, it establishes a framework for risk appetite, policies and guidelines.</w:t>
      </w:r>
    </w:p>
    <w:p>
      <w:pPr>
        <w:spacing w:after="0" w:line="150" w:lineRule="exact"/>
        <w:rPr>
          <w:sz w:val="20"/>
          <w:szCs w:val="20"/>
          <w:color w:val="auto"/>
        </w:rPr>
      </w:pPr>
    </w:p>
    <w:p>
      <w:pPr>
        <w:ind w:left="562" w:hanging="218"/>
        <w:spacing w:after="0"/>
        <w:tabs>
          <w:tab w:leader="none" w:pos="562" w:val="left"/>
        </w:tabs>
        <w:numPr>
          <w:ilvl w:val="0"/>
          <w:numId w:val="93"/>
        </w:numPr>
        <w:rPr>
          <w:rFonts w:ascii="Arial" w:cs="Arial" w:eastAsia="Arial" w:hAnsi="Arial"/>
          <w:sz w:val="16"/>
          <w:szCs w:val="16"/>
          <w:color w:val="auto"/>
        </w:rPr>
      </w:pPr>
      <w:r>
        <w:rPr>
          <w:rFonts w:ascii="Arial" w:cs="Arial" w:eastAsia="Arial" w:hAnsi="Arial"/>
          <w:sz w:val="16"/>
          <w:szCs w:val="16"/>
          <w:color w:val="auto"/>
        </w:rPr>
        <w:t>Credicorp Risk Committee -</w:t>
      </w:r>
    </w:p>
    <w:p>
      <w:pPr>
        <w:spacing w:after="0" w:line="209" w:lineRule="exact"/>
        <w:rPr>
          <w:rFonts w:ascii="Arial" w:cs="Arial" w:eastAsia="Arial" w:hAnsi="Arial"/>
          <w:sz w:val="16"/>
          <w:szCs w:val="16"/>
          <w:color w:val="auto"/>
        </w:rPr>
      </w:pPr>
    </w:p>
    <w:p>
      <w:pPr>
        <w:ind w:left="582" w:hanging="9"/>
        <w:spacing w:after="0" w:line="287" w:lineRule="auto"/>
        <w:rPr>
          <w:rFonts w:ascii="Arial" w:cs="Arial" w:eastAsia="Arial" w:hAnsi="Arial"/>
          <w:sz w:val="16"/>
          <w:szCs w:val="16"/>
          <w:color w:val="auto"/>
        </w:rPr>
      </w:pPr>
      <w:r>
        <w:rPr>
          <w:rFonts w:ascii="Arial" w:cs="Arial" w:eastAsia="Arial" w:hAnsi="Arial"/>
          <w:sz w:val="16"/>
          <w:szCs w:val="16"/>
          <w:color w:val="auto"/>
        </w:rPr>
        <w:t>Represents the Board of Credicorp in risk management decision-making. This Committee defines the strategies used for the adequate management of the different types of risks and the supervision of risk appetite. In addition to it, they establish principles, policies and general limits.</w:t>
      </w:r>
    </w:p>
    <w:p>
      <w:pPr>
        <w:spacing w:after="0" w:line="150" w:lineRule="exact"/>
        <w:rPr>
          <w:sz w:val="20"/>
          <w:szCs w:val="20"/>
          <w:color w:val="auto"/>
        </w:rPr>
      </w:pPr>
    </w:p>
    <w:p>
      <w:pPr>
        <w:ind w:left="582" w:right="200" w:hanging="8"/>
        <w:spacing w:after="0" w:line="271" w:lineRule="auto"/>
        <w:rPr>
          <w:sz w:val="20"/>
          <w:szCs w:val="20"/>
          <w:color w:val="auto"/>
        </w:rPr>
      </w:pPr>
      <w:r>
        <w:rPr>
          <w:rFonts w:ascii="Arial" w:cs="Arial" w:eastAsia="Arial" w:hAnsi="Arial"/>
          <w:sz w:val="16"/>
          <w:szCs w:val="16"/>
          <w:color w:val="auto"/>
        </w:rPr>
        <w:t>The Risk Committee is presided by a Board member of Credicorp, it also consists of a second member of the Board of Credicorp, a Board member of BCP, the General Manager of BCP, the Central Manager of Planning and Finance of BCP, the Central Risk Manager of BCP and the Manager of the Risk Management Division of BCP.</w:t>
      </w:r>
    </w:p>
    <w:p>
      <w:pPr>
        <w:spacing w:after="0" w:line="163" w:lineRule="exact"/>
        <w:rPr>
          <w:sz w:val="20"/>
          <w:szCs w:val="20"/>
          <w:color w:val="auto"/>
        </w:rPr>
      </w:pPr>
    </w:p>
    <w:p>
      <w:pPr>
        <w:ind w:left="582"/>
        <w:spacing w:after="0" w:line="287" w:lineRule="auto"/>
        <w:rPr>
          <w:sz w:val="20"/>
          <w:szCs w:val="20"/>
          <w:color w:val="auto"/>
        </w:rPr>
      </w:pPr>
      <w:r>
        <w:rPr>
          <w:rFonts w:ascii="Arial" w:cs="Arial" w:eastAsia="Arial" w:hAnsi="Arial"/>
          <w:sz w:val="16"/>
          <w:szCs w:val="16"/>
          <w:color w:val="auto"/>
        </w:rPr>
        <w:t>In addition to effectively managing all the risks, the Credicorp Risk Committee is supported by the following committees which report periodically on all relevant changes or issues relating to the risks being managed:</w:t>
      </w:r>
    </w:p>
    <w:p>
      <w:pPr>
        <w:spacing w:after="0" w:line="346"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02"/>
          </w:cols>
          <w:pgMar w:left="318" w:top="1057" w:right="379" w:bottom="1440" w:gutter="0" w:footer="0" w:header="0"/>
        </w:sectPr>
      </w:pPr>
    </w:p>
    <w:bookmarkStart w:id="82" w:name="page83"/>
    <w:bookmarkEnd w:id="82"/>
    <w:p>
      <w:pPr>
        <w:ind w:left="240"/>
        <w:spacing w:after="0"/>
        <w:rPr>
          <w:sz w:val="20"/>
          <w:szCs w:val="20"/>
          <w:color w:val="auto"/>
        </w:rPr>
      </w:pPr>
      <w:r>
        <w:rPr>
          <w:rFonts w:ascii="Arial" w:cs="Arial" w:eastAsia="Arial" w:hAnsi="Arial"/>
          <w:sz w:val="16"/>
          <w:szCs w:val="16"/>
          <w:color w:val="auto"/>
        </w:rPr>
        <w:t>Credit Risk Committees (retail and non-retail) -</w:t>
      </w:r>
    </w:p>
    <w:p>
      <w:pPr>
        <w:spacing w:after="0" w:line="209" w:lineRule="exact"/>
        <w:rPr>
          <w:sz w:val="20"/>
          <w:szCs w:val="20"/>
          <w:color w:val="auto"/>
        </w:rPr>
      </w:pPr>
    </w:p>
    <w:p>
      <w:pPr>
        <w:ind w:left="240" w:right="20"/>
        <w:spacing w:after="0" w:line="266" w:lineRule="auto"/>
        <w:rPr>
          <w:sz w:val="20"/>
          <w:szCs w:val="20"/>
          <w:color w:val="auto"/>
        </w:rPr>
      </w:pPr>
      <w:r>
        <w:rPr>
          <w:rFonts w:ascii="Arial" w:cs="Arial" w:eastAsia="Arial" w:hAnsi="Arial"/>
          <w:sz w:val="16"/>
          <w:szCs w:val="16"/>
          <w:color w:val="auto"/>
        </w:rPr>
        <w:t>The Credit Risk Committees are responsible for reviewing the tolerance level of the credit risk appetite, the limits of exposure and the actions for the implementation of corrective measures, in case there are deviations. In addition, they propose credit risk management norms and policies within the framework of governance and the organization for the integral management of credit risk. Furthermore, they propose the approval of any changes to the functions described above and important findings to the Risk Committee.</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Treasury and ALM (Asset Liability Management) Risk Committee -</w:t>
      </w:r>
    </w:p>
    <w:p>
      <w:pPr>
        <w:spacing w:after="0" w:line="209" w:lineRule="exact"/>
        <w:rPr>
          <w:sz w:val="20"/>
          <w:szCs w:val="20"/>
          <w:color w:val="auto"/>
        </w:rPr>
      </w:pPr>
    </w:p>
    <w:p>
      <w:pPr>
        <w:ind w:left="240"/>
        <w:spacing w:after="0" w:line="264" w:lineRule="auto"/>
        <w:rPr>
          <w:sz w:val="20"/>
          <w:szCs w:val="20"/>
          <w:color w:val="auto"/>
        </w:rPr>
      </w:pPr>
      <w:r>
        <w:rPr>
          <w:rFonts w:ascii="Arial" w:cs="Arial" w:eastAsia="Arial" w:hAnsi="Arial"/>
          <w:sz w:val="16"/>
          <w:szCs w:val="16"/>
          <w:color w:val="auto"/>
        </w:rPr>
        <w:t>The Treasury Risk Committee and ALM Credicorp are responsible for analyzing and proposing the corporate objectives, guidelines and policies for Treasury Risk Management and ALM of all the companies of the Group. As well as, monitoring the indicators and limits of Credicorp market risk appetite and each of the companies of the Group. Further, they are responsible of be aware of the actions for the implementation of the corrective measures if there are deviations from appetite levels and risk tolerance assumed by the companies of Group. Furthermore, they are responsible for proposing the approval of any changes in the functions described above and for reporting any finding to the Risk Committee.</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Credicorp Model Risk Committee -</w:t>
      </w:r>
    </w:p>
    <w:p>
      <w:pPr>
        <w:spacing w:after="0" w:line="209" w:lineRule="exact"/>
        <w:rPr>
          <w:sz w:val="20"/>
          <w:szCs w:val="20"/>
          <w:color w:val="auto"/>
        </w:rPr>
      </w:pPr>
    </w:p>
    <w:p>
      <w:pPr>
        <w:ind w:left="240"/>
        <w:spacing w:after="0" w:line="289" w:lineRule="auto"/>
        <w:rPr>
          <w:sz w:val="20"/>
          <w:szCs w:val="20"/>
          <w:color w:val="auto"/>
        </w:rPr>
      </w:pPr>
      <w:r>
        <w:rPr>
          <w:rFonts w:ascii="Arial" w:cs="Arial" w:eastAsia="Arial" w:hAnsi="Arial"/>
          <w:sz w:val="15"/>
          <w:szCs w:val="15"/>
          <w:color w:val="auto"/>
        </w:rPr>
        <w:t>The Credicorp Model Risk Committee is responsible for analyzing and proposing the actions corrections in case there are deviations with respect to the degrees of exposure assumed in the Appetite for Model Risk. Likewise, it proposes the creation and/or modification of the government for model risk management, monitoring compliance with the same. The Model Risk Committee monitors the Group's data and analytical strategy and the health status of the model portfolio. They are also responsible to inform the Committee of Credicorp Risks on exposures, related to model risk, which involve variations in the risk profile.</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Operational Risk Methodology Committee -</w:t>
      </w:r>
    </w:p>
    <w:p>
      <w:pPr>
        <w:spacing w:after="0" w:line="209" w:lineRule="exact"/>
        <w:rPr>
          <w:sz w:val="20"/>
          <w:szCs w:val="20"/>
          <w:color w:val="auto"/>
        </w:rPr>
      </w:pPr>
    </w:p>
    <w:p>
      <w:pPr>
        <w:ind w:left="240" w:right="40"/>
        <w:spacing w:after="0" w:line="271" w:lineRule="auto"/>
        <w:rPr>
          <w:sz w:val="20"/>
          <w:szCs w:val="20"/>
          <w:color w:val="auto"/>
        </w:rPr>
      </w:pPr>
      <w:r>
        <w:rPr>
          <w:rFonts w:ascii="Arial" w:cs="Arial" w:eastAsia="Arial" w:hAnsi="Arial"/>
          <w:sz w:val="16"/>
          <w:szCs w:val="16"/>
          <w:color w:val="auto"/>
        </w:rPr>
        <w:t>The Credicorp Methodological Committee of Operational Risk has as main responsibilities to review the main indicators of Operational Risk of the companies of the Credicorp Group, as well as the progress of the methodologies deployed for Operational Risk and Business Continuity. Likewise, share best practices regarding the main challenges faced by Credicorp Group companies.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(iii) Central Risk Management -</w:t>
      </w:r>
    </w:p>
    <w:p>
      <w:pPr>
        <w:spacing w:after="0" w:line="209" w:lineRule="exact"/>
        <w:rPr>
          <w:sz w:val="20"/>
          <w:szCs w:val="20"/>
          <w:color w:val="auto"/>
        </w:rPr>
      </w:pPr>
    </w:p>
    <w:p>
      <w:pPr>
        <w:ind w:left="240" w:right="20"/>
        <w:spacing w:after="0" w:line="289" w:lineRule="auto"/>
        <w:rPr>
          <w:sz w:val="20"/>
          <w:szCs w:val="20"/>
          <w:color w:val="auto"/>
        </w:rPr>
      </w:pPr>
      <w:r>
        <w:rPr>
          <w:rFonts w:ascii="Arial" w:cs="Arial" w:eastAsia="Arial" w:hAnsi="Arial"/>
          <w:sz w:val="15"/>
          <w:szCs w:val="15"/>
          <w:color w:val="auto"/>
        </w:rPr>
        <w:t>The Central Risk Management is responsible for implementing policies, procedures, methodologies and actions to identify, measure, monitor, mitigate, report and control the different types of risks to which the Group is exposed. Also, it participates in the design and definition of the strategic plans of the business units to ensure that they are framed within the risk appetite metrics approved by Credicorp Board of Directors. Likewise, it also broadcasts the importance of adequate risk management, specifying in each of the units, their role in the timely identification and definition of actions corresponding.</w:t>
      </w:r>
    </w:p>
    <w:p>
      <w:pPr>
        <w:spacing w:after="0" w:line="348"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15875</wp:posOffset>
            </wp:positionV>
            <wp:extent cx="714438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880"/>
          </w:cols>
          <w:pgMar w:left="660" w:top="839" w:right="35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t>The Central Risk Management is divided into the following units: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Credit Division -</w:t>
      </w:r>
    </w:p>
    <w:p>
      <w:pPr>
        <w:spacing w:after="0" w:line="209" w:lineRule="exact"/>
        <w:rPr>
          <w:sz w:val="20"/>
          <w:szCs w:val="20"/>
          <w:color w:val="auto"/>
        </w:rPr>
      </w:pPr>
    </w:p>
    <w:p>
      <w:pPr>
        <w:ind w:right="420"/>
        <w:spacing w:after="0" w:line="271" w:lineRule="auto"/>
        <w:rPr>
          <w:sz w:val="20"/>
          <w:szCs w:val="20"/>
          <w:color w:val="auto"/>
        </w:rPr>
      </w:pPr>
      <w:r>
        <w:rPr>
          <w:rFonts w:ascii="Arial" w:cs="Arial" w:eastAsia="Arial" w:hAnsi="Arial"/>
          <w:sz w:val="16"/>
          <w:szCs w:val="16"/>
          <w:color w:val="auto"/>
        </w:rPr>
        <w:t>The Credit Division proposes credit policies and evaluation criteria and credit risk management that the Group assumes with segment customers wholesaler. Evaluate and authorize loan proposals until their autonomy and propose their approval to the higher instances for those that exceed it. These guidelines are established on the basis of the policies set by the Credicorp Board, respecting the laws and regulations in force.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Risk Management Division -</w:t>
      </w:r>
    </w:p>
    <w:p>
      <w:pPr>
        <w:spacing w:after="0" w:line="20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Risk Management Division is responsible for ensuring that risk management directives and policies comply with the established by the Board of Directors. In addition, it is responsible for supervising the process of risk management and for coordinating with the companies of Credicorp involved in the whole process, promoting homogeneous risk management and aligned with the best practices. It also has the task of informing Board of Directors about: global exposure and by type of risk, as well as the specific exposure of each Group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Retail Banking Risk Division -</w:t>
      </w:r>
    </w:p>
    <w:p>
      <w:pPr>
        <w:spacing w:after="0" w:line="20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division is responsible for ensuring the quality of retail portfolio and the development of credit policies that are consistent with the overall guidelines and risk policies set by the Board of Credicorp.</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Cybersecurity Management -</w:t>
      </w:r>
    </w:p>
    <w:p>
      <w:pPr>
        <w:spacing w:after="0" w:line="209"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auto"/>
        </w:rPr>
        <w:t>The Cybersecurity Management area establishes polices and regulatory framework for information security and cybersecurity risk management. It is also responsible for designing and implementing the strategies used to create and monitor controls that enable the permanent evaluation of regulatory framework effectiveness. In addition, the area supervises the performance of the functions of the responsible units, monitoring the processes used for the identification, assessment, recording and treatment of information security and cybersecurity risks.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Corporate Security and Cybernetic Crime Management -</w:t>
      </w:r>
    </w:p>
    <w:p>
      <w:pPr>
        <w:spacing w:after="0" w:line="209" w:lineRule="exact"/>
        <w:rPr>
          <w:sz w:val="20"/>
          <w:szCs w:val="20"/>
          <w:color w:val="auto"/>
        </w:rPr>
      </w:pPr>
    </w:p>
    <w:p>
      <w:pPr>
        <w:jc w:val="both"/>
        <w:ind w:right="480"/>
        <w:spacing w:after="0" w:line="271" w:lineRule="auto"/>
        <w:rPr>
          <w:sz w:val="20"/>
          <w:szCs w:val="20"/>
          <w:color w:val="auto"/>
        </w:rPr>
      </w:pPr>
      <w:r>
        <w:rPr>
          <w:rFonts w:ascii="Arial" w:cs="Arial" w:eastAsia="Arial" w:hAnsi="Arial"/>
          <w:sz w:val="16"/>
          <w:szCs w:val="16"/>
          <w:color w:val="auto"/>
        </w:rPr>
        <w:t>The Corporate Security and Cybernetic Crime Management is responsible for implementing policies, procedures and actions that safeguard the security of employees, customers and assets of the organization, and protect the Group against incidents of fraud, security and reputational risk. In addition, it fosters a culture of prevention, which minimizes risks in fraud and security.</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Non-financial Risks Division -</w:t>
      </w:r>
    </w:p>
    <w:p>
      <w:pPr>
        <w:spacing w:after="0" w:line="209" w:lineRule="exact"/>
        <w:rPr>
          <w:sz w:val="20"/>
          <w:szCs w:val="20"/>
          <w:color w:val="auto"/>
        </w:rPr>
      </w:pPr>
    </w:p>
    <w:p>
      <w:pPr>
        <w:ind w:right="140"/>
        <w:spacing w:after="0" w:line="289" w:lineRule="auto"/>
        <w:rPr>
          <w:sz w:val="20"/>
          <w:szCs w:val="20"/>
          <w:color w:val="auto"/>
        </w:rPr>
      </w:pPr>
      <w:r>
        <w:rPr>
          <w:rFonts w:ascii="Arial" w:cs="Arial" w:eastAsia="Arial" w:hAnsi="Arial"/>
          <w:sz w:val="15"/>
          <w:szCs w:val="15"/>
          <w:color w:val="auto"/>
        </w:rPr>
        <w:t>The Non-financial Risks Division is responsible for defining a non-financial risk strategy aligned with the objectives and risk appetite set by the Board of Credicorp. This strategy seeks to strengthen the management process, generate synergies, optimize resources and achieve better results among the units responsible for managing non-financial risks in the Group. Additionally, in order to achieve the objectives defined in the non-financial risk strategy, the Division is responsible for promoting risk culture, developing talent, defining indicators and generating and following-up strategic projects and initiatives.</w:t>
      </w:r>
    </w:p>
    <w:p>
      <w:pPr>
        <w:spacing w:after="0" w:line="348"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15875</wp:posOffset>
            </wp:positionV>
            <wp:extent cx="714438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660"/>
          </w:cols>
          <w:pgMar w:left="900" w:top="839" w:right="339" w:bottom="1440" w:gutter="0" w:footer="0" w:header="0"/>
        </w:sectPr>
      </w:pPr>
    </w:p>
    <w:bookmarkStart w:id="84" w:name="page85"/>
    <w:bookmarkEnd w:id="84"/>
    <w:p>
      <w:pPr>
        <w:ind w:left="342"/>
        <w:spacing w:after="0"/>
        <w:rPr>
          <w:sz w:val="20"/>
          <w:szCs w:val="20"/>
          <w:color w:val="auto"/>
        </w:rPr>
      </w:pPr>
      <w:r>
        <w:rPr>
          <w:rFonts w:ascii="Arial" w:cs="Arial" w:eastAsia="Arial" w:hAnsi="Arial"/>
          <w:sz w:val="16"/>
          <w:szCs w:val="16"/>
          <w:color w:val="auto"/>
        </w:rPr>
        <w:t>(iv) Internal Audit Division and Compliance Division -</w:t>
      </w:r>
    </w:p>
    <w:p>
      <w:pPr>
        <w:spacing w:after="0" w:line="209" w:lineRule="exact"/>
        <w:rPr>
          <w:sz w:val="20"/>
          <w:szCs w:val="20"/>
          <w:color w:val="auto"/>
        </w:rPr>
      </w:pPr>
    </w:p>
    <w:p>
      <w:pPr>
        <w:ind w:left="582" w:right="120"/>
        <w:spacing w:after="0" w:line="266" w:lineRule="auto"/>
        <w:rPr>
          <w:sz w:val="20"/>
          <w:szCs w:val="20"/>
          <w:color w:val="auto"/>
        </w:rPr>
      </w:pPr>
      <w:r>
        <w:rPr>
          <w:rFonts w:ascii="Arial" w:cs="Arial" w:eastAsia="Arial" w:hAnsi="Arial"/>
          <w:sz w:val="16"/>
          <w:szCs w:val="16"/>
          <w:color w:val="auto"/>
        </w:rPr>
        <w:t>The Audit Division is in charge of monitoring on an ongoing basis the effectiveness and efficiency of the risk management function in the Group, verifying compliance with regulations, policies, objectives and guidelines set by the Board of Directors. On the other hand, it evaluates sufficiency and integration level of Group’s information and database systems. Finally, it ensures that independence is maintained between the functions of the risk management and business units, for each of the Group’s companies.</w:t>
      </w:r>
    </w:p>
    <w:p>
      <w:pPr>
        <w:spacing w:after="0" w:line="167" w:lineRule="exact"/>
        <w:rPr>
          <w:sz w:val="20"/>
          <w:szCs w:val="20"/>
          <w:color w:val="auto"/>
        </w:rPr>
      </w:pPr>
    </w:p>
    <w:p>
      <w:pPr>
        <w:ind w:left="582" w:right="480"/>
        <w:spacing w:after="0" w:line="287" w:lineRule="auto"/>
        <w:rPr>
          <w:sz w:val="20"/>
          <w:szCs w:val="20"/>
          <w:color w:val="auto"/>
        </w:rPr>
      </w:pPr>
      <w:r>
        <w:rPr>
          <w:rFonts w:ascii="Arial" w:cs="Arial" w:eastAsia="Arial" w:hAnsi="Arial"/>
          <w:sz w:val="16"/>
          <w:szCs w:val="16"/>
          <w:color w:val="auto"/>
        </w:rPr>
        <w:t>The Corporate Compliance and Ethics Division reports to the Board of Directors and is responsible for ensure that Credicorp Group companies specifically comply with regulations that apply to them and the guidelines established in the Code of Ethics.</w:t>
      </w:r>
    </w:p>
    <w:p>
      <w:pPr>
        <w:spacing w:after="0" w:line="150" w:lineRule="exact"/>
        <w:rPr>
          <w:sz w:val="20"/>
          <w:szCs w:val="20"/>
          <w:color w:val="auto"/>
        </w:rPr>
      </w:pPr>
    </w:p>
    <w:p>
      <w:pPr>
        <w:ind w:left="342" w:hanging="342"/>
        <w:spacing w:after="0"/>
        <w:tabs>
          <w:tab w:leader="none" w:pos="342" w:val="left"/>
        </w:tabs>
        <w:numPr>
          <w:ilvl w:val="0"/>
          <w:numId w:val="94"/>
        </w:numPr>
        <w:rPr>
          <w:rFonts w:ascii="Arial" w:cs="Arial" w:eastAsia="Arial" w:hAnsi="Arial"/>
          <w:sz w:val="16"/>
          <w:szCs w:val="16"/>
          <w:color w:val="auto"/>
        </w:rPr>
      </w:pPr>
      <w:r>
        <w:rPr>
          <w:rFonts w:ascii="Arial" w:cs="Arial" w:eastAsia="Arial" w:hAnsi="Arial"/>
          <w:sz w:val="16"/>
          <w:szCs w:val="16"/>
          <w:color w:val="auto"/>
        </w:rPr>
        <w:t>Risk measurement and reporting systems -</w:t>
      </w:r>
    </w:p>
    <w:p>
      <w:pPr>
        <w:spacing w:after="0" w:line="209" w:lineRule="exact"/>
        <w:rPr>
          <w:sz w:val="20"/>
          <w:szCs w:val="20"/>
          <w:color w:val="auto"/>
        </w:rPr>
      </w:pPr>
    </w:p>
    <w:p>
      <w:pPr>
        <w:jc w:val="both"/>
        <w:ind w:left="302" w:right="140"/>
        <w:spacing w:after="0" w:line="271" w:lineRule="auto"/>
        <w:rPr>
          <w:sz w:val="20"/>
          <w:szCs w:val="20"/>
          <w:color w:val="auto"/>
        </w:rPr>
      </w:pPr>
      <w:r>
        <w:rPr>
          <w:rFonts w:ascii="Arial" w:cs="Arial" w:eastAsia="Arial" w:hAnsi="Arial"/>
          <w:sz w:val="16"/>
          <w:szCs w:val="16"/>
          <w:color w:val="auto"/>
        </w:rPr>
        <w:t>The risk is measured according to models and methodologies developed for the management of each type of risk. Credicorp has risk reports that allow to monitor at the level added and detailed the different types of risks of each company which is exposed. The system provides the facility to meet the appetite review needs by risk requested by the committees and areas described above; as well as comply with regulatory requirements.</w:t>
      </w:r>
    </w:p>
    <w:p>
      <w:pPr>
        <w:spacing w:after="0" w:line="163" w:lineRule="exact"/>
        <w:rPr>
          <w:sz w:val="20"/>
          <w:szCs w:val="20"/>
          <w:color w:val="auto"/>
        </w:rPr>
      </w:pPr>
    </w:p>
    <w:p>
      <w:pPr>
        <w:ind w:left="342" w:hanging="342"/>
        <w:spacing w:after="0"/>
        <w:tabs>
          <w:tab w:leader="none" w:pos="342" w:val="left"/>
        </w:tabs>
        <w:numPr>
          <w:ilvl w:val="0"/>
          <w:numId w:val="95"/>
        </w:numPr>
        <w:rPr>
          <w:rFonts w:ascii="Arial" w:cs="Arial" w:eastAsia="Arial" w:hAnsi="Arial"/>
          <w:sz w:val="16"/>
          <w:szCs w:val="16"/>
          <w:color w:val="auto"/>
        </w:rPr>
      </w:pPr>
      <w:r>
        <w:rPr>
          <w:rFonts w:ascii="Arial" w:cs="Arial" w:eastAsia="Arial" w:hAnsi="Arial"/>
          <w:sz w:val="16"/>
          <w:szCs w:val="16"/>
          <w:color w:val="auto"/>
        </w:rPr>
        <w:t>Risk mitigation -</w:t>
      </w:r>
    </w:p>
    <w:p>
      <w:pPr>
        <w:spacing w:after="0" w:line="209" w:lineRule="exact"/>
        <w:rPr>
          <w:sz w:val="20"/>
          <w:szCs w:val="20"/>
          <w:color w:val="auto"/>
        </w:rPr>
      </w:pPr>
    </w:p>
    <w:p>
      <w:pPr>
        <w:ind w:left="302"/>
        <w:spacing w:after="0"/>
        <w:rPr>
          <w:sz w:val="20"/>
          <w:szCs w:val="20"/>
          <w:color w:val="auto"/>
        </w:rPr>
      </w:pPr>
      <w:r>
        <w:rPr>
          <w:rFonts w:ascii="Arial" w:cs="Arial" w:eastAsia="Arial" w:hAnsi="Arial"/>
          <w:sz w:val="15"/>
          <w:szCs w:val="15"/>
          <w:color w:val="auto"/>
        </w:rPr>
        <w:t>Depending on the type of risk, the Group uses mitigating instruments to reduce its exposure, such as guarantees, derivatives, controls and insurance, among others.</w:t>
      </w:r>
    </w:p>
    <w:p>
      <w:pPr>
        <w:spacing w:after="0" w:line="35" w:lineRule="exact"/>
        <w:rPr>
          <w:sz w:val="20"/>
          <w:szCs w:val="20"/>
          <w:color w:val="auto"/>
        </w:rPr>
      </w:pPr>
    </w:p>
    <w:p>
      <w:pPr>
        <w:ind w:left="302"/>
        <w:spacing w:after="0"/>
        <w:rPr>
          <w:sz w:val="20"/>
          <w:szCs w:val="20"/>
          <w:color w:val="auto"/>
        </w:rPr>
      </w:pPr>
      <w:r>
        <w:rPr>
          <w:rFonts w:ascii="Arial" w:cs="Arial" w:eastAsia="Arial" w:hAnsi="Arial"/>
          <w:sz w:val="16"/>
          <w:szCs w:val="16"/>
          <w:color w:val="auto"/>
        </w:rPr>
        <w:t>Furthermore, it has policies linked to risk appetite and established procedures for each type of risk.</w:t>
      </w:r>
    </w:p>
    <w:p>
      <w:pPr>
        <w:spacing w:after="0" w:line="198"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Group actively uses guarantees to reduce its credit risks.</w:t>
      </w:r>
    </w:p>
    <w:p>
      <w:pPr>
        <w:spacing w:after="0" w:line="209" w:lineRule="exact"/>
        <w:rPr>
          <w:sz w:val="20"/>
          <w:szCs w:val="20"/>
          <w:color w:val="auto"/>
        </w:rPr>
      </w:pPr>
    </w:p>
    <w:p>
      <w:pPr>
        <w:ind w:left="342" w:hanging="342"/>
        <w:spacing w:after="0"/>
        <w:tabs>
          <w:tab w:leader="none" w:pos="342" w:val="left"/>
        </w:tabs>
        <w:numPr>
          <w:ilvl w:val="0"/>
          <w:numId w:val="96"/>
        </w:numPr>
        <w:rPr>
          <w:rFonts w:ascii="Arial" w:cs="Arial" w:eastAsia="Arial" w:hAnsi="Arial"/>
          <w:sz w:val="16"/>
          <w:szCs w:val="16"/>
          <w:color w:val="auto"/>
        </w:rPr>
      </w:pPr>
      <w:r>
        <w:rPr>
          <w:rFonts w:ascii="Arial" w:cs="Arial" w:eastAsia="Arial" w:hAnsi="Arial"/>
          <w:sz w:val="16"/>
          <w:szCs w:val="16"/>
          <w:color w:val="auto"/>
        </w:rPr>
        <w:t>Risk appetite -</w:t>
      </w:r>
    </w:p>
    <w:p>
      <w:pPr>
        <w:spacing w:after="0" w:line="209" w:lineRule="exact"/>
        <w:rPr>
          <w:rFonts w:ascii="Arial" w:cs="Arial" w:eastAsia="Arial" w:hAnsi="Arial"/>
          <w:sz w:val="16"/>
          <w:szCs w:val="16"/>
          <w:color w:val="auto"/>
        </w:rPr>
      </w:pPr>
    </w:p>
    <w:p>
      <w:pPr>
        <w:jc w:val="both"/>
        <w:ind w:left="342" w:right="200"/>
        <w:spacing w:after="0" w:line="271" w:lineRule="auto"/>
        <w:rPr>
          <w:rFonts w:ascii="Arial" w:cs="Arial" w:eastAsia="Arial" w:hAnsi="Arial"/>
          <w:sz w:val="16"/>
          <w:szCs w:val="16"/>
          <w:color w:val="auto"/>
        </w:rPr>
      </w:pPr>
      <w:r>
        <w:rPr>
          <w:rFonts w:ascii="Arial" w:cs="Arial" w:eastAsia="Arial" w:hAnsi="Arial"/>
          <w:sz w:val="16"/>
          <w:szCs w:val="16"/>
          <w:color w:val="auto"/>
        </w:rPr>
        <w:t>Based on corporate risk management, Group's Board of Directors approves the risk appetite framework to define the maximum level of risk that the organization is willing to take as seeks its strategic and financial objectives, maintaining a corporate vision in individual decisions of each entity. This Risk Appetite framework is based on "core" and specific metrics:</w:t>
      </w:r>
    </w:p>
    <w:p>
      <w:pPr>
        <w:spacing w:after="0" w:line="162" w:lineRule="exact"/>
        <w:rPr>
          <w:rFonts w:ascii="Arial" w:cs="Arial" w:eastAsia="Arial" w:hAnsi="Arial"/>
          <w:sz w:val="16"/>
          <w:szCs w:val="16"/>
          <w:color w:val="auto"/>
        </w:rPr>
      </w:pPr>
    </w:p>
    <w:p>
      <w:pPr>
        <w:ind w:left="342"/>
        <w:spacing w:after="0"/>
        <w:rPr>
          <w:rFonts w:ascii="Arial" w:cs="Arial" w:eastAsia="Arial" w:hAnsi="Arial"/>
          <w:sz w:val="16"/>
          <w:szCs w:val="16"/>
          <w:color w:val="auto"/>
        </w:rPr>
      </w:pPr>
      <w:r>
        <w:rPr>
          <w:rFonts w:ascii="Arial" w:cs="Arial" w:eastAsia="Arial" w:hAnsi="Arial"/>
          <w:sz w:val="14"/>
          <w:szCs w:val="14"/>
          <w:color w:val="auto"/>
        </w:rPr>
        <w:t>Core metrics are intended to preserve the organization’s strategic pillars, defined as solvency, liquidity, profit and growth, income stability and balance sheet structure.</w:t>
      </w:r>
    </w:p>
    <w:p>
      <w:pPr>
        <w:spacing w:after="0" w:line="232" w:lineRule="exact"/>
        <w:rPr>
          <w:rFonts w:ascii="Arial" w:cs="Arial" w:eastAsia="Arial" w:hAnsi="Arial"/>
          <w:sz w:val="16"/>
          <w:szCs w:val="16"/>
          <w:color w:val="auto"/>
        </w:rPr>
      </w:pPr>
    </w:p>
    <w:p>
      <w:pPr>
        <w:ind w:left="342" w:right="440"/>
        <w:spacing w:after="0" w:line="322" w:lineRule="auto"/>
        <w:rPr>
          <w:rFonts w:ascii="Arial" w:cs="Arial" w:eastAsia="Arial" w:hAnsi="Arial"/>
          <w:sz w:val="16"/>
          <w:szCs w:val="16"/>
          <w:color w:val="auto"/>
        </w:rPr>
      </w:pPr>
      <w:r>
        <w:rPr>
          <w:rFonts w:ascii="Arial" w:cs="Arial" w:eastAsia="Arial" w:hAnsi="Arial"/>
          <w:sz w:val="15"/>
          <w:szCs w:val="15"/>
          <w:color w:val="auto"/>
        </w:rPr>
        <w:t>Specific metrics objectives are intended to monitor on a qualitative and quantitative basis the various risks, to which the Group is exposed, as well as defining a tolerance threshold of each of those risks, so the risk profile set by the Board is preserved and any risk focus is anticipated on a more granular basis.</w:t>
      </w:r>
    </w:p>
    <w:p>
      <w:pPr>
        <w:spacing w:after="0" w:line="126" w:lineRule="exact"/>
        <w:rPr>
          <w:rFonts w:ascii="Arial" w:cs="Arial" w:eastAsia="Arial" w:hAnsi="Arial"/>
          <w:sz w:val="16"/>
          <w:szCs w:val="16"/>
          <w:color w:val="auto"/>
        </w:rPr>
      </w:pPr>
    </w:p>
    <w:p>
      <w:pPr>
        <w:ind w:left="342"/>
        <w:spacing w:after="0"/>
        <w:rPr>
          <w:rFonts w:ascii="Arial" w:cs="Arial" w:eastAsia="Arial" w:hAnsi="Arial"/>
          <w:sz w:val="16"/>
          <w:szCs w:val="16"/>
          <w:color w:val="auto"/>
        </w:rPr>
      </w:pPr>
      <w:r>
        <w:rPr>
          <w:rFonts w:ascii="Arial" w:cs="Arial" w:eastAsia="Arial" w:hAnsi="Arial"/>
          <w:sz w:val="16"/>
          <w:szCs w:val="16"/>
          <w:color w:val="auto"/>
        </w:rPr>
        <w:t>Risk appetite is instrumented through the following elements:</w:t>
      </w:r>
    </w:p>
    <w:p>
      <w:pPr>
        <w:spacing w:after="0" w:line="209" w:lineRule="exact"/>
        <w:rPr>
          <w:rFonts w:ascii="Arial" w:cs="Arial" w:eastAsia="Arial" w:hAnsi="Arial"/>
          <w:sz w:val="16"/>
          <w:szCs w:val="16"/>
          <w:color w:val="auto"/>
        </w:rPr>
      </w:pPr>
    </w:p>
    <w:p>
      <w:pPr>
        <w:ind w:left="562" w:hanging="218"/>
        <w:spacing w:after="0"/>
        <w:tabs>
          <w:tab w:leader="none" w:pos="562" w:val="left"/>
        </w:tabs>
        <w:numPr>
          <w:ilvl w:val="2"/>
          <w:numId w:val="96"/>
        </w:numPr>
        <w:rPr>
          <w:rFonts w:ascii="Arial" w:cs="Arial" w:eastAsia="Arial" w:hAnsi="Arial"/>
          <w:sz w:val="16"/>
          <w:szCs w:val="16"/>
          <w:color w:val="auto"/>
        </w:rPr>
      </w:pPr>
      <w:r>
        <w:rPr>
          <w:rFonts w:ascii="Arial" w:cs="Arial" w:eastAsia="Arial" w:hAnsi="Arial"/>
          <w:sz w:val="16"/>
          <w:szCs w:val="16"/>
          <w:color w:val="auto"/>
        </w:rPr>
        <w:t>Risk appetite statement: Establishes explicit general principles and the qualitative declarations which complement the risk strategy.</w:t>
      </w:r>
    </w:p>
    <w:p>
      <w:pPr>
        <w:spacing w:after="0" w:line="209" w:lineRule="exact"/>
        <w:rPr>
          <w:rFonts w:ascii="Arial" w:cs="Arial" w:eastAsia="Arial" w:hAnsi="Arial"/>
          <w:sz w:val="16"/>
          <w:szCs w:val="16"/>
          <w:color w:val="auto"/>
        </w:rPr>
      </w:pPr>
    </w:p>
    <w:p>
      <w:pPr>
        <w:ind w:left="562" w:hanging="218"/>
        <w:spacing w:after="0"/>
        <w:tabs>
          <w:tab w:leader="none" w:pos="562" w:val="left"/>
        </w:tabs>
        <w:numPr>
          <w:ilvl w:val="2"/>
          <w:numId w:val="96"/>
        </w:numPr>
        <w:rPr>
          <w:rFonts w:ascii="Arial" w:cs="Arial" w:eastAsia="Arial" w:hAnsi="Arial"/>
          <w:sz w:val="16"/>
          <w:szCs w:val="16"/>
          <w:color w:val="auto"/>
        </w:rPr>
      </w:pPr>
      <w:r>
        <w:rPr>
          <w:rFonts w:ascii="Arial" w:cs="Arial" w:eastAsia="Arial" w:hAnsi="Arial"/>
          <w:sz w:val="16"/>
          <w:szCs w:val="16"/>
          <w:color w:val="auto"/>
        </w:rPr>
        <w:t>Metrics scorecards: These are used to define the levels of risk exposure in the different strategic pillars.</w:t>
      </w:r>
    </w:p>
    <w:p>
      <w:pPr>
        <w:spacing w:after="0" w:line="209" w:lineRule="exact"/>
        <w:rPr>
          <w:rFonts w:ascii="Arial" w:cs="Arial" w:eastAsia="Arial" w:hAnsi="Arial"/>
          <w:sz w:val="16"/>
          <w:szCs w:val="16"/>
          <w:color w:val="auto"/>
        </w:rPr>
      </w:pPr>
    </w:p>
    <w:p>
      <w:pPr>
        <w:ind w:left="582" w:right="200" w:hanging="287"/>
        <w:spacing w:after="0" w:line="287" w:lineRule="auto"/>
        <w:tabs>
          <w:tab w:leader="none" w:pos="582" w:val="left"/>
        </w:tabs>
        <w:numPr>
          <w:ilvl w:val="1"/>
          <w:numId w:val="96"/>
        </w:numPr>
        <w:rPr>
          <w:rFonts w:ascii="Arial" w:cs="Arial" w:eastAsia="Arial" w:hAnsi="Arial"/>
          <w:sz w:val="16"/>
          <w:szCs w:val="16"/>
          <w:color w:val="auto"/>
        </w:rPr>
      </w:pPr>
      <w:r>
        <w:rPr>
          <w:rFonts w:ascii="Arial" w:cs="Arial" w:eastAsia="Arial" w:hAnsi="Arial"/>
          <w:sz w:val="16"/>
          <w:szCs w:val="16"/>
          <w:color w:val="auto"/>
        </w:rPr>
        <w:t>Limits: Allows control over the risk-taking process within the tolerance threshold established by the Board. They also provide accountability for the risk-taking process and define guidelines regarding the target risk profile.</w:t>
      </w:r>
    </w:p>
    <w:p>
      <w:pPr>
        <w:spacing w:after="0" w:line="346" w:lineRule="exact"/>
        <w:rPr>
          <w:rFonts w:ascii="Arial" w:cs="Arial" w:eastAsia="Arial" w:hAnsi="Arial"/>
          <w:sz w:val="16"/>
          <w:szCs w:val="16"/>
          <w:color w:val="auto"/>
        </w:rPr>
      </w:pPr>
    </w:p>
    <w:p>
      <w:pPr>
        <w:ind w:left="5542" w:hanging="93"/>
        <w:spacing w:after="0"/>
        <w:tabs>
          <w:tab w:leader="none" w:pos="5542" w:val="left"/>
        </w:tabs>
        <w:numPr>
          <w:ilvl w:val="3"/>
          <w:numId w:val="96"/>
        </w:numPr>
        <w:rPr>
          <w:rFonts w:ascii="Arial" w:cs="Arial" w:eastAsia="Arial" w:hAnsi="Arial"/>
          <w:sz w:val="16"/>
          <w:szCs w:val="16"/>
          <w:color w:val="auto"/>
        </w:rPr>
      </w:pPr>
      <w:r>
        <w:rPr>
          <w:rFonts w:ascii="Arial" w:cs="Arial" w:eastAsia="Arial" w:hAnsi="Arial"/>
          <w:sz w:val="16"/>
          <w:szCs w:val="16"/>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39" w:right="339" w:bottom="1440" w:gutter="0" w:footer="0" w:header="0"/>
        </w:sectPr>
      </w:pPr>
    </w:p>
    <w:bookmarkStart w:id="85" w:name="page86"/>
    <w:bookmarkEnd w:id="85"/>
    <w:p>
      <w:pPr>
        <w:ind w:left="562" w:hanging="218"/>
        <w:spacing w:after="0"/>
        <w:tabs>
          <w:tab w:leader="none" w:pos="562" w:val="left"/>
        </w:tabs>
        <w:numPr>
          <w:ilvl w:val="0"/>
          <w:numId w:val="97"/>
        </w:numPr>
        <w:rPr>
          <w:rFonts w:ascii="Arial" w:cs="Arial" w:eastAsia="Arial" w:hAnsi="Arial"/>
          <w:sz w:val="16"/>
          <w:szCs w:val="16"/>
          <w:color w:val="auto"/>
        </w:rPr>
      </w:pPr>
      <w:r>
        <w:rPr>
          <w:rFonts w:ascii="Arial" w:cs="Arial" w:eastAsia="Arial" w:hAnsi="Arial"/>
          <w:sz w:val="16"/>
          <w:szCs w:val="16"/>
          <w:color w:val="auto"/>
        </w:rPr>
        <w:t>Government scheme: Seeks to guarantee compliance of the framework through different roles and responsibilities assigned to the units involved.</w:t>
      </w:r>
    </w:p>
    <w:p>
      <w:pPr>
        <w:spacing w:after="0" w:line="209" w:lineRule="exact"/>
        <w:rPr>
          <w:sz w:val="20"/>
          <w:szCs w:val="20"/>
          <w:color w:val="auto"/>
        </w:rPr>
      </w:pPr>
    </w:p>
    <w:p>
      <w:pPr>
        <w:ind w:left="342" w:right="260"/>
        <w:spacing w:after="0" w:line="287" w:lineRule="auto"/>
        <w:rPr>
          <w:sz w:val="20"/>
          <w:szCs w:val="20"/>
          <w:color w:val="auto"/>
        </w:rPr>
      </w:pPr>
      <w:r>
        <w:rPr>
          <w:rFonts w:ascii="Arial" w:cs="Arial" w:eastAsia="Arial" w:hAnsi="Arial"/>
          <w:sz w:val="16"/>
          <w:szCs w:val="16"/>
          <w:color w:val="auto"/>
        </w:rPr>
        <w:t>The appetite is integrated into the processes of strategic and capital guidelines, as well as in the definition of the annual budget, facilitating the strategic decision making of the organization.</w:t>
      </w:r>
    </w:p>
    <w:p>
      <w:pPr>
        <w:spacing w:after="0" w:line="150" w:lineRule="exact"/>
        <w:rPr>
          <w:sz w:val="20"/>
          <w:szCs w:val="20"/>
          <w:color w:val="auto"/>
        </w:rPr>
      </w:pPr>
    </w:p>
    <w:p>
      <w:pPr>
        <w:ind w:left="342" w:hanging="342"/>
        <w:spacing w:after="0"/>
        <w:tabs>
          <w:tab w:leader="none" w:pos="342" w:val="left"/>
        </w:tabs>
        <w:numPr>
          <w:ilvl w:val="0"/>
          <w:numId w:val="98"/>
        </w:numPr>
        <w:rPr>
          <w:rFonts w:ascii="Arial" w:cs="Arial" w:eastAsia="Arial" w:hAnsi="Arial"/>
          <w:sz w:val="16"/>
          <w:szCs w:val="16"/>
          <w:color w:val="auto"/>
        </w:rPr>
      </w:pPr>
      <w:r>
        <w:rPr>
          <w:rFonts w:ascii="Arial" w:cs="Arial" w:eastAsia="Arial" w:hAnsi="Arial"/>
          <w:sz w:val="16"/>
          <w:szCs w:val="16"/>
          <w:color w:val="auto"/>
        </w:rPr>
        <w:t>Risk concentration -</w:t>
      </w:r>
    </w:p>
    <w:p>
      <w:pPr>
        <w:spacing w:after="0" w:line="209" w:lineRule="exact"/>
        <w:rPr>
          <w:sz w:val="20"/>
          <w:szCs w:val="20"/>
          <w:color w:val="auto"/>
        </w:rPr>
      </w:pPr>
    </w:p>
    <w:p>
      <w:pPr>
        <w:ind w:left="302" w:right="60"/>
        <w:spacing w:after="0" w:line="287" w:lineRule="auto"/>
        <w:rPr>
          <w:sz w:val="20"/>
          <w:szCs w:val="20"/>
          <w:color w:val="auto"/>
        </w:rPr>
      </w:pPr>
      <w:r>
        <w:rPr>
          <w:rFonts w:ascii="Arial" w:cs="Arial" w:eastAsia="Arial" w:hAnsi="Arial"/>
          <w:sz w:val="16"/>
          <w:szCs w:val="16"/>
          <w:color w:val="auto"/>
        </w:rPr>
        <w:t>Concentrations arise when a reduced and representative number of all counterparties of the Group are engaged in similar business activities, or activities in the same geographic region, or have similar economic and political conditions among others.</w:t>
      </w:r>
    </w:p>
    <w:p>
      <w:pPr>
        <w:spacing w:after="0" w:line="150" w:lineRule="exact"/>
        <w:rPr>
          <w:sz w:val="20"/>
          <w:szCs w:val="20"/>
          <w:color w:val="auto"/>
        </w:rPr>
      </w:pPr>
    </w:p>
    <w:p>
      <w:pPr>
        <w:ind w:left="302"/>
        <w:spacing w:after="0"/>
        <w:rPr>
          <w:sz w:val="20"/>
          <w:szCs w:val="20"/>
          <w:color w:val="auto"/>
        </w:rPr>
      </w:pPr>
      <w:r>
        <w:rPr>
          <w:rFonts w:ascii="Arial" w:cs="Arial" w:eastAsia="Arial" w:hAnsi="Arial"/>
          <w:sz w:val="16"/>
          <w:szCs w:val="16"/>
          <w:color w:val="auto"/>
        </w:rPr>
        <w:t>In order to avoid excessive concentrations of risk, the policies and procedures include specific guidelines to guarantee a diversified portfolio.</w:t>
      </w:r>
    </w:p>
    <w:p>
      <w:pPr>
        <w:spacing w:after="0" w:line="20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34.1 Credit risk -</w:t>
      </w:r>
    </w:p>
    <w:p>
      <w:pPr>
        <w:spacing w:after="0" w:line="213" w:lineRule="exact"/>
        <w:rPr>
          <w:sz w:val="20"/>
          <w:szCs w:val="20"/>
          <w:color w:val="auto"/>
        </w:rPr>
      </w:pPr>
    </w:p>
    <w:p>
      <w:pPr>
        <w:ind w:left="682" w:right="300" w:hanging="289"/>
        <w:spacing w:after="0" w:line="287" w:lineRule="auto"/>
        <w:tabs>
          <w:tab w:leader="none" w:pos="682"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Group takes on exposure to credit risk, which is the probability of suffering losses caused by debtors or counterparties failing to comply with payment obligations in on or off the balance sheet exposures.</w:t>
      </w:r>
    </w:p>
    <w:p>
      <w:pPr>
        <w:spacing w:after="0" w:line="149" w:lineRule="exact"/>
        <w:rPr>
          <w:rFonts w:ascii="Arial" w:cs="Arial" w:eastAsia="Arial" w:hAnsi="Arial"/>
          <w:sz w:val="16"/>
          <w:szCs w:val="16"/>
          <w:color w:val="auto"/>
        </w:rPr>
      </w:pPr>
    </w:p>
    <w:p>
      <w:pPr>
        <w:ind w:left="702" w:right="140"/>
        <w:spacing w:after="0" w:line="264" w:lineRule="auto"/>
        <w:rPr>
          <w:rFonts w:ascii="Arial" w:cs="Arial" w:eastAsia="Arial" w:hAnsi="Arial"/>
          <w:sz w:val="16"/>
          <w:szCs w:val="16"/>
          <w:color w:val="auto"/>
        </w:rPr>
      </w:pPr>
      <w:r>
        <w:rPr>
          <w:rFonts w:ascii="Arial" w:cs="Arial" w:eastAsia="Arial" w:hAnsi="Arial"/>
          <w:sz w:val="16"/>
          <w:szCs w:val="16"/>
          <w:color w:val="auto"/>
        </w:rPr>
        <w:t>Credit risk is the most important risk for the Group’s business; therefore, Management carefully manages its exposure to credit risk. Credit exposures arise principally from lending activities that lead to direct loans; they also result from investment activities. There is also credit risk in off-balance sheet financial instruments, such as contingent credits (indirect loans), which expose Credicorp to risks similar to direct loans. Likewise, credit risk arises from derivative financial instruments that present showing positive fair values. Finally, all exposure to credit risk (direct or indirect) is mitigated by the control processes and policies.</w:t>
      </w:r>
    </w:p>
    <w:p>
      <w:pPr>
        <w:spacing w:after="0" w:line="167" w:lineRule="exact"/>
        <w:rPr>
          <w:rFonts w:ascii="Arial" w:cs="Arial" w:eastAsia="Arial" w:hAnsi="Arial"/>
          <w:sz w:val="16"/>
          <w:szCs w:val="16"/>
          <w:color w:val="auto"/>
        </w:rPr>
      </w:pPr>
    </w:p>
    <w:p>
      <w:pPr>
        <w:ind w:left="702" w:right="40"/>
        <w:spacing w:after="0" w:line="287" w:lineRule="auto"/>
        <w:rPr>
          <w:rFonts w:ascii="Arial" w:cs="Arial" w:eastAsia="Arial" w:hAnsi="Arial"/>
          <w:sz w:val="16"/>
          <w:szCs w:val="16"/>
          <w:color w:val="auto"/>
        </w:rPr>
      </w:pPr>
      <w:r>
        <w:rPr>
          <w:rFonts w:ascii="Arial" w:cs="Arial" w:eastAsia="Arial" w:hAnsi="Arial"/>
          <w:sz w:val="16"/>
          <w:szCs w:val="16"/>
          <w:color w:val="auto"/>
        </w:rPr>
        <w:t>As part of the management of this type of risk, Credicorp assigns impairment provisions for its loan portfolio at the date of the interim condensed consolidated statement of financial position.</w:t>
      </w:r>
    </w:p>
    <w:p>
      <w:pPr>
        <w:spacing w:after="0" w:line="149" w:lineRule="exact"/>
        <w:rPr>
          <w:rFonts w:ascii="Arial" w:cs="Arial" w:eastAsia="Arial" w:hAnsi="Arial"/>
          <w:sz w:val="16"/>
          <w:szCs w:val="16"/>
          <w:color w:val="auto"/>
        </w:rPr>
      </w:pPr>
    </w:p>
    <w:p>
      <w:pPr>
        <w:jc w:val="both"/>
        <w:ind w:left="702"/>
        <w:spacing w:after="0" w:line="271" w:lineRule="auto"/>
        <w:rPr>
          <w:rFonts w:ascii="Arial" w:cs="Arial" w:eastAsia="Arial" w:hAnsi="Arial"/>
          <w:sz w:val="16"/>
          <w:szCs w:val="16"/>
          <w:color w:val="auto"/>
        </w:rPr>
      </w:pPr>
      <w:r>
        <w:rPr>
          <w:rFonts w:ascii="Arial" w:cs="Arial" w:eastAsia="Arial" w:hAnsi="Arial"/>
          <w:sz w:val="16"/>
          <w:szCs w:val="16"/>
          <w:color w:val="auto"/>
        </w:rPr>
        <w:t>The Group defines the levels of credit risk assumed based on risk exposure limits, which are frequently monitored. Said limits are established in relation to one borrower or group of borrowers, geographical and industry segments. Furthermore, the risk limits by product, industry sector and by geographical segment are approved by the Risk Committee of Credicorp.</w:t>
      </w:r>
    </w:p>
    <w:p>
      <w:pPr>
        <w:spacing w:after="0" w:line="162" w:lineRule="exact"/>
        <w:rPr>
          <w:rFonts w:ascii="Arial" w:cs="Arial" w:eastAsia="Arial" w:hAnsi="Arial"/>
          <w:sz w:val="16"/>
          <w:szCs w:val="16"/>
          <w:color w:val="auto"/>
        </w:rPr>
      </w:pPr>
    </w:p>
    <w:p>
      <w:pPr>
        <w:ind w:left="702" w:right="100"/>
        <w:spacing w:after="0" w:line="287" w:lineRule="auto"/>
        <w:rPr>
          <w:rFonts w:ascii="Arial" w:cs="Arial" w:eastAsia="Arial" w:hAnsi="Arial"/>
          <w:sz w:val="16"/>
          <w:szCs w:val="16"/>
          <w:color w:val="auto"/>
        </w:rPr>
      </w:pPr>
      <w:r>
        <w:rPr>
          <w:rFonts w:ascii="Arial" w:cs="Arial" w:eastAsia="Arial" w:hAnsi="Arial"/>
          <w:sz w:val="16"/>
          <w:szCs w:val="16"/>
          <w:color w:val="auto"/>
        </w:rPr>
        <w:t>Exposure to credit risk is managed through regular analysis of the ability of debtors and potential debtors to meet interest and principal repayment obligations and by changing the credit limits when it is appropriate. Other specific control measures are outlined below:</w:t>
      </w:r>
    </w:p>
    <w:p>
      <w:pPr>
        <w:spacing w:after="0" w:line="149" w:lineRule="exact"/>
        <w:rPr>
          <w:rFonts w:ascii="Arial" w:cs="Arial" w:eastAsia="Arial" w:hAnsi="Arial"/>
          <w:sz w:val="16"/>
          <w:szCs w:val="16"/>
          <w:color w:val="auto"/>
        </w:rPr>
      </w:pPr>
    </w:p>
    <w:p>
      <w:pPr>
        <w:ind w:left="1042" w:hanging="354"/>
        <w:spacing w:after="0"/>
        <w:tabs>
          <w:tab w:leader="none" w:pos="1042" w:val="left"/>
        </w:tabs>
        <w:numPr>
          <w:ilvl w:val="1"/>
          <w:numId w:val="99"/>
        </w:numPr>
        <w:rPr>
          <w:rFonts w:ascii="Arial" w:cs="Arial" w:eastAsia="Arial" w:hAnsi="Arial"/>
          <w:sz w:val="16"/>
          <w:szCs w:val="16"/>
          <w:color w:val="auto"/>
        </w:rPr>
      </w:pPr>
      <w:r>
        <w:rPr>
          <w:rFonts w:ascii="Arial" w:cs="Arial" w:eastAsia="Arial" w:hAnsi="Arial"/>
          <w:sz w:val="16"/>
          <w:szCs w:val="16"/>
          <w:color w:val="auto"/>
        </w:rPr>
        <w:t>Collateral -</w:t>
      </w:r>
    </w:p>
    <w:p>
      <w:pPr>
        <w:spacing w:after="0" w:line="209" w:lineRule="exact"/>
        <w:rPr>
          <w:rFonts w:ascii="Arial" w:cs="Arial" w:eastAsia="Arial" w:hAnsi="Arial"/>
          <w:sz w:val="16"/>
          <w:szCs w:val="16"/>
          <w:color w:val="auto"/>
        </w:rPr>
      </w:pPr>
    </w:p>
    <w:p>
      <w:pPr>
        <w:jc w:val="both"/>
        <w:ind w:left="1162" w:hanging="118"/>
        <w:spacing w:after="0" w:line="271" w:lineRule="auto"/>
        <w:tabs>
          <w:tab w:leader="none" w:pos="1162" w:val="left"/>
        </w:tabs>
        <w:numPr>
          <w:ilvl w:val="2"/>
          <w:numId w:val="99"/>
        </w:numPr>
        <w:rPr>
          <w:rFonts w:ascii="Arial" w:cs="Arial" w:eastAsia="Arial" w:hAnsi="Arial"/>
          <w:sz w:val="16"/>
          <w:szCs w:val="16"/>
          <w:color w:val="auto"/>
        </w:rPr>
      </w:pPr>
      <w:r>
        <w:rPr>
          <w:rFonts w:ascii="Arial" w:cs="Arial" w:eastAsia="Arial" w:hAnsi="Arial"/>
          <w:sz w:val="16"/>
          <w:szCs w:val="16"/>
          <w:color w:val="auto"/>
        </w:rPr>
        <w:t>The Group employs a range of policies and practices to mitigate credit risk. The most traditional of these is collateralization which is common practice. The Group implements guidelines on the acceptability of specific classes of collateral or credit risk mitigation. The main types of collateral obtained are as follows:</w:t>
      </w:r>
    </w:p>
    <w:p>
      <w:pPr>
        <w:spacing w:after="0" w:line="359" w:lineRule="exact"/>
        <w:rPr>
          <w:rFonts w:ascii="Arial" w:cs="Arial" w:eastAsia="Arial" w:hAnsi="Arial"/>
          <w:sz w:val="16"/>
          <w:szCs w:val="16"/>
          <w:color w:val="auto"/>
        </w:rPr>
      </w:pPr>
    </w:p>
    <w:p>
      <w:pPr>
        <w:ind w:left="5542" w:hanging="93"/>
        <w:spacing w:after="0"/>
        <w:tabs>
          <w:tab w:leader="none" w:pos="5542" w:val="left"/>
        </w:tabs>
        <w:numPr>
          <w:ilvl w:val="3"/>
          <w:numId w:val="99"/>
        </w:numPr>
        <w:rPr>
          <w:rFonts w:ascii="Arial" w:cs="Arial" w:eastAsia="Arial" w:hAnsi="Arial"/>
          <w:sz w:val="16"/>
          <w:szCs w:val="16"/>
          <w:color w:val="auto"/>
        </w:rPr>
      </w:pPr>
      <w:r>
        <w:rPr>
          <w:rFonts w:ascii="Arial" w:cs="Arial" w:eastAsia="Arial" w:hAnsi="Arial"/>
          <w:sz w:val="16"/>
          <w:szCs w:val="16"/>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122"/>
          </w:cols>
          <w:pgMar w:left="318" w:top="839" w:right="459" w:bottom="1440" w:gutter="0" w:footer="0" w:header="0"/>
        </w:sectPr>
      </w:pPr>
    </w:p>
    <w:bookmarkStart w:id="86" w:name="page87"/>
    <w:bookmarkEnd w:id="86"/>
    <w:p>
      <w:pPr>
        <w:ind w:left="789" w:right="340"/>
        <w:spacing w:after="0" w:line="287" w:lineRule="auto"/>
        <w:rPr>
          <w:sz w:val="20"/>
          <w:szCs w:val="20"/>
          <w:color w:val="auto"/>
        </w:rPr>
      </w:pPr>
      <w:r>
        <w:rPr>
          <w:rFonts w:ascii="Arial" w:cs="Arial" w:eastAsia="Arial" w:hAnsi="Arial"/>
          <w:sz w:val="16"/>
          <w:szCs w:val="16"/>
          <w:color w:val="auto"/>
        </w:rPr>
        <w:t>For loans and advances, collateral includes, among others, mortgages on residential properties; liens on business assets such as plants, inventory and accounts receivable; and liens on financial instruments such as debt securities and equity securities.</w:t>
      </w:r>
    </w:p>
    <w:p>
      <w:pPr>
        <w:spacing w:after="0" w:line="150" w:lineRule="exact"/>
        <w:rPr>
          <w:sz w:val="20"/>
          <w:szCs w:val="20"/>
          <w:color w:val="auto"/>
        </w:rPr>
      </w:pPr>
    </w:p>
    <w:p>
      <w:pPr>
        <w:ind w:left="769" w:right="100" w:hanging="118"/>
        <w:spacing w:after="0" w:line="287" w:lineRule="auto"/>
        <w:tabs>
          <w:tab w:leader="none" w:pos="76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Long-term loans and financing to corporate entities are generally guaranteed. Loans to micro business generally have no collateral. In order to minimize credit loss, the Group will seek additional collateral from the counterparty as soon as impairment indicators arise.</w:t>
      </w:r>
    </w:p>
    <w:p>
      <w:pPr>
        <w:spacing w:after="0" w:line="149" w:lineRule="exact"/>
        <w:rPr>
          <w:rFonts w:ascii="Arial" w:cs="Arial" w:eastAsia="Arial" w:hAnsi="Arial"/>
          <w:sz w:val="16"/>
          <w:szCs w:val="16"/>
          <w:color w:val="auto"/>
        </w:rPr>
      </w:pPr>
    </w:p>
    <w:p>
      <w:pPr>
        <w:ind w:left="769" w:hanging="118"/>
        <w:spacing w:after="0"/>
        <w:tabs>
          <w:tab w:leader="none" w:pos="76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For repurchase agreements and securities lending, collateral consists of fixed income instruments and cash.</w:t>
      </w:r>
    </w:p>
    <w:p>
      <w:pPr>
        <w:spacing w:after="0" w:line="209" w:lineRule="exact"/>
        <w:rPr>
          <w:sz w:val="20"/>
          <w:szCs w:val="20"/>
          <w:color w:val="auto"/>
        </w:rPr>
      </w:pPr>
    </w:p>
    <w:p>
      <w:pPr>
        <w:ind w:left="649" w:right="300"/>
        <w:spacing w:after="0" w:line="271" w:lineRule="auto"/>
        <w:rPr>
          <w:sz w:val="20"/>
          <w:szCs w:val="20"/>
          <w:color w:val="auto"/>
        </w:rPr>
      </w:pPr>
      <w:r>
        <w:rPr>
          <w:rFonts w:ascii="Arial" w:cs="Arial" w:eastAsia="Arial" w:hAnsi="Arial"/>
          <w:sz w:val="16"/>
          <w:szCs w:val="16"/>
          <w:color w:val="auto"/>
        </w:rPr>
        <w:t>Collateral held as security for financial assets other than loans is determined by the nature of the instrument. Debt securities, treasury and other eligible bills are generally unsecured, with the exception of assets backed securities and similar instruments, which are secured by portfolios of financial instruments.</w:t>
      </w:r>
    </w:p>
    <w:p>
      <w:pPr>
        <w:spacing w:after="0" w:line="163" w:lineRule="exact"/>
        <w:rPr>
          <w:sz w:val="20"/>
          <w:szCs w:val="20"/>
          <w:color w:val="auto"/>
        </w:rPr>
      </w:pPr>
    </w:p>
    <w:p>
      <w:pPr>
        <w:ind w:left="649" w:right="100"/>
        <w:spacing w:after="0" w:line="266" w:lineRule="auto"/>
        <w:rPr>
          <w:sz w:val="20"/>
          <w:szCs w:val="20"/>
          <w:color w:val="auto"/>
        </w:rPr>
      </w:pPr>
      <w:r>
        <w:rPr>
          <w:rFonts w:ascii="Arial" w:cs="Arial" w:eastAsia="Arial" w:hAnsi="Arial"/>
          <w:sz w:val="16"/>
          <w:szCs w:val="16"/>
          <w:color w:val="auto"/>
        </w:rPr>
        <w:t>Management monitors the market value of collateral, requests additional collateral in accordance with the underlying agreement, and monitors the market value of collateral obtained during its review of the adequacy of the allowance for impairment losses. As part of the Group’s policies, the recovered goods are sold in seniority order. The proceeds of the sale are used to reduce or amortize the outstanding credit. In general, the Group does not use recovered assets for its operational purposes.</w:t>
      </w:r>
    </w:p>
    <w:p>
      <w:pPr>
        <w:spacing w:after="0" w:line="167" w:lineRule="exact"/>
        <w:rPr>
          <w:sz w:val="20"/>
          <w:szCs w:val="20"/>
          <w:color w:val="auto"/>
        </w:rPr>
      </w:pPr>
    </w:p>
    <w:p>
      <w:pPr>
        <w:ind w:left="649" w:hanging="354"/>
        <w:spacing w:after="0"/>
        <w:tabs>
          <w:tab w:leader="none" w:pos="649" w:val="left"/>
        </w:tabs>
        <w:numPr>
          <w:ilvl w:val="1"/>
          <w:numId w:val="101"/>
        </w:numPr>
        <w:rPr>
          <w:rFonts w:ascii="Arial" w:cs="Arial" w:eastAsia="Arial" w:hAnsi="Arial"/>
          <w:sz w:val="16"/>
          <w:szCs w:val="16"/>
          <w:color w:val="auto"/>
        </w:rPr>
      </w:pPr>
      <w:r>
        <w:rPr>
          <w:rFonts w:ascii="Arial" w:cs="Arial" w:eastAsia="Arial" w:hAnsi="Arial"/>
          <w:sz w:val="16"/>
          <w:szCs w:val="16"/>
          <w:color w:val="auto"/>
        </w:rPr>
        <w:t>Derivatives -</w:t>
      </w:r>
    </w:p>
    <w:p>
      <w:pPr>
        <w:spacing w:after="0" w:line="209" w:lineRule="exact"/>
        <w:rPr>
          <w:rFonts w:ascii="Arial" w:cs="Arial" w:eastAsia="Arial" w:hAnsi="Arial"/>
          <w:sz w:val="16"/>
          <w:szCs w:val="16"/>
          <w:color w:val="auto"/>
        </w:rPr>
      </w:pPr>
    </w:p>
    <w:p>
      <w:pPr>
        <w:ind w:left="649"/>
        <w:spacing w:after="0" w:line="266" w:lineRule="auto"/>
        <w:rPr>
          <w:rFonts w:ascii="Arial" w:cs="Arial" w:eastAsia="Arial" w:hAnsi="Arial"/>
          <w:sz w:val="16"/>
          <w:szCs w:val="16"/>
          <w:color w:val="auto"/>
        </w:rPr>
      </w:pPr>
      <w:r>
        <w:rPr>
          <w:rFonts w:ascii="Arial" w:cs="Arial" w:eastAsia="Arial" w:hAnsi="Arial"/>
          <w:sz w:val="16"/>
          <w:szCs w:val="16"/>
          <w:color w:val="auto"/>
        </w:rPr>
        <w:t>The amount subject to credit risk is limited to the current and potential fair value of instruments that are favorable to the Group (fair value is positive). In the case of derivatives this is only a small fraction of the contract, or notional values used to express the volume of instruments outstanding. This credit risk exposure is managed as a portion of the total credit limits with customers, together with potential exposures from market movements. Collateral or other security is not usually obtained for this type of risk exposure.</w:t>
      </w:r>
    </w:p>
    <w:p>
      <w:pPr>
        <w:spacing w:after="0" w:line="166" w:lineRule="exact"/>
        <w:rPr>
          <w:rFonts w:ascii="Arial" w:cs="Arial" w:eastAsia="Arial" w:hAnsi="Arial"/>
          <w:sz w:val="16"/>
          <w:szCs w:val="16"/>
          <w:color w:val="auto"/>
        </w:rPr>
      </w:pPr>
    </w:p>
    <w:p>
      <w:pPr>
        <w:ind w:left="649" w:hanging="354"/>
        <w:spacing w:after="0"/>
        <w:tabs>
          <w:tab w:leader="none" w:pos="649" w:val="left"/>
        </w:tabs>
        <w:numPr>
          <w:ilvl w:val="1"/>
          <w:numId w:val="101"/>
        </w:numPr>
        <w:rPr>
          <w:rFonts w:ascii="Arial" w:cs="Arial" w:eastAsia="Arial" w:hAnsi="Arial"/>
          <w:sz w:val="16"/>
          <w:szCs w:val="16"/>
          <w:color w:val="auto"/>
        </w:rPr>
      </w:pPr>
      <w:r>
        <w:rPr>
          <w:rFonts w:ascii="Arial" w:cs="Arial" w:eastAsia="Arial" w:hAnsi="Arial"/>
          <w:sz w:val="16"/>
          <w:szCs w:val="16"/>
          <w:color w:val="auto"/>
        </w:rPr>
        <w:t>Credit-related commitments -</w:t>
      </w:r>
    </w:p>
    <w:p>
      <w:pPr>
        <w:spacing w:after="0" w:line="209" w:lineRule="exact"/>
        <w:rPr>
          <w:rFonts w:ascii="Arial" w:cs="Arial" w:eastAsia="Arial" w:hAnsi="Arial"/>
          <w:sz w:val="16"/>
          <w:szCs w:val="16"/>
          <w:color w:val="auto"/>
        </w:rPr>
      </w:pPr>
    </w:p>
    <w:p>
      <w:pPr>
        <w:ind w:left="649" w:right="20"/>
        <w:spacing w:after="0" w:line="289" w:lineRule="auto"/>
        <w:rPr>
          <w:rFonts w:ascii="Arial" w:cs="Arial" w:eastAsia="Arial" w:hAnsi="Arial"/>
          <w:sz w:val="16"/>
          <w:szCs w:val="16"/>
          <w:color w:val="auto"/>
        </w:rPr>
      </w:pPr>
      <w:r>
        <w:rPr>
          <w:rFonts w:ascii="Arial" w:cs="Arial" w:eastAsia="Arial" w:hAnsi="Arial"/>
          <w:sz w:val="15"/>
          <w:szCs w:val="15"/>
          <w:color w:val="auto"/>
        </w:rPr>
        <w:t>The primary purpose of these instruments is to ensure that funds are available to a customer as required. Guarantees and letters of credit have the same credit risk as direct loans. Documentary and commercial letters of credit - which are written undertakings by the Group on behalf of a customer authorizing a third party to draw drafts on the Group up to a stipulated amount under specific terms and conditions - are collateralized by the underlying shipments of goods to which they relate and therefore have less risk than a direct loan. The Group has no mandatory commitments to extend credit.</w:t>
      </w:r>
    </w:p>
    <w:p>
      <w:pPr>
        <w:spacing w:after="0" w:line="151" w:lineRule="exact"/>
        <w:rPr>
          <w:rFonts w:ascii="Arial" w:cs="Arial" w:eastAsia="Arial" w:hAnsi="Arial"/>
          <w:sz w:val="16"/>
          <w:szCs w:val="16"/>
          <w:color w:val="auto"/>
        </w:rPr>
      </w:pPr>
    </w:p>
    <w:p>
      <w:pPr>
        <w:ind w:left="289" w:right="520" w:hanging="289"/>
        <w:spacing w:after="0" w:line="287" w:lineRule="auto"/>
        <w:tabs>
          <w:tab w:leader="none" w:pos="28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maximum exposure to credit risk as of March 31, 2020 and December 31, 2019, before the effect of mitigation through any collateral, is the carrying amount of each class of financial assets described in Notes 34.7(a), 34.7(b) and the contingent credits detailed in Note 21(a).</w:t>
      </w:r>
    </w:p>
    <w:p>
      <w:pPr>
        <w:spacing w:after="0" w:line="149" w:lineRule="exact"/>
        <w:rPr>
          <w:rFonts w:ascii="Arial" w:cs="Arial" w:eastAsia="Arial" w:hAnsi="Arial"/>
          <w:sz w:val="16"/>
          <w:szCs w:val="16"/>
          <w:color w:val="auto"/>
        </w:rPr>
      </w:pPr>
    </w:p>
    <w:p>
      <w:pPr>
        <w:ind w:left="309" w:right="360"/>
        <w:spacing w:after="0" w:line="287" w:lineRule="auto"/>
        <w:rPr>
          <w:rFonts w:ascii="Arial" w:cs="Arial" w:eastAsia="Arial" w:hAnsi="Arial"/>
          <w:sz w:val="16"/>
          <w:szCs w:val="16"/>
          <w:color w:val="auto"/>
        </w:rPr>
      </w:pPr>
      <w:r>
        <w:rPr>
          <w:rFonts w:ascii="Arial" w:cs="Arial" w:eastAsia="Arial" w:hAnsi="Arial"/>
          <w:sz w:val="16"/>
          <w:szCs w:val="16"/>
          <w:color w:val="auto"/>
        </w:rPr>
        <w:t>Management is confident of its ability to continue controlling and maintaining minimal credit risk exposure within the Group, considering both its loan and securities portfolio.</w:t>
      </w:r>
    </w:p>
    <w:p>
      <w:pPr>
        <w:spacing w:after="0" w:line="346" w:lineRule="exact"/>
        <w:rPr>
          <w:rFonts w:ascii="Arial" w:cs="Arial" w:eastAsia="Arial" w:hAnsi="Arial"/>
          <w:sz w:val="16"/>
          <w:szCs w:val="16"/>
          <w:color w:val="auto"/>
        </w:rPr>
      </w:pPr>
    </w:p>
    <w:p>
      <w:pPr>
        <w:ind w:left="5149" w:hanging="93"/>
        <w:spacing w:after="0"/>
        <w:tabs>
          <w:tab w:leader="none" w:pos="5149" w:val="left"/>
        </w:tabs>
        <w:numPr>
          <w:ilvl w:val="2"/>
          <w:numId w:val="102"/>
        </w:numPr>
        <w:rPr>
          <w:rFonts w:ascii="Arial" w:cs="Arial" w:eastAsia="Arial" w:hAnsi="Arial"/>
          <w:sz w:val="16"/>
          <w:szCs w:val="16"/>
          <w:color w:val="auto"/>
        </w:rPr>
      </w:pPr>
      <w:r>
        <w:rPr>
          <w:rFonts w:ascii="Arial" w:cs="Arial" w:eastAsia="Arial" w:hAnsi="Arial"/>
          <w:sz w:val="16"/>
          <w:szCs w:val="16"/>
          <w:color w:val="auto"/>
        </w:rPr>
        <w:t>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15875</wp:posOffset>
            </wp:positionV>
            <wp:extent cx="714438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849"/>
          </w:cols>
          <w:pgMar w:left="711" w:top="839" w:right="339" w:bottom="1440" w:gutter="0" w:footer="0" w:header="0"/>
        </w:sectPr>
      </w:pPr>
    </w:p>
    <w:bookmarkStart w:id="87" w:name="page88"/>
    <w:bookmarkEnd w:id="87"/>
    <w:p>
      <w:pPr>
        <w:ind w:left="289" w:hanging="289"/>
        <w:spacing w:after="0"/>
        <w:tabs>
          <w:tab w:leader="none" w:pos="28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Credit risk management for loans -</w:t>
      </w:r>
    </w:p>
    <w:p>
      <w:pPr>
        <w:spacing w:after="0" w:line="209" w:lineRule="exact"/>
        <w:rPr>
          <w:rFonts w:ascii="Arial" w:cs="Arial" w:eastAsia="Arial" w:hAnsi="Arial"/>
          <w:sz w:val="16"/>
          <w:szCs w:val="16"/>
          <w:color w:val="auto"/>
        </w:rPr>
      </w:pPr>
    </w:p>
    <w:p>
      <w:pPr>
        <w:ind w:left="309" w:right="180"/>
        <w:spacing w:after="0" w:line="298" w:lineRule="auto"/>
        <w:rPr>
          <w:rFonts w:ascii="Arial" w:cs="Arial" w:eastAsia="Arial" w:hAnsi="Arial"/>
          <w:sz w:val="16"/>
          <w:szCs w:val="16"/>
          <w:color w:val="auto"/>
        </w:rPr>
      </w:pPr>
      <w:r>
        <w:rPr>
          <w:rFonts w:ascii="Arial" w:cs="Arial" w:eastAsia="Arial" w:hAnsi="Arial"/>
          <w:sz w:val="15"/>
          <w:szCs w:val="15"/>
          <w:color w:val="auto"/>
        </w:rPr>
        <w:t>The management of credit risk is mainly based on rating and scoring of the internal models of each company of the Group. In Credicorp, a quantitative and qualitative analysis is made of each client, with regard to his financial position, his credit behavior in the System and the market in which it operates; which is carried out continuously, so as to assemble the risk profile of each operation and client with a credit position in the Group.</w:t>
      </w:r>
    </w:p>
    <w:p>
      <w:pPr>
        <w:spacing w:after="0" w:line="143" w:lineRule="exact"/>
        <w:rPr>
          <w:rFonts w:ascii="Arial" w:cs="Arial" w:eastAsia="Arial" w:hAnsi="Arial"/>
          <w:sz w:val="16"/>
          <w:szCs w:val="16"/>
          <w:color w:val="auto"/>
        </w:rPr>
      </w:pPr>
    </w:p>
    <w:p>
      <w:pPr>
        <w:ind w:left="289" w:right="20"/>
        <w:spacing w:after="0" w:line="287" w:lineRule="auto"/>
        <w:rPr>
          <w:rFonts w:ascii="Arial" w:cs="Arial" w:eastAsia="Arial" w:hAnsi="Arial"/>
          <w:sz w:val="16"/>
          <w:szCs w:val="16"/>
          <w:color w:val="auto"/>
        </w:rPr>
      </w:pPr>
      <w:r>
        <w:rPr>
          <w:rFonts w:ascii="Arial" w:cs="Arial" w:eastAsia="Arial" w:hAnsi="Arial"/>
          <w:sz w:val="16"/>
          <w:szCs w:val="16"/>
          <w:color w:val="auto"/>
        </w:rPr>
        <w:t>In the Group, a loan is internally classified as past due, depending on three aspects: the number of days in arrears based on the contractually agreed due date, the subsidiary and the type of credit. In that sense:</w:t>
      </w:r>
    </w:p>
    <w:p>
      <w:pPr>
        <w:spacing w:after="0" w:line="149" w:lineRule="exact"/>
        <w:rPr>
          <w:rFonts w:ascii="Arial" w:cs="Arial" w:eastAsia="Arial" w:hAnsi="Arial"/>
          <w:sz w:val="16"/>
          <w:szCs w:val="16"/>
          <w:color w:val="auto"/>
        </w:rPr>
      </w:pPr>
    </w:p>
    <w:p>
      <w:pPr>
        <w:ind w:left="709" w:hanging="414"/>
        <w:spacing w:after="0"/>
        <w:tabs>
          <w:tab w:leader="none" w:pos="709" w:val="left"/>
        </w:tabs>
        <w:numPr>
          <w:ilvl w:val="1"/>
          <w:numId w:val="103"/>
        </w:numPr>
        <w:rPr>
          <w:rFonts w:ascii="Arial" w:cs="Arial" w:eastAsia="Arial" w:hAnsi="Arial"/>
          <w:sz w:val="16"/>
          <w:szCs w:val="16"/>
          <w:color w:val="auto"/>
        </w:rPr>
      </w:pPr>
      <w:r>
        <w:rPr>
          <w:rFonts w:ascii="Arial" w:cs="Arial" w:eastAsia="Arial" w:hAnsi="Arial"/>
          <w:sz w:val="16"/>
          <w:szCs w:val="16"/>
          <w:color w:val="auto"/>
        </w:rPr>
        <w:t>Banco de Crédito del Perú, Mibanco and Solución Empresa Administradora Hipotecaria S.A. consider a past due loan:</w:t>
      </w:r>
    </w:p>
    <w:p>
      <w:pPr>
        <w:spacing w:after="0" w:line="209" w:lineRule="exact"/>
        <w:rPr>
          <w:rFonts w:ascii="Arial" w:cs="Arial" w:eastAsia="Arial" w:hAnsi="Arial"/>
          <w:sz w:val="16"/>
          <w:szCs w:val="16"/>
          <w:color w:val="auto"/>
        </w:rPr>
      </w:pPr>
    </w:p>
    <w:p>
      <w:pPr>
        <w:ind w:left="869" w:hanging="218"/>
        <w:spacing w:after="0"/>
        <w:tabs>
          <w:tab w:leader="none" w:pos="869" w:val="left"/>
        </w:tabs>
        <w:numPr>
          <w:ilvl w:val="2"/>
          <w:numId w:val="103"/>
        </w:numPr>
        <w:rPr>
          <w:rFonts w:ascii="Arial" w:cs="Arial" w:eastAsia="Arial" w:hAnsi="Arial"/>
          <w:sz w:val="16"/>
          <w:szCs w:val="16"/>
          <w:color w:val="auto"/>
        </w:rPr>
      </w:pPr>
      <w:r>
        <w:rPr>
          <w:rFonts w:ascii="Arial" w:cs="Arial" w:eastAsia="Arial" w:hAnsi="Arial"/>
          <w:sz w:val="16"/>
          <w:szCs w:val="16"/>
          <w:color w:val="auto"/>
        </w:rPr>
        <w:t>For corporate enterprises, large and medium companies after 15 days past due.</w:t>
      </w:r>
    </w:p>
    <w:p>
      <w:pPr>
        <w:spacing w:after="0" w:line="23" w:lineRule="exact"/>
        <w:rPr>
          <w:rFonts w:ascii="Arial" w:cs="Arial" w:eastAsia="Arial" w:hAnsi="Arial"/>
          <w:sz w:val="16"/>
          <w:szCs w:val="16"/>
          <w:color w:val="auto"/>
        </w:rPr>
      </w:pPr>
    </w:p>
    <w:p>
      <w:pPr>
        <w:ind w:left="869" w:hanging="218"/>
        <w:spacing w:after="0"/>
        <w:tabs>
          <w:tab w:leader="none" w:pos="869" w:val="left"/>
        </w:tabs>
        <w:numPr>
          <w:ilvl w:val="2"/>
          <w:numId w:val="103"/>
        </w:numPr>
        <w:rPr>
          <w:rFonts w:ascii="Arial" w:cs="Arial" w:eastAsia="Arial" w:hAnsi="Arial"/>
          <w:sz w:val="16"/>
          <w:szCs w:val="16"/>
          <w:color w:val="auto"/>
        </w:rPr>
      </w:pPr>
      <w:r>
        <w:rPr>
          <w:rFonts w:ascii="Arial" w:cs="Arial" w:eastAsia="Arial" w:hAnsi="Arial"/>
          <w:sz w:val="16"/>
          <w:szCs w:val="16"/>
          <w:color w:val="auto"/>
        </w:rPr>
        <w:t>For small and micro-business after 30 days past due.</w:t>
      </w:r>
    </w:p>
    <w:p>
      <w:pPr>
        <w:spacing w:after="0" w:line="12" w:lineRule="exact"/>
        <w:rPr>
          <w:rFonts w:ascii="Arial" w:cs="Arial" w:eastAsia="Arial" w:hAnsi="Arial"/>
          <w:sz w:val="16"/>
          <w:szCs w:val="16"/>
          <w:color w:val="auto"/>
        </w:rPr>
      </w:pPr>
    </w:p>
    <w:p>
      <w:pPr>
        <w:ind w:left="869" w:hanging="218"/>
        <w:spacing w:after="0"/>
        <w:tabs>
          <w:tab w:leader="none" w:pos="869" w:val="left"/>
        </w:tabs>
        <w:numPr>
          <w:ilvl w:val="2"/>
          <w:numId w:val="103"/>
        </w:numPr>
        <w:rPr>
          <w:rFonts w:ascii="Arial" w:cs="Arial" w:eastAsia="Arial" w:hAnsi="Arial"/>
          <w:sz w:val="16"/>
          <w:szCs w:val="16"/>
          <w:color w:val="auto"/>
        </w:rPr>
      </w:pPr>
      <w:r>
        <w:rPr>
          <w:rFonts w:ascii="Arial" w:cs="Arial" w:eastAsia="Arial" w:hAnsi="Arial"/>
          <w:sz w:val="16"/>
          <w:szCs w:val="16"/>
          <w:color w:val="auto"/>
        </w:rPr>
        <w:t>For overdrafts, after 30 days past due.</w:t>
      </w:r>
    </w:p>
    <w:p>
      <w:pPr>
        <w:spacing w:after="0" w:line="12" w:lineRule="exact"/>
        <w:rPr>
          <w:rFonts w:ascii="Arial" w:cs="Arial" w:eastAsia="Arial" w:hAnsi="Arial"/>
          <w:sz w:val="16"/>
          <w:szCs w:val="16"/>
          <w:color w:val="auto"/>
        </w:rPr>
      </w:pPr>
    </w:p>
    <w:p>
      <w:pPr>
        <w:ind w:left="869" w:right="160" w:hanging="218"/>
        <w:spacing w:after="0" w:line="272" w:lineRule="auto"/>
        <w:tabs>
          <w:tab w:leader="none" w:pos="869" w:val="left"/>
        </w:tabs>
        <w:numPr>
          <w:ilvl w:val="2"/>
          <w:numId w:val="103"/>
        </w:numPr>
        <w:rPr>
          <w:rFonts w:ascii="Arial" w:cs="Arial" w:eastAsia="Arial" w:hAnsi="Arial"/>
          <w:sz w:val="16"/>
          <w:szCs w:val="16"/>
          <w:color w:val="auto"/>
        </w:rPr>
      </w:pPr>
      <w:r>
        <w:rPr>
          <w:rFonts w:ascii="Arial" w:cs="Arial" w:eastAsia="Arial" w:hAnsi="Arial"/>
          <w:sz w:val="16"/>
          <w:szCs w:val="16"/>
          <w:color w:val="auto"/>
        </w:rPr>
        <w:t>For consumer, mortgage and lease operation products, quotas are considered past due internally when they are between 30 and 90 days past due; after 90 days, the pending loan balance is considered past due.</w:t>
      </w:r>
    </w:p>
    <w:p>
      <w:pPr>
        <w:spacing w:after="0" w:line="161" w:lineRule="exact"/>
        <w:rPr>
          <w:rFonts w:ascii="Arial" w:cs="Arial" w:eastAsia="Arial" w:hAnsi="Arial"/>
          <w:sz w:val="16"/>
          <w:szCs w:val="16"/>
          <w:color w:val="auto"/>
        </w:rPr>
      </w:pPr>
    </w:p>
    <w:p>
      <w:pPr>
        <w:ind w:left="709" w:hanging="414"/>
        <w:spacing w:after="0"/>
        <w:tabs>
          <w:tab w:leader="none" w:pos="709"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Atlantic Security Bank considers a credit past due when its payment schedule of capital and/or interest exceed 30 days in arrears.</w:t>
      </w:r>
    </w:p>
    <w:p>
      <w:pPr>
        <w:spacing w:after="0" w:line="209" w:lineRule="exact"/>
        <w:rPr>
          <w:rFonts w:ascii="Arial" w:cs="Arial" w:eastAsia="Arial" w:hAnsi="Arial"/>
          <w:sz w:val="16"/>
          <w:szCs w:val="16"/>
          <w:color w:val="auto"/>
        </w:rPr>
      </w:pPr>
    </w:p>
    <w:p>
      <w:pPr>
        <w:ind w:left="709" w:hanging="414"/>
        <w:spacing w:after="0"/>
        <w:tabs>
          <w:tab w:leader="none" w:pos="709" w:val="left"/>
        </w:tabs>
        <w:numPr>
          <w:ilvl w:val="1"/>
          <w:numId w:val="103"/>
        </w:numPr>
        <w:rPr>
          <w:rFonts w:ascii="Arial" w:cs="Arial" w:eastAsia="Arial" w:hAnsi="Arial"/>
          <w:sz w:val="16"/>
          <w:szCs w:val="16"/>
          <w:color w:val="auto"/>
        </w:rPr>
      </w:pPr>
      <w:r>
        <w:rPr>
          <w:rFonts w:ascii="Arial" w:cs="Arial" w:eastAsia="Arial" w:hAnsi="Arial"/>
          <w:sz w:val="16"/>
          <w:szCs w:val="16"/>
          <w:color w:val="auto"/>
        </w:rPr>
        <w:t>Banco de Crédito de Bolivia, Edyficar S.A.S. and Bancompartir consider a credit as an internal past due with effect from day 30 in arrears.</w:t>
      </w:r>
    </w:p>
    <w:p>
      <w:pPr>
        <w:spacing w:after="0" w:line="209" w:lineRule="exact"/>
        <w:rPr>
          <w:sz w:val="20"/>
          <w:szCs w:val="20"/>
          <w:color w:val="auto"/>
        </w:rPr>
      </w:pPr>
    </w:p>
    <w:p>
      <w:pPr>
        <w:ind w:left="289"/>
        <w:spacing w:after="0"/>
        <w:rPr>
          <w:sz w:val="20"/>
          <w:szCs w:val="20"/>
          <w:color w:val="auto"/>
        </w:rPr>
      </w:pPr>
      <w:r>
        <w:rPr>
          <w:rFonts w:ascii="Arial" w:cs="Arial" w:eastAsia="Arial" w:hAnsi="Arial"/>
          <w:sz w:val="16"/>
          <w:szCs w:val="16"/>
          <w:color w:val="auto"/>
        </w:rPr>
        <w:t>Estimate of the expected loss -</w:t>
      </w:r>
    </w:p>
    <w:p>
      <w:pPr>
        <w:spacing w:after="0" w:line="209" w:lineRule="exact"/>
        <w:rPr>
          <w:sz w:val="20"/>
          <w:szCs w:val="20"/>
          <w:color w:val="auto"/>
        </w:rPr>
      </w:pPr>
    </w:p>
    <w:p>
      <w:pPr>
        <w:ind w:left="309"/>
        <w:spacing w:after="0"/>
        <w:rPr>
          <w:sz w:val="20"/>
          <w:szCs w:val="20"/>
          <w:color w:val="auto"/>
        </w:rPr>
      </w:pPr>
      <w:r>
        <w:rPr>
          <w:rFonts w:ascii="Arial" w:cs="Arial" w:eastAsia="Arial" w:hAnsi="Arial"/>
          <w:sz w:val="15"/>
          <w:szCs w:val="15"/>
          <w:color w:val="auto"/>
        </w:rPr>
        <w:t>The measurement of the credit loss is based on the product of the following parameters: (i) probability of default (PD) (ii) loss given default (LGD), and (iii)</w:t>
      </w:r>
    </w:p>
    <w:p>
      <w:pPr>
        <w:spacing w:after="0" w:line="35" w:lineRule="exact"/>
        <w:rPr>
          <w:sz w:val="20"/>
          <w:szCs w:val="20"/>
          <w:color w:val="auto"/>
        </w:rPr>
      </w:pPr>
    </w:p>
    <w:p>
      <w:pPr>
        <w:ind w:left="309"/>
        <w:spacing w:after="0"/>
        <w:rPr>
          <w:sz w:val="20"/>
          <w:szCs w:val="20"/>
          <w:color w:val="auto"/>
        </w:rPr>
      </w:pPr>
      <w:r>
        <w:rPr>
          <w:rFonts w:ascii="Arial" w:cs="Arial" w:eastAsia="Arial" w:hAnsi="Arial"/>
          <w:sz w:val="16"/>
          <w:szCs w:val="16"/>
          <w:color w:val="auto"/>
        </w:rPr>
        <w:t>Exposure at default (EAD); discounted at the reporting period, using the effective interest rate. The definition of the parameters is presented below:</w:t>
      </w:r>
    </w:p>
    <w:p>
      <w:pPr>
        <w:spacing w:after="0" w:line="198" w:lineRule="exact"/>
        <w:rPr>
          <w:sz w:val="20"/>
          <w:szCs w:val="20"/>
          <w:color w:val="auto"/>
        </w:rPr>
      </w:pPr>
    </w:p>
    <w:p>
      <w:pPr>
        <w:ind w:left="649" w:right="60" w:hanging="345"/>
        <w:spacing w:after="0" w:line="287" w:lineRule="auto"/>
        <w:tabs>
          <w:tab w:leader="none" w:pos="80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Probability of Default (PD): this is a measurement of credit rating given internally to a customer, designed to estimate their probability of default within a specific horizon. The process of obtaining the PD is carried out through scoring and rating tools.</w:t>
      </w:r>
    </w:p>
    <w:p>
      <w:pPr>
        <w:spacing w:after="0" w:line="150" w:lineRule="exact"/>
        <w:rPr>
          <w:sz w:val="20"/>
          <w:szCs w:val="20"/>
          <w:color w:val="auto"/>
        </w:rPr>
      </w:pPr>
    </w:p>
    <w:p>
      <w:pPr>
        <w:ind w:left="649"/>
        <w:spacing w:after="0"/>
        <w:rPr>
          <w:sz w:val="20"/>
          <w:szCs w:val="20"/>
          <w:color w:val="auto"/>
        </w:rPr>
      </w:pPr>
      <w:r>
        <w:rPr>
          <w:rFonts w:ascii="Arial" w:cs="Arial" w:eastAsia="Arial" w:hAnsi="Arial"/>
          <w:sz w:val="16"/>
          <w:szCs w:val="16"/>
          <w:color w:val="auto"/>
        </w:rPr>
        <w:t>The Group considers that a financial instrument is in default if it meets the following conditions depending on the type of asset:</w:t>
      </w:r>
    </w:p>
    <w:p>
      <w:pPr>
        <w:spacing w:after="0" w:line="209" w:lineRule="exact"/>
        <w:rPr>
          <w:sz w:val="20"/>
          <w:szCs w:val="20"/>
          <w:color w:val="auto"/>
        </w:rPr>
      </w:pPr>
    </w:p>
    <w:p>
      <w:pPr>
        <w:ind w:left="869" w:right="200" w:hanging="218"/>
        <w:spacing w:after="0" w:line="287" w:lineRule="auto"/>
        <w:tabs>
          <w:tab w:leader="none" w:pos="86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Consumer Products, Credit Card and SME: If the costumer, at some point, presents arrears equal to or greater than 60 days and/or has operations that are refinanced, restructured, in pre-judicial, judicial proceedings or written off.</w:t>
      </w:r>
    </w:p>
    <w:p>
      <w:pPr>
        <w:spacing w:after="0" w:line="149" w:lineRule="exact"/>
        <w:rPr>
          <w:rFonts w:ascii="Arial" w:cs="Arial" w:eastAsia="Arial" w:hAnsi="Arial"/>
          <w:sz w:val="16"/>
          <w:szCs w:val="16"/>
          <w:color w:val="auto"/>
        </w:rPr>
      </w:pPr>
    </w:p>
    <w:p>
      <w:pPr>
        <w:ind w:left="869" w:hanging="218"/>
        <w:spacing w:after="0" w:line="287" w:lineRule="auto"/>
        <w:tabs>
          <w:tab w:leader="none" w:pos="86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Mortgage Product: If the customer, at some point, presents arrears equal to or greater 120 days and/or has operations that are refinanced, restructured, in pre-judicial, judicial proceedings or written off.</w:t>
      </w:r>
    </w:p>
    <w:p>
      <w:pPr>
        <w:spacing w:after="0" w:line="149" w:lineRule="exact"/>
        <w:rPr>
          <w:rFonts w:ascii="Arial" w:cs="Arial" w:eastAsia="Arial" w:hAnsi="Arial"/>
          <w:sz w:val="16"/>
          <w:szCs w:val="16"/>
          <w:color w:val="auto"/>
        </w:rPr>
      </w:pPr>
    </w:p>
    <w:p>
      <w:pPr>
        <w:ind w:left="869" w:right="40" w:hanging="218"/>
        <w:spacing w:after="0" w:line="271" w:lineRule="auto"/>
        <w:tabs>
          <w:tab w:leader="none" w:pos="86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Commercial Banking: Those customers that are in the Special Accounts portfolio or have risk classification as deficient, doubtful or lost, or have refinanced, judicial or written off operations. Also, a customer can be considered as Default in case there are signs of significant qualitative impairment to consider it in said stage.</w:t>
      </w:r>
    </w:p>
    <w:p>
      <w:pPr>
        <w:spacing w:after="0" w:line="359" w:lineRule="exact"/>
        <w:rPr>
          <w:rFonts w:ascii="Arial" w:cs="Arial" w:eastAsia="Arial" w:hAnsi="Arial"/>
          <w:sz w:val="16"/>
          <w:szCs w:val="16"/>
          <w:color w:val="auto"/>
        </w:rPr>
      </w:pPr>
    </w:p>
    <w:p>
      <w:pPr>
        <w:ind w:left="5149" w:hanging="93"/>
        <w:spacing w:after="0"/>
        <w:tabs>
          <w:tab w:leader="none" w:pos="5149" w:val="left"/>
        </w:tabs>
        <w:numPr>
          <w:ilvl w:val="1"/>
          <w:numId w:val="105"/>
        </w:numPr>
        <w:rPr>
          <w:rFonts w:ascii="Arial" w:cs="Arial" w:eastAsia="Arial" w:hAnsi="Arial"/>
          <w:sz w:val="16"/>
          <w:szCs w:val="16"/>
          <w:color w:val="auto"/>
        </w:rPr>
      </w:pPr>
      <w:r>
        <w:rPr>
          <w:rFonts w:ascii="Arial" w:cs="Arial" w:eastAsia="Arial" w:hAnsi="Arial"/>
          <w:sz w:val="16"/>
          <w:szCs w:val="16"/>
          <w:color w:val="auto"/>
        </w:rPr>
        <w:t>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15875</wp:posOffset>
            </wp:positionV>
            <wp:extent cx="714438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829"/>
          </w:cols>
          <w:pgMar w:left="711" w:top="839" w:right="359" w:bottom="1440" w:gutter="0" w:footer="0" w:header="0"/>
        </w:sectPr>
      </w:pPr>
    </w:p>
    <w:bookmarkStart w:id="88" w:name="page89"/>
    <w:bookmarkEnd w:id="88"/>
    <w:p>
      <w:pPr>
        <w:ind w:left="574" w:hanging="218"/>
        <w:spacing w:after="0" w:line="362" w:lineRule="auto"/>
        <w:tabs>
          <w:tab w:leader="none" w:pos="574" w:val="left"/>
        </w:tabs>
        <w:numPr>
          <w:ilvl w:val="1"/>
          <w:numId w:val="106"/>
        </w:numPr>
        <w:rPr>
          <w:rFonts w:ascii="Arial" w:cs="Arial" w:eastAsia="Arial" w:hAnsi="Arial"/>
          <w:sz w:val="14"/>
          <w:szCs w:val="14"/>
          <w:color w:val="auto"/>
        </w:rPr>
      </w:pPr>
      <w:r>
        <w:rPr>
          <w:rFonts w:ascii="Arial" w:cs="Arial" w:eastAsia="Arial" w:hAnsi="Arial"/>
          <w:sz w:val="14"/>
          <w:szCs w:val="14"/>
          <w:color w:val="auto"/>
        </w:rPr>
        <w:t>Investments: If the instrument has a Default rating according to external rating agencies such as Fitch, Standard &amp; Poor’s or Moody's or with an indicator of arrears equal to or greater than 90 days. Also, a customer can be considered as Default in case of signs of significant qualitative impairment.</w:t>
      </w:r>
    </w:p>
    <w:p>
      <w:pPr>
        <w:spacing w:after="0" w:line="103" w:lineRule="exact"/>
        <w:rPr>
          <w:rFonts w:ascii="Arial" w:cs="Arial" w:eastAsia="Arial" w:hAnsi="Arial"/>
          <w:sz w:val="14"/>
          <w:szCs w:val="14"/>
          <w:color w:val="auto"/>
        </w:rPr>
      </w:pPr>
    </w:p>
    <w:p>
      <w:pPr>
        <w:ind w:left="294" w:right="480" w:hanging="294"/>
        <w:spacing w:after="0" w:line="287" w:lineRule="auto"/>
        <w:tabs>
          <w:tab w:leader="none" w:pos="42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Loss Given Default (LGD): Is a measurement which estimates the severity of the loss which would be incurred at the time of the default. It has two approaches in the estimate of the severity of the loss, depending on the stage of the customer:</w:t>
      </w:r>
    </w:p>
    <w:p>
      <w:pPr>
        <w:spacing w:after="0" w:line="149" w:lineRule="exact"/>
        <w:rPr>
          <w:rFonts w:ascii="Arial" w:cs="Arial" w:eastAsia="Arial" w:hAnsi="Arial"/>
          <w:sz w:val="16"/>
          <w:szCs w:val="16"/>
          <w:color w:val="auto"/>
        </w:rPr>
      </w:pPr>
    </w:p>
    <w:p>
      <w:pPr>
        <w:ind w:left="574" w:right="100" w:hanging="218"/>
        <w:spacing w:after="0" w:line="287" w:lineRule="auto"/>
        <w:tabs>
          <w:tab w:leader="none" w:pos="574" w:val="left"/>
        </w:tabs>
        <w:numPr>
          <w:ilvl w:val="1"/>
          <w:numId w:val="106"/>
        </w:numPr>
        <w:rPr>
          <w:rFonts w:ascii="Arial" w:cs="Arial" w:eastAsia="Arial" w:hAnsi="Arial"/>
          <w:sz w:val="16"/>
          <w:szCs w:val="16"/>
          <w:color w:val="auto"/>
        </w:rPr>
      </w:pPr>
      <w:r>
        <w:rPr>
          <w:rFonts w:ascii="Arial" w:cs="Arial" w:eastAsia="Arial" w:hAnsi="Arial"/>
          <w:sz w:val="16"/>
          <w:szCs w:val="16"/>
          <w:color w:val="auto"/>
        </w:rPr>
        <w:t>LGD Workout: The LGD workout is the real loss of the customers who have arrived at the stage of default. The recoveries and costs of each one of the operations are used in order to calculate it (Includes open and closed recovery processes).</w:t>
      </w:r>
    </w:p>
    <w:p>
      <w:pPr>
        <w:spacing w:after="0" w:line="149" w:lineRule="exact"/>
        <w:rPr>
          <w:rFonts w:ascii="Arial" w:cs="Arial" w:eastAsia="Arial" w:hAnsi="Arial"/>
          <w:sz w:val="16"/>
          <w:szCs w:val="16"/>
          <w:color w:val="auto"/>
        </w:rPr>
      </w:pPr>
    </w:p>
    <w:p>
      <w:pPr>
        <w:ind w:left="574" w:right="540" w:hanging="218"/>
        <w:spacing w:after="0" w:line="287" w:lineRule="auto"/>
        <w:tabs>
          <w:tab w:leader="none" w:pos="574" w:val="left"/>
        </w:tabs>
        <w:numPr>
          <w:ilvl w:val="1"/>
          <w:numId w:val="106"/>
        </w:numPr>
        <w:rPr>
          <w:rFonts w:ascii="Arial" w:cs="Arial" w:eastAsia="Arial" w:hAnsi="Arial"/>
          <w:sz w:val="16"/>
          <w:szCs w:val="16"/>
          <w:color w:val="auto"/>
        </w:rPr>
      </w:pPr>
      <w:r>
        <w:rPr>
          <w:rFonts w:ascii="Arial" w:cs="Arial" w:eastAsia="Arial" w:hAnsi="Arial"/>
          <w:sz w:val="16"/>
          <w:szCs w:val="16"/>
          <w:color w:val="auto"/>
        </w:rPr>
        <w:t>LGD ELBE (Expected Loss Best Estimate): The LGD ELBE is the loss of the contracts in a default situation, based on the time in arrears of the operation (The longer the operation is in default, the greater will be the loss level).</w:t>
      </w:r>
    </w:p>
    <w:p>
      <w:pPr>
        <w:spacing w:after="0" w:line="149" w:lineRule="exact"/>
        <w:rPr>
          <w:rFonts w:ascii="Arial" w:cs="Arial" w:eastAsia="Arial" w:hAnsi="Arial"/>
          <w:sz w:val="16"/>
          <w:szCs w:val="16"/>
          <w:color w:val="auto"/>
        </w:rPr>
      </w:pPr>
    </w:p>
    <w:p>
      <w:pPr>
        <w:ind w:left="294" w:right="140" w:hanging="294"/>
        <w:spacing w:after="0" w:line="287" w:lineRule="auto"/>
        <w:tabs>
          <w:tab w:leader="none" w:pos="42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Exposure at Default (EAD): Is a measurement which estimates the exposure at the time of the customer goes into default, taking into account changes in future exposure, for example, in the case of prepayments and/or greater utilization of unused lines.</w:t>
      </w:r>
    </w:p>
    <w:p>
      <w:pPr>
        <w:spacing w:after="0" w:line="150" w:lineRule="exact"/>
        <w:rPr>
          <w:sz w:val="20"/>
          <w:szCs w:val="20"/>
          <w:color w:val="auto"/>
        </w:rPr>
      </w:pPr>
    </w:p>
    <w:p>
      <w:pPr>
        <w:ind w:left="14" w:right="860"/>
        <w:spacing w:after="0" w:line="362" w:lineRule="auto"/>
        <w:rPr>
          <w:sz w:val="20"/>
          <w:szCs w:val="20"/>
          <w:color w:val="auto"/>
        </w:rPr>
      </w:pPr>
      <w:r>
        <w:rPr>
          <w:rFonts w:ascii="Arial" w:cs="Arial" w:eastAsia="Arial" w:hAnsi="Arial"/>
          <w:sz w:val="14"/>
          <w:szCs w:val="14"/>
          <w:color w:val="auto"/>
        </w:rPr>
        <w:t>Accordingly, the estimated of the parameters take into consideration information regarding the actual conditions, as well as the projections of future macroeconomic events and conditions in three scenarios (base, optimistic and pessimistic) which are analyzed in order to obtain the expected loss.</w:t>
      </w:r>
    </w:p>
    <w:p>
      <w:pPr>
        <w:spacing w:after="0" w:line="104" w:lineRule="exact"/>
        <w:rPr>
          <w:sz w:val="20"/>
          <w:szCs w:val="20"/>
          <w:color w:val="auto"/>
        </w:rPr>
      </w:pPr>
    </w:p>
    <w:p>
      <w:pPr>
        <w:jc w:val="both"/>
        <w:ind w:left="14" w:right="60"/>
        <w:spacing w:after="0" w:line="271" w:lineRule="auto"/>
        <w:rPr>
          <w:sz w:val="20"/>
          <w:szCs w:val="20"/>
          <w:color w:val="auto"/>
        </w:rPr>
      </w:pPr>
      <w:r>
        <w:rPr>
          <w:rFonts w:ascii="Arial" w:cs="Arial" w:eastAsia="Arial" w:hAnsi="Arial"/>
          <w:sz w:val="16"/>
          <w:szCs w:val="16"/>
          <w:color w:val="auto"/>
        </w:rPr>
        <w:t>The fundamental difference between the credit loss of an account considered as Stage 1 and Stage 2 is the PD horizon. Specifically, the estimates of Stage 1 use a maximum PD of 12 months, while those in Stage 2 will use a PD measured for the entire life of the instrument. The estimates of Stage 3 will be carried out on the basis of a best estimate LGD.</w:t>
      </w:r>
    </w:p>
    <w:p>
      <w:pPr>
        <w:spacing w:after="0" w:line="163" w:lineRule="exact"/>
        <w:rPr>
          <w:sz w:val="20"/>
          <w:szCs w:val="20"/>
          <w:color w:val="auto"/>
        </w:rPr>
      </w:pPr>
    </w:p>
    <w:p>
      <w:pPr>
        <w:ind w:left="14" w:right="660"/>
        <w:spacing w:after="0" w:line="287" w:lineRule="auto"/>
        <w:rPr>
          <w:sz w:val="20"/>
          <w:szCs w:val="20"/>
          <w:color w:val="auto"/>
        </w:rPr>
      </w:pPr>
      <w:r>
        <w:rPr>
          <w:rFonts w:ascii="Arial" w:cs="Arial" w:eastAsia="Arial" w:hAnsi="Arial"/>
          <w:sz w:val="16"/>
          <w:szCs w:val="16"/>
          <w:color w:val="auto"/>
        </w:rPr>
        <w:t>In those cases, in which the portfolio is immaterial and does not have credit score models, the option was to extrapolate the loss ratio of portfolios with comparable characteristics.</w:t>
      </w:r>
    </w:p>
    <w:p>
      <w:pPr>
        <w:spacing w:after="0" w:line="150" w:lineRule="exact"/>
        <w:rPr>
          <w:sz w:val="20"/>
          <w:szCs w:val="20"/>
          <w:color w:val="auto"/>
        </w:rPr>
      </w:pPr>
    </w:p>
    <w:p>
      <w:pPr>
        <w:ind w:left="14"/>
        <w:spacing w:after="0"/>
        <w:rPr>
          <w:sz w:val="20"/>
          <w:szCs w:val="20"/>
          <w:color w:val="auto"/>
        </w:rPr>
      </w:pPr>
      <w:r>
        <w:rPr>
          <w:rFonts w:ascii="Arial" w:cs="Arial" w:eastAsia="Arial" w:hAnsi="Arial"/>
          <w:sz w:val="16"/>
          <w:szCs w:val="16"/>
          <w:color w:val="auto"/>
        </w:rPr>
        <w:t>Prospective information:</w:t>
      </w:r>
    </w:p>
    <w:p>
      <w:pPr>
        <w:spacing w:after="0" w:line="209" w:lineRule="exact"/>
        <w:rPr>
          <w:sz w:val="20"/>
          <w:szCs w:val="20"/>
          <w:color w:val="auto"/>
        </w:rPr>
      </w:pPr>
    </w:p>
    <w:p>
      <w:pPr>
        <w:ind w:left="14" w:right="160"/>
        <w:spacing w:after="0" w:line="287" w:lineRule="auto"/>
        <w:rPr>
          <w:sz w:val="20"/>
          <w:szCs w:val="20"/>
          <w:color w:val="auto"/>
        </w:rPr>
      </w:pPr>
      <w:r>
        <w:rPr>
          <w:rFonts w:ascii="Arial" w:cs="Arial" w:eastAsia="Arial" w:hAnsi="Arial"/>
          <w:sz w:val="16"/>
          <w:szCs w:val="16"/>
          <w:color w:val="auto"/>
        </w:rPr>
        <w:t>The measurement of expected credit losses for each stage and the evaluation of significant increases in credit risk consider information on previous events and current conditions, as well as reasonable projections based on future events and economic conditions.</w:t>
      </w:r>
    </w:p>
    <w:p>
      <w:pPr>
        <w:spacing w:after="0" w:line="150" w:lineRule="exact"/>
        <w:rPr>
          <w:sz w:val="20"/>
          <w:szCs w:val="20"/>
          <w:color w:val="auto"/>
        </w:rPr>
      </w:pPr>
    </w:p>
    <w:p>
      <w:pPr>
        <w:ind w:left="14" w:right="80"/>
        <w:spacing w:after="0" w:line="266" w:lineRule="auto"/>
        <w:rPr>
          <w:sz w:val="20"/>
          <w:szCs w:val="20"/>
          <w:color w:val="auto"/>
        </w:rPr>
      </w:pPr>
      <w:r>
        <w:rPr>
          <w:rFonts w:ascii="Arial" w:cs="Arial" w:eastAsia="Arial" w:hAnsi="Arial"/>
          <w:sz w:val="16"/>
          <w:szCs w:val="16"/>
          <w:color w:val="auto"/>
        </w:rPr>
        <w:t>For the estimation of the risk parameters (PD, LGD, EAD), used in the calculation of the provision in stages 1 and 2, the significance of the macroeconomic variables (or their variations) that have the greatest influence on each portfolio was tested. Each macroeconomic scenario used in calculating the expected loss considers projections of relevant macroeconomic variables, such as the gross domestic product (GDP), employment, terms of trade, inflation, among others, for a period of 3 years and a long-term projection.</w:t>
      </w:r>
    </w:p>
    <w:p>
      <w:pPr>
        <w:spacing w:after="0" w:line="167" w:lineRule="exact"/>
        <w:rPr>
          <w:sz w:val="20"/>
          <w:szCs w:val="20"/>
          <w:color w:val="auto"/>
        </w:rPr>
      </w:pPr>
    </w:p>
    <w:p>
      <w:pPr>
        <w:ind w:left="14" w:right="40"/>
        <w:spacing w:after="0" w:line="266" w:lineRule="auto"/>
        <w:rPr>
          <w:sz w:val="20"/>
          <w:szCs w:val="20"/>
          <w:color w:val="auto"/>
        </w:rPr>
      </w:pPr>
      <w:r>
        <w:rPr>
          <w:rFonts w:ascii="Arial" w:cs="Arial" w:eastAsia="Arial" w:hAnsi="Arial"/>
          <w:sz w:val="16"/>
          <w:szCs w:val="16"/>
          <w:color w:val="auto"/>
        </w:rPr>
        <w:t>The estimate of the expected loss for stages 1, 2 and 3 is a weighted estimate that considers three future macroeconomic scenarios. The base, optimistic and pessimistic scenarios, as well as the probability of occurrence of each scenario, are macroeconomic projections provided by the Economic Studies Management. It should be noted that the scenario design is adjusted quarterly. All the scenarios considered apply to portfolios subject to expected credit losses with the same probabilities.</w:t>
      </w:r>
    </w:p>
    <w:p>
      <w:pPr>
        <w:spacing w:after="0" w:line="364" w:lineRule="exact"/>
        <w:rPr>
          <w:sz w:val="20"/>
          <w:szCs w:val="20"/>
          <w:color w:val="auto"/>
        </w:rPr>
      </w:pPr>
    </w:p>
    <w:p>
      <w:pPr>
        <w:ind w:left="4754"/>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15875</wp:posOffset>
            </wp:positionV>
            <wp:extent cx="714438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554"/>
          </w:cols>
          <w:pgMar w:left="1006" w:top="839" w:right="339" w:bottom="1440" w:gutter="0" w:footer="0" w:header="0"/>
        </w:sectPr>
      </w:pPr>
    </w:p>
    <w:bookmarkStart w:id="89" w:name="page90"/>
    <w:bookmarkEnd w:id="89"/>
    <w:p>
      <w:pPr>
        <w:ind w:left="702"/>
        <w:spacing w:after="0"/>
        <w:rPr>
          <w:sz w:val="20"/>
          <w:szCs w:val="20"/>
          <w:color w:val="auto"/>
        </w:rPr>
      </w:pPr>
      <w:r>
        <w:rPr>
          <w:rFonts w:ascii="Arial" w:cs="Arial" w:eastAsia="Arial" w:hAnsi="Arial"/>
          <w:sz w:val="16"/>
          <w:szCs w:val="16"/>
          <w:color w:val="auto"/>
        </w:rPr>
        <w:t>Changes from one stage to another</w:t>
      </w:r>
    </w:p>
    <w:p>
      <w:pPr>
        <w:spacing w:after="0" w:line="209" w:lineRule="exact"/>
        <w:rPr>
          <w:sz w:val="20"/>
          <w:szCs w:val="20"/>
          <w:color w:val="auto"/>
        </w:rPr>
      </w:pPr>
    </w:p>
    <w:p>
      <w:pPr>
        <w:ind w:left="702" w:right="380"/>
        <w:spacing w:after="0" w:line="287" w:lineRule="auto"/>
        <w:rPr>
          <w:sz w:val="20"/>
          <w:szCs w:val="20"/>
          <w:color w:val="auto"/>
        </w:rPr>
      </w:pPr>
      <w:r>
        <w:rPr>
          <w:rFonts w:ascii="Arial" w:cs="Arial" w:eastAsia="Arial" w:hAnsi="Arial"/>
          <w:sz w:val="16"/>
          <w:szCs w:val="16"/>
          <w:color w:val="auto"/>
        </w:rPr>
        <w:t>The classification of an instrument as stage 1 or stage 2 depends on the concept of "significant increase in credit risk" at the reporting date compared to the origin. This classification is updated monthly. As the IFRS 9 states, this classification depends on the following criteria:</w:t>
      </w:r>
    </w:p>
    <w:p>
      <w:pPr>
        <w:spacing w:after="0" w:line="150" w:lineRule="exact"/>
        <w:rPr>
          <w:sz w:val="20"/>
          <w:szCs w:val="20"/>
          <w:color w:val="auto"/>
        </w:rPr>
      </w:pPr>
    </w:p>
    <w:p>
      <w:pPr>
        <w:ind w:left="902" w:hanging="214"/>
        <w:spacing w:after="0"/>
        <w:tabs>
          <w:tab w:leader="none" w:pos="90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 account is classified in stage 2 if it has more than 30 days of delay.</w:t>
      </w:r>
    </w:p>
    <w:p>
      <w:pPr>
        <w:spacing w:after="0" w:line="23" w:lineRule="exact"/>
        <w:rPr>
          <w:rFonts w:ascii="Arial" w:cs="Arial" w:eastAsia="Arial" w:hAnsi="Arial"/>
          <w:sz w:val="16"/>
          <w:szCs w:val="16"/>
          <w:color w:val="auto"/>
        </w:rPr>
      </w:pPr>
    </w:p>
    <w:p>
      <w:pPr>
        <w:ind w:left="902" w:right="200" w:hanging="214"/>
        <w:spacing w:after="0" w:line="256" w:lineRule="auto"/>
        <w:tabs>
          <w:tab w:leader="none" w:pos="90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Additionally, significant risk thresholds were established based on absolute and relative thresholds that depend on the level of risk in which the instrument originated. The thresholds differ for each of the portfolios considered.</w:t>
      </w:r>
    </w:p>
    <w:p>
      <w:pPr>
        <w:ind w:left="902" w:right="380" w:hanging="214"/>
        <w:spacing w:after="0" w:line="272" w:lineRule="auto"/>
        <w:tabs>
          <w:tab w:leader="none" w:pos="90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Additional qualitative reviews are carried out based on the segmentation of risks used in the management of Retail Banking and an individual review in Wholesale Banking.</w:t>
      </w:r>
    </w:p>
    <w:p>
      <w:pPr>
        <w:spacing w:after="0" w:line="161" w:lineRule="exact"/>
        <w:rPr>
          <w:sz w:val="20"/>
          <w:szCs w:val="20"/>
          <w:color w:val="auto"/>
        </w:rPr>
      </w:pPr>
    </w:p>
    <w:p>
      <w:pPr>
        <w:ind w:left="702"/>
        <w:spacing w:after="0"/>
        <w:rPr>
          <w:sz w:val="20"/>
          <w:szCs w:val="20"/>
          <w:color w:val="auto"/>
        </w:rPr>
      </w:pPr>
      <w:r>
        <w:rPr>
          <w:rFonts w:ascii="Arial" w:cs="Arial" w:eastAsia="Arial" w:hAnsi="Arial"/>
          <w:sz w:val="14"/>
          <w:szCs w:val="14"/>
          <w:color w:val="auto"/>
        </w:rPr>
        <w:t>Additionally, all those accounts classified as default at the reporting date according to the management definition used by the Group are considered as stage 3.</w:t>
      </w:r>
    </w:p>
    <w:p>
      <w:pPr>
        <w:spacing w:after="0" w:line="232" w:lineRule="exact"/>
        <w:rPr>
          <w:sz w:val="20"/>
          <w:szCs w:val="20"/>
          <w:color w:val="auto"/>
        </w:rPr>
      </w:pPr>
    </w:p>
    <w:p>
      <w:pPr>
        <w:ind w:left="702"/>
        <w:spacing w:after="0" w:line="266" w:lineRule="auto"/>
        <w:rPr>
          <w:sz w:val="20"/>
          <w:szCs w:val="20"/>
          <w:color w:val="auto"/>
        </w:rPr>
      </w:pPr>
      <w:r>
        <w:rPr>
          <w:rFonts w:ascii="Arial" w:cs="Arial" w:eastAsia="Arial" w:hAnsi="Arial"/>
          <w:sz w:val="16"/>
          <w:szCs w:val="16"/>
          <w:color w:val="auto"/>
        </w:rPr>
        <w:t>Evaluations of a significant increase in risk from initial recognition and credit deterioration are carried out independently on each reporting date. Assets can be moved in both directions from one phase to another; in this sense, a financial asset that migrated to stage 2 will return to stage 1, if its credit risk did not increase significantly from its initial recognition until a subsequent reporting period. Likewise, an asset that is in stage 3 will return to stage 2 if the credit is no longer considered to be impaired.</w:t>
      </w:r>
    </w:p>
    <w:p>
      <w:pPr>
        <w:spacing w:after="0" w:line="167" w:lineRule="exact"/>
        <w:rPr>
          <w:sz w:val="20"/>
          <w:szCs w:val="20"/>
          <w:color w:val="auto"/>
        </w:rPr>
      </w:pPr>
    </w:p>
    <w:p>
      <w:pPr>
        <w:ind w:left="702"/>
        <w:spacing w:after="0"/>
        <w:rPr>
          <w:sz w:val="20"/>
          <w:szCs w:val="20"/>
          <w:color w:val="auto"/>
        </w:rPr>
      </w:pPr>
      <w:r>
        <w:rPr>
          <w:rFonts w:ascii="Arial" w:cs="Arial" w:eastAsia="Arial" w:hAnsi="Arial"/>
          <w:sz w:val="16"/>
          <w:szCs w:val="16"/>
          <w:color w:val="auto"/>
        </w:rPr>
        <w:t>Expected life</w:t>
      </w:r>
    </w:p>
    <w:p>
      <w:pPr>
        <w:spacing w:after="0" w:line="209" w:lineRule="exact"/>
        <w:rPr>
          <w:sz w:val="20"/>
          <w:szCs w:val="20"/>
          <w:color w:val="auto"/>
        </w:rPr>
      </w:pPr>
    </w:p>
    <w:p>
      <w:pPr>
        <w:ind w:left="702" w:right="440"/>
        <w:spacing w:after="0" w:line="298" w:lineRule="auto"/>
        <w:rPr>
          <w:sz w:val="20"/>
          <w:szCs w:val="20"/>
          <w:color w:val="auto"/>
        </w:rPr>
      </w:pPr>
      <w:r>
        <w:rPr>
          <w:rFonts w:ascii="Arial" w:cs="Arial" w:eastAsia="Arial" w:hAnsi="Arial"/>
          <w:sz w:val="15"/>
          <w:szCs w:val="15"/>
          <w:color w:val="auto"/>
        </w:rPr>
        <w:t>For the instruments in stage 2 or 3, the reserves for losses will cover the expected credit losses during the expected time of the remaining useful life of the instrument. For most instruments, the expected life is limited to the remaining contractual life, adjusted by expected anticipated payments. In the case of revolving products, a statistical analysis was carried out in order to determine what would be the expected life period.</w:t>
      </w:r>
    </w:p>
    <w:p>
      <w:pPr>
        <w:spacing w:after="0" w:line="144" w:lineRule="exact"/>
        <w:rPr>
          <w:sz w:val="20"/>
          <w:szCs w:val="20"/>
          <w:color w:val="auto"/>
        </w:rPr>
      </w:pPr>
    </w:p>
    <w:p>
      <w:pPr>
        <w:ind w:left="302" w:hanging="302"/>
        <w:spacing w:after="0"/>
        <w:tabs>
          <w:tab w:leader="none" w:pos="30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Credit risk management on reverse repurchase agreements and securities borrowing -</w:t>
      </w:r>
    </w:p>
    <w:p>
      <w:pPr>
        <w:spacing w:after="0" w:line="209" w:lineRule="exact"/>
        <w:rPr>
          <w:rFonts w:ascii="Arial" w:cs="Arial" w:eastAsia="Arial" w:hAnsi="Arial"/>
          <w:sz w:val="16"/>
          <w:szCs w:val="16"/>
          <w:color w:val="auto"/>
        </w:rPr>
      </w:pPr>
    </w:p>
    <w:p>
      <w:pPr>
        <w:ind w:left="302" w:right="840"/>
        <w:spacing w:after="0" w:line="287" w:lineRule="auto"/>
        <w:rPr>
          <w:rFonts w:ascii="Arial" w:cs="Arial" w:eastAsia="Arial" w:hAnsi="Arial"/>
          <w:sz w:val="16"/>
          <w:szCs w:val="16"/>
          <w:color w:val="auto"/>
        </w:rPr>
      </w:pPr>
      <w:r>
        <w:rPr>
          <w:rFonts w:ascii="Arial" w:cs="Arial" w:eastAsia="Arial" w:hAnsi="Arial"/>
          <w:sz w:val="16"/>
          <w:szCs w:val="16"/>
          <w:color w:val="auto"/>
        </w:rPr>
        <w:t>Most of these operations are performed by Credicorp Capital. The Group has implemented credit limits for each counterparty and most of transactions are collateralized with investment grade financial instruments and financial instruments issued by Governments.</w:t>
      </w:r>
    </w:p>
    <w:p>
      <w:pPr>
        <w:spacing w:after="0" w:line="149" w:lineRule="exact"/>
        <w:rPr>
          <w:rFonts w:ascii="Arial" w:cs="Arial" w:eastAsia="Arial" w:hAnsi="Arial"/>
          <w:sz w:val="16"/>
          <w:szCs w:val="16"/>
          <w:color w:val="auto"/>
        </w:rPr>
      </w:pPr>
    </w:p>
    <w:p>
      <w:pPr>
        <w:ind w:left="302" w:hanging="302"/>
        <w:spacing w:after="0"/>
        <w:tabs>
          <w:tab w:leader="none" w:pos="30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Credit risk management on investments -</w:t>
      </w:r>
    </w:p>
    <w:p>
      <w:pPr>
        <w:spacing w:after="0" w:line="209" w:lineRule="exact"/>
        <w:rPr>
          <w:rFonts w:ascii="Arial" w:cs="Arial" w:eastAsia="Arial" w:hAnsi="Arial"/>
          <w:sz w:val="16"/>
          <w:szCs w:val="16"/>
          <w:color w:val="auto"/>
        </w:rPr>
      </w:pPr>
    </w:p>
    <w:p>
      <w:pPr>
        <w:ind w:left="302" w:right="20"/>
        <w:spacing w:after="0" w:line="271" w:lineRule="auto"/>
        <w:rPr>
          <w:rFonts w:ascii="Arial" w:cs="Arial" w:eastAsia="Arial" w:hAnsi="Arial"/>
          <w:sz w:val="16"/>
          <w:szCs w:val="16"/>
          <w:color w:val="auto"/>
        </w:rPr>
      </w:pPr>
      <w:r>
        <w:rPr>
          <w:rFonts w:ascii="Arial" w:cs="Arial" w:eastAsia="Arial" w:hAnsi="Arial"/>
          <w:sz w:val="16"/>
          <w:szCs w:val="16"/>
          <w:color w:val="auto"/>
        </w:rPr>
        <w:t>The Group evaluates the credit risk identified of each of the investments, disclosing the risk rating granted to them by a risk rating agency. For investments traded in Peru, risk ratings used are those provided by the three most prestigious Peruvian rating agencies (authorized by Peruvian regulator) and for investments traded abroad, the risk-ratings used are those provided by the three most prestigious international rating agencies.</w:t>
      </w:r>
    </w:p>
    <w:p>
      <w:pPr>
        <w:spacing w:after="0" w:line="162" w:lineRule="exact"/>
        <w:rPr>
          <w:rFonts w:ascii="Arial" w:cs="Arial" w:eastAsia="Arial" w:hAnsi="Arial"/>
          <w:sz w:val="16"/>
          <w:szCs w:val="16"/>
          <w:color w:val="auto"/>
        </w:rPr>
      </w:pPr>
    </w:p>
    <w:p>
      <w:pPr>
        <w:ind w:left="302" w:right="520"/>
        <w:spacing w:after="0" w:line="287" w:lineRule="auto"/>
        <w:rPr>
          <w:rFonts w:ascii="Arial" w:cs="Arial" w:eastAsia="Arial" w:hAnsi="Arial"/>
          <w:sz w:val="16"/>
          <w:szCs w:val="16"/>
          <w:color w:val="auto"/>
        </w:rPr>
      </w:pPr>
      <w:r>
        <w:rPr>
          <w:rFonts w:ascii="Arial" w:cs="Arial" w:eastAsia="Arial" w:hAnsi="Arial"/>
          <w:sz w:val="16"/>
          <w:szCs w:val="16"/>
          <w:color w:val="auto"/>
        </w:rPr>
        <w:t>In the event that any subsidiary uses a risk-rating prepared by any other risk rating agency, said risk-ratings are standardized with those provided by the above-mentioned institutions.</w:t>
      </w:r>
    </w:p>
    <w:p>
      <w:pPr>
        <w:spacing w:after="0" w:line="346" w:lineRule="exact"/>
        <w:rPr>
          <w:rFonts w:ascii="Arial" w:cs="Arial" w:eastAsia="Arial" w:hAnsi="Arial"/>
          <w:sz w:val="16"/>
          <w:szCs w:val="16"/>
          <w:color w:val="auto"/>
        </w:rPr>
      </w:pPr>
    </w:p>
    <w:p>
      <w:pPr>
        <w:ind w:left="5542" w:hanging="93"/>
        <w:spacing w:after="0"/>
        <w:tabs>
          <w:tab w:leader="none" w:pos="5542" w:val="left"/>
        </w:tabs>
        <w:numPr>
          <w:ilvl w:val="1"/>
          <w:numId w:val="108"/>
        </w:numPr>
        <w:rPr>
          <w:rFonts w:ascii="Arial" w:cs="Arial" w:eastAsia="Arial" w:hAnsi="Arial"/>
          <w:sz w:val="16"/>
          <w:szCs w:val="16"/>
          <w:color w:val="auto"/>
        </w:rPr>
      </w:pPr>
      <w:r>
        <w:rPr>
          <w:rFonts w:ascii="Arial" w:cs="Arial" w:eastAsia="Arial" w:hAnsi="Arial"/>
          <w:sz w:val="16"/>
          <w:szCs w:val="16"/>
          <w:color w:val="auto"/>
        </w:rPr>
        <w:t>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2"/>
          </w:cols>
          <w:pgMar w:left="318" w:top="1036" w:right="359" w:bottom="1440" w:gutter="0" w:footer="0" w:header="0"/>
        </w:sectPr>
      </w:pPr>
    </w:p>
    <w:bookmarkStart w:id="90" w:name="page91"/>
    <w:bookmarkEnd w:id="90"/>
    <w:p>
      <w:pPr>
        <w:ind w:left="300"/>
        <w:spacing w:after="0"/>
        <w:rPr>
          <w:sz w:val="20"/>
          <w:szCs w:val="20"/>
          <w:color w:val="auto"/>
        </w:rPr>
      </w:pPr>
      <w:r>
        <w:rPr>
          <w:rFonts w:ascii="Arial" w:cs="Arial" w:eastAsia="Arial" w:hAnsi="Arial"/>
          <w:sz w:val="16"/>
          <w:szCs w:val="16"/>
          <w:color w:val="auto"/>
        </w:rPr>
        <w:t>The following table shows the analysis of the risk-rating of the investments, provided by the institutions referred to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40" w:type="dxa"/>
            <w:vAlign w:val="bottom"/>
            <w:gridSpan w:val="3"/>
          </w:tcPr>
          <w:p>
            <w:pPr>
              <w:jc w:val="right"/>
              <w:ind w:right="118"/>
              <w:spacing w:after="0"/>
              <w:rPr>
                <w:sz w:val="20"/>
                <w:szCs w:val="20"/>
                <w:color w:val="auto"/>
              </w:rPr>
            </w:pPr>
            <w:r>
              <w:rPr>
                <w:rFonts w:ascii="Arial" w:cs="Arial" w:eastAsia="Arial" w:hAnsi="Arial"/>
                <w:sz w:val="16"/>
                <w:szCs w:val="16"/>
                <w:b w:val="1"/>
                <w:bCs w:val="1"/>
                <w:color w:val="auto"/>
              </w:rPr>
              <w:t>As of March 31, 2020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4"/>
          </w:tcPr>
          <w:p>
            <w:pPr>
              <w:jc w:val="right"/>
              <w:ind w:right="500"/>
              <w:spacing w:after="0"/>
              <w:rPr>
                <w:sz w:val="20"/>
                <w:szCs w:val="20"/>
                <w:color w:val="auto"/>
              </w:rPr>
            </w:pPr>
            <w:r>
              <w:rPr>
                <w:rFonts w:ascii="Arial" w:cs="Arial" w:eastAsia="Arial" w:hAnsi="Arial"/>
                <w:sz w:val="16"/>
                <w:szCs w:val="16"/>
                <w:b w:val="1"/>
                <w:bCs w:val="1"/>
                <w:color w:val="auto"/>
              </w:rPr>
              <w:t>As of December 31, 2019</w:t>
            </w:r>
          </w:p>
        </w:tc>
        <w:tc>
          <w:tcPr>
            <w:tcW w:w="280" w:type="dxa"/>
            <w:vAlign w:val="bottom"/>
          </w:tcPr>
          <w:p>
            <w:pPr>
              <w:spacing w:after="0"/>
              <w:rPr>
                <w:sz w:val="18"/>
                <w:szCs w:val="18"/>
                <w:color w:val="auto"/>
              </w:rPr>
            </w:pPr>
          </w:p>
        </w:tc>
      </w:tr>
      <w:tr>
        <w:trPr>
          <w:trHeight w:val="189"/>
        </w:trPr>
        <w:tc>
          <w:tcPr>
            <w:tcW w:w="2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20" w:type="dxa"/>
            <w:vAlign w:val="bottom"/>
            <w:tcBorders>
              <w:top w:val="single" w:sz="8" w:color="auto"/>
            </w:tcBorders>
            <w:gridSpan w:val="2"/>
          </w:tcPr>
          <w:p>
            <w:pPr>
              <w:ind w:left="420"/>
              <w:spacing w:after="0"/>
              <w:rPr>
                <w:sz w:val="20"/>
                <w:szCs w:val="20"/>
                <w:color w:val="auto"/>
              </w:rPr>
            </w:pPr>
            <w:r>
              <w:rPr>
                <w:rFonts w:ascii="Arial" w:cs="Arial" w:eastAsia="Arial" w:hAnsi="Arial"/>
                <w:sz w:val="16"/>
                <w:szCs w:val="16"/>
                <w:b w:val="1"/>
                <w:bCs w:val="1"/>
                <w:color w:val="auto"/>
              </w:rPr>
              <w:t>S/(000)</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S/(000)</w:t>
            </w:r>
          </w:p>
        </w:tc>
        <w:tc>
          <w:tcPr>
            <w:tcW w:w="1160" w:type="dxa"/>
            <w:vAlign w:val="bottom"/>
            <w:tcBorders>
              <w:top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7"/>
        </w:trPr>
        <w:tc>
          <w:tcPr>
            <w:tcW w:w="28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Instruments rated in Peru:</w:t>
            </w:r>
          </w:p>
        </w:tc>
        <w:tc>
          <w:tcPr>
            <w:tcW w:w="16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AAA</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1,621,270</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4.8</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AA- a AA+</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3,846,829</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10.4</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1,853,042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A- to A+</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6,680,686</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18.1</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8,970,590</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26.8</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BBB- to BBB+</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5,491,524</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14.9</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1,874,556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BB- to BB+</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496,934</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1.3</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517,146</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Lower and equal to +B</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Unrated:</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tcPr>
          <w:p>
            <w:pPr>
              <w:ind w:left="140"/>
              <w:spacing w:after="0"/>
              <w:rPr>
                <w:sz w:val="20"/>
                <w:szCs w:val="20"/>
                <w:color w:val="auto"/>
              </w:rPr>
            </w:pPr>
            <w:r>
              <w:rPr>
                <w:rFonts w:ascii="Arial" w:cs="Arial" w:eastAsia="Arial" w:hAnsi="Arial"/>
                <w:sz w:val="16"/>
                <w:szCs w:val="16"/>
                <w:color w:val="auto"/>
              </w:rPr>
              <w:t>BCRP certificates of deposit</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9,685,268</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26.3</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8,665,272</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25.8</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Listed and unlisted securities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518,883</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573,485</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tcPr>
          <w:p>
            <w:pPr>
              <w:ind w:left="140"/>
              <w:spacing w:after="0"/>
              <w:rPr>
                <w:sz w:val="20"/>
                <w:szCs w:val="20"/>
                <w:color w:val="auto"/>
              </w:rPr>
            </w:pPr>
            <w:r>
              <w:rPr>
                <w:rFonts w:ascii="Arial" w:cs="Arial" w:eastAsia="Arial" w:hAnsi="Arial"/>
                <w:sz w:val="16"/>
                <w:szCs w:val="16"/>
                <w:color w:val="auto"/>
              </w:rPr>
              <w:t>Restricted mutual funds</w:t>
            </w:r>
          </w:p>
        </w:tc>
        <w:tc>
          <w:tcPr>
            <w:tcW w:w="3060" w:type="dxa"/>
            <w:vAlign w:val="bottom"/>
            <w:gridSpan w:val="3"/>
          </w:tcPr>
          <w:p>
            <w:pPr>
              <w:jc w:val="right"/>
              <w:ind w:right="220"/>
              <w:spacing w:after="0"/>
              <w:rPr>
                <w:sz w:val="20"/>
                <w:szCs w:val="20"/>
                <w:color w:val="auto"/>
              </w:rPr>
            </w:pPr>
            <w:r>
              <w:rPr>
                <w:rFonts w:ascii="Arial" w:cs="Arial" w:eastAsia="Arial" w:hAnsi="Arial"/>
                <w:sz w:val="16"/>
                <w:szCs w:val="16"/>
                <w:color w:val="auto"/>
              </w:rPr>
              <w:t>398,111</w:t>
            </w:r>
          </w:p>
        </w:tc>
        <w:tc>
          <w:tcPr>
            <w:tcW w:w="82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1.1</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460,086</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funds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123,521</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0.3</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102,085</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tcPr>
          <w:p>
            <w:pPr>
              <w:ind w:left="140"/>
              <w:spacing w:after="0"/>
              <w:rPr>
                <w:sz w:val="20"/>
                <w:szCs w:val="20"/>
                <w:color w:val="auto"/>
              </w:rPr>
            </w:pPr>
            <w:r>
              <w:rPr>
                <w:rFonts w:ascii="Arial" w:cs="Arial" w:eastAsia="Arial" w:hAnsi="Arial"/>
                <w:sz w:val="16"/>
                <w:szCs w:val="16"/>
                <w:color w:val="auto"/>
              </w:rPr>
              <w:t>Mutual funds</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324,989</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0.9</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291,024</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0.9</w:t>
            </w:r>
          </w:p>
        </w:tc>
        <w:tc>
          <w:tcPr>
            <w:tcW w:w="280" w:type="dxa"/>
            <w:vAlign w:val="bottom"/>
          </w:tcPr>
          <w:p>
            <w:pPr>
              <w:spacing w:after="0"/>
              <w:rPr>
                <w:sz w:val="17"/>
                <w:szCs w:val="17"/>
                <w:color w:val="auto"/>
              </w:rPr>
            </w:pPr>
          </w:p>
        </w:tc>
      </w:tr>
      <w:tr>
        <w:trPr>
          <w:trHeight w:val="209"/>
        </w:trPr>
        <w:tc>
          <w:tcPr>
            <w:tcW w:w="280" w:type="dxa"/>
            <w:vAlign w:val="bottom"/>
          </w:tcPr>
          <w:p>
            <w:pPr>
              <w:spacing w:after="0"/>
              <w:rPr>
                <w:sz w:val="18"/>
                <w:szCs w:val="18"/>
                <w:color w:val="auto"/>
              </w:rPr>
            </w:pPr>
          </w:p>
        </w:tc>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instruments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129,502</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0.4</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264,497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0.8</w:t>
            </w:r>
          </w:p>
        </w:tc>
        <w:tc>
          <w:tcPr>
            <w:tcW w:w="280" w:type="dxa"/>
            <w:vAlign w:val="bottom"/>
          </w:tcPr>
          <w:p>
            <w:pPr>
              <w:spacing w:after="0"/>
              <w:rPr>
                <w:sz w:val="18"/>
                <w:szCs w:val="18"/>
                <w:color w:val="auto"/>
              </w:rPr>
            </w:pPr>
          </w:p>
        </w:tc>
      </w:tr>
      <w:tr>
        <w:trPr>
          <w:trHeight w:val="189"/>
        </w:trPr>
        <w:tc>
          <w:tcPr>
            <w:tcW w:w="28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Arial" w:cs="Arial" w:eastAsia="Arial" w:hAnsi="Arial"/>
                <w:sz w:val="16"/>
                <w:szCs w:val="16"/>
                <w:b w:val="1"/>
                <w:bCs w:val="1"/>
                <w:color w:val="auto"/>
              </w:rPr>
              <w:t>Subtotal</w:t>
            </w:r>
          </w:p>
        </w:tc>
        <w:tc>
          <w:tcPr>
            <w:tcW w:w="164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27,696,247</w:t>
            </w:r>
          </w:p>
        </w:tc>
        <w:tc>
          <w:tcPr>
            <w:tcW w:w="220" w:type="dxa"/>
            <w:vAlign w:val="bottom"/>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75.1</w:t>
            </w:r>
          </w:p>
        </w:tc>
        <w:tc>
          <w:tcPr>
            <w:tcW w:w="2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25,193,053</w:t>
            </w:r>
          </w:p>
        </w:tc>
        <w:tc>
          <w:tcPr>
            <w:tcW w:w="20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581"/>
        </w:trPr>
        <w:tc>
          <w:tcPr>
            <w:tcW w:w="2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jc w:val="right"/>
              <w:ind w:right="838"/>
              <w:spacing w:after="0"/>
              <w:rPr>
                <w:sz w:val="20"/>
                <w:szCs w:val="20"/>
                <w:color w:val="auto"/>
              </w:rPr>
            </w:pPr>
            <w:r>
              <w:rPr>
                <w:rFonts w:ascii="Arial" w:cs="Arial" w:eastAsia="Arial" w:hAnsi="Arial"/>
                <w:sz w:val="16"/>
                <w:szCs w:val="16"/>
                <w:color w:val="auto"/>
              </w:rPr>
              <w:t>-85-</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9" w:right="3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0" w:type="dxa"/>
            <w:vAlign w:val="bottom"/>
            <w:gridSpan w:val="3"/>
          </w:tcPr>
          <w:p>
            <w:pPr>
              <w:jc w:val="right"/>
              <w:ind w:right="78"/>
              <w:spacing w:after="0"/>
              <w:rPr>
                <w:sz w:val="20"/>
                <w:szCs w:val="20"/>
                <w:color w:val="auto"/>
              </w:rPr>
            </w:pPr>
            <w:r>
              <w:rPr>
                <w:rFonts w:ascii="Arial" w:cs="Arial" w:eastAsia="Arial" w:hAnsi="Arial"/>
                <w:sz w:val="16"/>
                <w:szCs w:val="16"/>
                <w:b w:val="1"/>
                <w:bCs w:val="1"/>
                <w:color w:val="auto"/>
              </w:rPr>
              <w:t>As of March 31, 2020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4"/>
          </w:tcPr>
          <w:p>
            <w:pPr>
              <w:jc w:val="right"/>
              <w:ind w:right="500"/>
              <w:spacing w:after="0"/>
              <w:rPr>
                <w:sz w:val="20"/>
                <w:szCs w:val="20"/>
                <w:color w:val="auto"/>
              </w:rPr>
            </w:pPr>
            <w:r>
              <w:rPr>
                <w:rFonts w:ascii="Arial" w:cs="Arial" w:eastAsia="Arial" w:hAnsi="Arial"/>
                <w:sz w:val="16"/>
                <w:szCs w:val="16"/>
                <w:b w:val="1"/>
                <w:bCs w:val="1"/>
                <w:color w:val="auto"/>
              </w:rPr>
              <w:t>As of December 31, 2019</w:t>
            </w:r>
          </w:p>
        </w:tc>
        <w:tc>
          <w:tcPr>
            <w:tcW w:w="280" w:type="dxa"/>
            <w:vAlign w:val="bottom"/>
          </w:tcPr>
          <w:p>
            <w:pPr>
              <w:spacing w:after="0"/>
              <w:rPr>
                <w:sz w:val="18"/>
                <w:szCs w:val="18"/>
                <w:color w:val="auto"/>
              </w:rPr>
            </w:pPr>
          </w:p>
        </w:tc>
      </w:tr>
      <w:tr>
        <w:trPr>
          <w:trHeight w:val="189"/>
        </w:trPr>
        <w:tc>
          <w:tcPr>
            <w:tcW w:w="2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20" w:type="dxa"/>
            <w:vAlign w:val="bottom"/>
            <w:tcBorders>
              <w:top w:val="single" w:sz="8" w:color="auto"/>
            </w:tcBorders>
            <w:gridSpan w:val="2"/>
          </w:tcPr>
          <w:p>
            <w:pPr>
              <w:ind w:left="420"/>
              <w:spacing w:after="0"/>
              <w:rPr>
                <w:sz w:val="20"/>
                <w:szCs w:val="20"/>
                <w:color w:val="auto"/>
              </w:rPr>
            </w:pPr>
            <w:r>
              <w:rPr>
                <w:rFonts w:ascii="Arial" w:cs="Arial" w:eastAsia="Arial" w:hAnsi="Arial"/>
                <w:sz w:val="16"/>
                <w:szCs w:val="16"/>
                <w:b w:val="1"/>
                <w:bCs w:val="1"/>
                <w:color w:val="auto"/>
              </w:rPr>
              <w:t>S/(000)</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S/(000)</w:t>
            </w:r>
          </w:p>
        </w:tc>
        <w:tc>
          <w:tcPr>
            <w:tcW w:w="1160" w:type="dxa"/>
            <w:vAlign w:val="bottom"/>
            <w:tcBorders>
              <w:top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7"/>
        </w:trPr>
        <w:tc>
          <w:tcPr>
            <w:tcW w:w="28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Instruments rated abroad:</w:t>
            </w:r>
          </w:p>
        </w:tc>
        <w:tc>
          <w:tcPr>
            <w:tcW w:w="16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AAA</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779,762</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2.2</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657,787</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AA- a AA+</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829,310</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854,501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A- to A+</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1,481,441</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4.1</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1,581,995</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4.7</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BBB- to BBB+</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2,925,325</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2,974,639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8.9</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BB- to BB+</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1,379,199</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3.7</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996,917</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Lower and equal to +B</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146,408</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0.4</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54,316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Unrated:</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tcPr>
          <w:p>
            <w:pPr>
              <w:ind w:left="140"/>
              <w:spacing w:after="0"/>
              <w:rPr>
                <w:sz w:val="20"/>
                <w:szCs w:val="20"/>
                <w:color w:val="auto"/>
              </w:rPr>
            </w:pPr>
            <w:r>
              <w:rPr>
                <w:rFonts w:ascii="Arial" w:cs="Arial" w:eastAsia="Arial" w:hAnsi="Arial"/>
                <w:sz w:val="16"/>
                <w:szCs w:val="16"/>
                <w:color w:val="auto"/>
              </w:rPr>
              <w:t>Listed and unlisted securities</w:t>
            </w:r>
          </w:p>
        </w:tc>
        <w:tc>
          <w:tcPr>
            <w:tcW w:w="3060" w:type="dxa"/>
            <w:vAlign w:val="bottom"/>
            <w:gridSpan w:val="3"/>
          </w:tcPr>
          <w:p>
            <w:pPr>
              <w:jc w:val="right"/>
              <w:ind w:right="220"/>
              <w:spacing w:after="0"/>
              <w:rPr>
                <w:sz w:val="20"/>
                <w:szCs w:val="20"/>
                <w:color w:val="auto"/>
              </w:rPr>
            </w:pPr>
            <w:r>
              <w:rPr>
                <w:rFonts w:ascii="Arial" w:cs="Arial" w:eastAsia="Arial" w:hAnsi="Arial"/>
                <w:sz w:val="16"/>
                <w:szCs w:val="16"/>
                <w:color w:val="auto"/>
              </w:rPr>
              <w:t>44,824</w:t>
            </w:r>
          </w:p>
        </w:tc>
        <w:tc>
          <w:tcPr>
            <w:tcW w:w="78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0.1</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88,799</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Participations of RAL funds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328,697</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0.9</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300,398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0.9</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tcPr>
          <w:p>
            <w:pPr>
              <w:ind w:left="140"/>
              <w:spacing w:after="0"/>
              <w:rPr>
                <w:sz w:val="20"/>
                <w:szCs w:val="20"/>
                <w:color w:val="auto"/>
              </w:rPr>
            </w:pPr>
            <w:r>
              <w:rPr>
                <w:rFonts w:ascii="Arial" w:cs="Arial" w:eastAsia="Arial" w:hAnsi="Arial"/>
                <w:sz w:val="16"/>
                <w:szCs w:val="16"/>
                <w:color w:val="auto"/>
              </w:rPr>
              <w:t>Mutual funds</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301,075</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0.8</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302,528</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0.9</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funds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250,573</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0.7</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294,158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0.9</w:t>
            </w:r>
          </w:p>
        </w:tc>
        <w:tc>
          <w:tcPr>
            <w:tcW w:w="280" w:type="dxa"/>
            <w:vAlign w:val="bottom"/>
          </w:tcPr>
          <w:p>
            <w:pPr>
              <w:spacing w:after="0"/>
              <w:rPr>
                <w:sz w:val="17"/>
                <w:szCs w:val="17"/>
                <w:color w:val="auto"/>
              </w:rPr>
            </w:pPr>
          </w:p>
        </w:tc>
      </w:tr>
      <w:tr>
        <w:trPr>
          <w:trHeight w:val="197"/>
        </w:trPr>
        <w:tc>
          <w:tcPr>
            <w:tcW w:w="280" w:type="dxa"/>
            <w:vAlign w:val="bottom"/>
          </w:tcPr>
          <w:p>
            <w:pPr>
              <w:spacing w:after="0"/>
              <w:rPr>
                <w:sz w:val="17"/>
                <w:szCs w:val="17"/>
                <w:color w:val="auto"/>
              </w:rPr>
            </w:pPr>
          </w:p>
        </w:tc>
        <w:tc>
          <w:tcPr>
            <w:tcW w:w="3600" w:type="dxa"/>
            <w:vAlign w:val="bottom"/>
          </w:tcPr>
          <w:p>
            <w:pPr>
              <w:ind w:left="140"/>
              <w:spacing w:after="0"/>
              <w:rPr>
                <w:sz w:val="20"/>
                <w:szCs w:val="20"/>
                <w:color w:val="auto"/>
              </w:rPr>
            </w:pPr>
            <w:r>
              <w:rPr>
                <w:rFonts w:ascii="Arial" w:cs="Arial" w:eastAsia="Arial" w:hAnsi="Arial"/>
                <w:sz w:val="16"/>
                <w:szCs w:val="16"/>
                <w:color w:val="auto"/>
              </w:rPr>
              <w:t>Hedge funds</w:t>
            </w:r>
          </w:p>
        </w:tc>
        <w:tc>
          <w:tcPr>
            <w:tcW w:w="3060" w:type="dxa"/>
            <w:vAlign w:val="bottom"/>
            <w:gridSpan w:val="3"/>
          </w:tcPr>
          <w:p>
            <w:pPr>
              <w:jc w:val="right"/>
              <w:ind w:right="220"/>
              <w:spacing w:after="0"/>
              <w:rPr>
                <w:sz w:val="20"/>
                <w:szCs w:val="20"/>
                <w:color w:val="auto"/>
              </w:rPr>
            </w:pPr>
            <w:r>
              <w:rPr>
                <w:rFonts w:ascii="Arial" w:cs="Arial" w:eastAsia="Arial" w:hAnsi="Arial"/>
                <w:sz w:val="16"/>
                <w:szCs w:val="16"/>
                <w:color w:val="auto"/>
              </w:rPr>
              <w:t>32,830</w:t>
            </w:r>
          </w:p>
        </w:tc>
        <w:tc>
          <w:tcPr>
            <w:tcW w:w="78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0.1</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33,223</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17"/>
                <w:szCs w:val="17"/>
                <w:color w:val="auto"/>
              </w:rPr>
            </w:pPr>
          </w:p>
        </w:tc>
      </w:tr>
      <w:tr>
        <w:trPr>
          <w:trHeight w:val="209"/>
        </w:trPr>
        <w:tc>
          <w:tcPr>
            <w:tcW w:w="280" w:type="dxa"/>
            <w:vAlign w:val="bottom"/>
          </w:tcPr>
          <w:p>
            <w:pPr>
              <w:spacing w:after="0"/>
              <w:rPr>
                <w:sz w:val="18"/>
                <w:szCs w:val="18"/>
                <w:color w:val="auto"/>
              </w:rPr>
            </w:pPr>
          </w:p>
        </w:tc>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instruments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620,962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198,217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0.5</w:t>
            </w:r>
          </w:p>
        </w:tc>
        <w:tc>
          <w:tcPr>
            <w:tcW w:w="280" w:type="dxa"/>
            <w:vAlign w:val="bottom"/>
          </w:tcPr>
          <w:p>
            <w:pPr>
              <w:spacing w:after="0"/>
              <w:rPr>
                <w:sz w:val="18"/>
                <w:szCs w:val="18"/>
                <w:color w:val="auto"/>
              </w:rPr>
            </w:pPr>
          </w:p>
        </w:tc>
      </w:tr>
      <w:tr>
        <w:trPr>
          <w:trHeight w:val="189"/>
        </w:trPr>
        <w:tc>
          <w:tcPr>
            <w:tcW w:w="280" w:type="dxa"/>
            <w:vAlign w:val="bottom"/>
          </w:tcPr>
          <w:p>
            <w:pPr>
              <w:spacing w:after="0"/>
              <w:rPr>
                <w:sz w:val="16"/>
                <w:szCs w:val="16"/>
                <w:color w:val="auto"/>
              </w:rPr>
            </w:pPr>
          </w:p>
        </w:tc>
        <w:tc>
          <w:tcPr>
            <w:tcW w:w="36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Subtotal</w:t>
            </w:r>
          </w:p>
        </w:tc>
        <w:tc>
          <w:tcPr>
            <w:tcW w:w="164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9,120,406</w:t>
            </w:r>
          </w:p>
        </w:tc>
        <w:tc>
          <w:tcPr>
            <w:tcW w:w="22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220" w:type="dxa"/>
            <w:vAlign w:val="bottom"/>
            <w:tcBorders>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8,337,478</w:t>
            </w:r>
          </w:p>
        </w:tc>
        <w:tc>
          <w:tcPr>
            <w:tcW w:w="200" w:type="dxa"/>
            <w:vAlign w:val="bottom"/>
            <w:tcBorders>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280" w:type="dxa"/>
            <w:vAlign w:val="bottom"/>
          </w:tcPr>
          <w:p>
            <w:pPr>
              <w:spacing w:after="0"/>
              <w:rPr>
                <w:sz w:val="16"/>
                <w:szCs w:val="16"/>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6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36,816,653</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100.0</w:t>
            </w: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33,530,531</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66"/>
        </w:trPr>
        <w:tc>
          <w:tcPr>
            <w:tcW w:w="2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jc w:val="right"/>
              <w:ind w:right="838"/>
              <w:spacing w:after="0"/>
              <w:rPr>
                <w:sz w:val="20"/>
                <w:szCs w:val="20"/>
                <w:color w:val="auto"/>
              </w:rPr>
            </w:pPr>
            <w:r>
              <w:rPr>
                <w:rFonts w:ascii="Arial" w:cs="Arial" w:eastAsia="Arial" w:hAnsi="Arial"/>
                <w:sz w:val="16"/>
                <w:szCs w:val="16"/>
                <w:color w:val="auto"/>
              </w:rPr>
              <w:t>-86-</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8" w:right="339" w:bottom="1440" w:gutter="0" w:footer="0" w:header="0"/>
        </w:sectPr>
      </w:pPr>
    </w:p>
    <w:bookmarkStart w:id="92" w:name="page93"/>
    <w:bookmarkEnd w:id="92"/>
    <w:p>
      <w:pPr>
        <w:ind w:left="302" w:hanging="302"/>
        <w:spacing w:after="0"/>
        <w:tabs>
          <w:tab w:leader="none" w:pos="30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Concentration of financial instruments exposed to credit risk -</w:t>
      </w:r>
    </w:p>
    <w:p>
      <w:pPr>
        <w:spacing w:after="0" w:line="209" w:lineRule="exact"/>
        <w:rPr>
          <w:rFonts w:ascii="Arial" w:cs="Arial" w:eastAsia="Arial" w:hAnsi="Arial"/>
          <w:sz w:val="16"/>
          <w:szCs w:val="16"/>
          <w:color w:val="auto"/>
        </w:rPr>
      </w:pPr>
    </w:p>
    <w:p>
      <w:pPr>
        <w:ind w:left="302"/>
        <w:spacing w:after="0"/>
        <w:rPr>
          <w:rFonts w:ascii="Arial" w:cs="Arial" w:eastAsia="Arial" w:hAnsi="Arial"/>
          <w:sz w:val="16"/>
          <w:szCs w:val="16"/>
          <w:color w:val="auto"/>
        </w:rPr>
      </w:pPr>
      <w:r>
        <w:rPr>
          <w:rFonts w:ascii="Arial" w:cs="Arial" w:eastAsia="Arial" w:hAnsi="Arial"/>
          <w:sz w:val="15"/>
          <w:szCs w:val="15"/>
          <w:color w:val="auto"/>
        </w:rPr>
        <w:t>As of March 31, 2020 and December 31, 2019, financial instruments with exposure to credit risk were distributed considering the following economic sectors:</w:t>
      </w:r>
    </w:p>
    <w:p>
      <w:pPr>
        <w:spacing w:after="0" w:line="217" w:lineRule="exact"/>
        <w:rPr>
          <w:sz w:val="20"/>
          <w:szCs w:val="20"/>
          <w:color w:val="auto"/>
        </w:rPr>
      </w:pPr>
    </w:p>
    <w:tbl>
      <w:tblPr>
        <w:tblLayout w:type="fixed"/>
        <w:tblInd w:w="282" w:type="dxa"/>
        <w:tblCellMar>
          <w:top w:w="0" w:type="dxa"/>
          <w:left w:w="0" w:type="dxa"/>
          <w:bottom w:w="0" w:type="dxa"/>
          <w:right w:w="0" w:type="dxa"/>
        </w:tblCellMar>
      </w:tblPr>
      <w:tr>
        <w:trPr>
          <w:trHeight w:val="139"/>
        </w:trPr>
        <w:tc>
          <w:tcPr>
            <w:tcW w:w="2320" w:type="dxa"/>
            <w:vAlign w:val="bottom"/>
          </w:tcPr>
          <w:p>
            <w:pPr>
              <w:spacing w:after="0"/>
              <w:rPr>
                <w:sz w:val="12"/>
                <w:szCs w:val="12"/>
                <w:color w:val="auto"/>
              </w:rPr>
            </w:pPr>
          </w:p>
        </w:tc>
        <w:tc>
          <w:tcPr>
            <w:tcW w:w="1720" w:type="dxa"/>
            <w:vAlign w:val="bottom"/>
            <w:tcBorders>
              <w:bottom w:val="single" w:sz="8" w:color="auto"/>
            </w:tcBorders>
            <w:gridSpan w:val="5"/>
          </w:tcPr>
          <w:p>
            <w:pPr>
              <w:ind w:left="660"/>
              <w:spacing w:after="0"/>
              <w:rPr>
                <w:sz w:val="20"/>
                <w:szCs w:val="20"/>
                <w:color w:val="auto"/>
              </w:rPr>
            </w:pPr>
            <w:r>
              <w:rPr>
                <w:rFonts w:ascii="Arial" w:cs="Arial" w:eastAsia="Arial" w:hAnsi="Arial"/>
                <w:sz w:val="11"/>
                <w:szCs w:val="11"/>
                <w:b w:val="1"/>
                <w:bCs w:val="1"/>
                <w:color w:val="auto"/>
                <w:w w:val="95"/>
              </w:rPr>
              <w:t>As of March 31, 2020</w:t>
            </w:r>
          </w:p>
        </w:tc>
        <w:tc>
          <w:tcPr>
            <w:tcW w:w="6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ind w:left="200"/>
              <w:spacing w:after="0"/>
              <w:rPr>
                <w:sz w:val="20"/>
                <w:szCs w:val="20"/>
                <w:color w:val="auto"/>
              </w:rPr>
            </w:pPr>
            <w:r>
              <w:rPr>
                <w:rFonts w:ascii="Arial" w:cs="Arial" w:eastAsia="Arial" w:hAnsi="Arial"/>
                <w:sz w:val="11"/>
                <w:szCs w:val="11"/>
                <w:b w:val="1"/>
                <w:bCs w:val="1"/>
                <w:color w:val="auto"/>
              </w:rPr>
              <w:t>As of December 31, 2019</w:t>
            </w:r>
          </w:p>
        </w:tc>
        <w:tc>
          <w:tcPr>
            <w:tcW w:w="8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320" w:type="dxa"/>
            <w:vAlign w:val="bottom"/>
          </w:tcPr>
          <w:p>
            <w:pPr>
              <w:spacing w:after="0"/>
              <w:rPr>
                <w:sz w:val="8"/>
                <w:szCs w:val="8"/>
                <w:color w:val="auto"/>
              </w:rPr>
            </w:pPr>
          </w:p>
        </w:tc>
        <w:tc>
          <w:tcPr>
            <w:tcW w:w="1720" w:type="dxa"/>
            <w:vAlign w:val="bottom"/>
            <w:gridSpan w:val="5"/>
          </w:tcPr>
          <w:p>
            <w:pPr>
              <w:jc w:val="center"/>
              <w:spacing w:after="0" w:line="100" w:lineRule="exact"/>
              <w:rPr>
                <w:sz w:val="20"/>
                <w:szCs w:val="20"/>
                <w:color w:val="auto"/>
              </w:rPr>
            </w:pPr>
            <w:r>
              <w:rPr>
                <w:rFonts w:ascii="Arial" w:cs="Arial" w:eastAsia="Arial" w:hAnsi="Arial"/>
                <w:sz w:val="11"/>
                <w:szCs w:val="11"/>
                <w:b w:val="1"/>
                <w:bCs w:val="1"/>
                <w:color w:val="auto"/>
                <w:w w:val="95"/>
              </w:rPr>
              <w:t>At fair value</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gridSpan w:val="4"/>
          </w:tcPr>
          <w:p>
            <w:pPr>
              <w:jc w:val="center"/>
              <w:ind w:left="23"/>
              <w:spacing w:after="0" w:line="100" w:lineRule="exact"/>
              <w:rPr>
                <w:sz w:val="20"/>
                <w:szCs w:val="20"/>
                <w:color w:val="auto"/>
              </w:rPr>
            </w:pPr>
            <w:r>
              <w:rPr>
                <w:rFonts w:ascii="Arial" w:cs="Arial" w:eastAsia="Arial" w:hAnsi="Arial"/>
                <w:sz w:val="11"/>
                <w:szCs w:val="11"/>
                <w:b w:val="1"/>
                <w:bCs w:val="1"/>
                <w:color w:val="auto"/>
                <w:w w:val="98"/>
              </w:rPr>
              <w:t>At fair value</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320" w:type="dxa"/>
            <w:vAlign w:val="bottom"/>
          </w:tcPr>
          <w:p>
            <w:pPr>
              <w:spacing w:after="0"/>
              <w:rPr>
                <w:sz w:val="12"/>
                <w:szCs w:val="12"/>
                <w:color w:val="auto"/>
              </w:rPr>
            </w:pPr>
          </w:p>
        </w:tc>
        <w:tc>
          <w:tcPr>
            <w:tcW w:w="1720" w:type="dxa"/>
            <w:vAlign w:val="bottom"/>
            <w:gridSpan w:val="5"/>
          </w:tcPr>
          <w:p>
            <w:pPr>
              <w:jc w:val="center"/>
              <w:spacing w:after="0"/>
              <w:rPr>
                <w:sz w:val="20"/>
                <w:szCs w:val="20"/>
                <w:color w:val="auto"/>
              </w:rPr>
            </w:pPr>
            <w:r>
              <w:rPr>
                <w:rFonts w:ascii="Arial" w:cs="Arial" w:eastAsia="Arial" w:hAnsi="Arial"/>
                <w:sz w:val="11"/>
                <w:szCs w:val="11"/>
                <w:b w:val="1"/>
                <w:bCs w:val="1"/>
                <w:color w:val="auto"/>
                <w:w w:val="93"/>
              </w:rPr>
              <w:t>through profit for loss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w w:val="98"/>
              </w:rPr>
              <w:t>At fair value</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tcPr>
          <w:p>
            <w:pPr>
              <w:jc w:val="center"/>
              <w:ind w:left="3"/>
              <w:spacing w:after="0"/>
              <w:rPr>
                <w:sz w:val="20"/>
                <w:szCs w:val="20"/>
                <w:color w:val="auto"/>
              </w:rPr>
            </w:pPr>
            <w:r>
              <w:rPr>
                <w:rFonts w:ascii="Arial" w:cs="Arial" w:eastAsia="Arial" w:hAnsi="Arial"/>
                <w:sz w:val="11"/>
                <w:szCs w:val="11"/>
                <w:b w:val="1"/>
                <w:bCs w:val="1"/>
                <w:color w:val="auto"/>
                <w:w w:val="93"/>
              </w:rPr>
              <w:t>through profit for loss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w w:val="98"/>
              </w:rPr>
              <w:t>At fair value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3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88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rPr>
              <w:t>Held for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6"/>
              </w:rPr>
              <w:t>Financial</w:t>
            </w:r>
          </w:p>
        </w:tc>
        <w:tc>
          <w:tcPr>
            <w:tcW w:w="96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94"/>
              </w:rPr>
              <w:t>through other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rPr>
              <w:t>Held for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w w:val="96"/>
              </w:rPr>
              <w:t>Financial</w:t>
            </w:r>
          </w:p>
        </w:tc>
        <w:tc>
          <w:tcPr>
            <w:tcW w:w="96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94"/>
              </w:rPr>
              <w:t>through other</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88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96"/>
              </w:rPr>
              <w:t>trading</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w w:val="84"/>
              </w:rPr>
              <w:t>assets at</w:t>
            </w:r>
          </w:p>
        </w:tc>
        <w:tc>
          <w:tcPr>
            <w:tcW w:w="96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w w:val="91"/>
              </w:rPr>
              <w:t>comprehensive</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w w:val="99"/>
              </w:rPr>
              <w:t>trading,</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84"/>
              </w:rPr>
              <w:t>assets at</w:t>
            </w:r>
          </w:p>
        </w:tc>
        <w:tc>
          <w:tcPr>
            <w:tcW w:w="96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89"/>
              </w:rPr>
              <w:t>comprehensive</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20" w:type="dxa"/>
            <w:vAlign w:val="bottom"/>
          </w:tcPr>
          <w:p>
            <w:pPr>
              <w:spacing w:after="0"/>
              <w:rPr>
                <w:sz w:val="10"/>
                <w:szCs w:val="10"/>
                <w:color w:val="auto"/>
              </w:rPr>
            </w:pPr>
          </w:p>
        </w:tc>
        <w:tc>
          <w:tcPr>
            <w:tcW w:w="88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w w:val="92"/>
              </w:rPr>
              <w:t>, hedging and</w:t>
            </w:r>
          </w:p>
        </w:tc>
        <w:tc>
          <w:tcPr>
            <w:tcW w:w="840" w:type="dxa"/>
            <w:vAlign w:val="bottom"/>
            <w:gridSpan w:val="3"/>
          </w:tcPr>
          <w:p>
            <w:pPr>
              <w:jc w:val="center"/>
              <w:ind w:right="100"/>
              <w:spacing w:after="0" w:line="123" w:lineRule="exact"/>
              <w:rPr>
                <w:sz w:val="20"/>
                <w:szCs w:val="20"/>
                <w:color w:val="auto"/>
              </w:rPr>
            </w:pPr>
            <w:r>
              <w:rPr>
                <w:rFonts w:ascii="Arial" w:cs="Arial" w:eastAsia="Arial" w:hAnsi="Arial"/>
                <w:sz w:val="11"/>
                <w:szCs w:val="11"/>
                <w:b w:val="1"/>
                <w:bCs w:val="1"/>
                <w:color w:val="auto"/>
                <w:w w:val="90"/>
              </w:rPr>
              <w:t>Designated</w:t>
            </w:r>
          </w:p>
        </w:tc>
        <w:tc>
          <w:tcPr>
            <w:tcW w:w="76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6"/>
              </w:rPr>
              <w:t>amortized</w:t>
            </w:r>
          </w:p>
        </w:tc>
        <w:tc>
          <w:tcPr>
            <w:tcW w:w="96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w w:val="88"/>
              </w:rPr>
              <w:t>income</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w w:val="91"/>
              </w:rPr>
              <w:t>hedging and</w:t>
            </w:r>
          </w:p>
        </w:tc>
        <w:tc>
          <w:tcPr>
            <w:tcW w:w="80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w w:val="90"/>
              </w:rPr>
              <w:t>Designated</w:t>
            </w:r>
          </w:p>
        </w:tc>
        <w:tc>
          <w:tcPr>
            <w:tcW w:w="80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w w:val="96"/>
              </w:rPr>
              <w:t>amortized</w:t>
            </w:r>
          </w:p>
        </w:tc>
        <w:tc>
          <w:tcPr>
            <w:tcW w:w="96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93"/>
              </w:rPr>
              <w:t>income</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320" w:type="dxa"/>
            <w:vAlign w:val="bottom"/>
          </w:tcPr>
          <w:p>
            <w:pPr>
              <w:spacing w:after="0"/>
              <w:rPr>
                <w:sz w:val="12"/>
                <w:szCs w:val="12"/>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5"/>
              </w:rPr>
              <w:t>others (*)</w:t>
            </w:r>
          </w:p>
        </w:tc>
        <w:tc>
          <w:tcPr>
            <w:tcW w:w="8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3"/>
              </w:rPr>
              <w:t>at inception</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79"/>
              </w:rPr>
              <w:t>cost</w:t>
            </w:r>
          </w:p>
        </w:tc>
        <w:tc>
          <w:tcPr>
            <w:tcW w:w="9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0"/>
              </w:rPr>
              <w:t>investments</w:t>
            </w:r>
          </w:p>
        </w:tc>
        <w:tc>
          <w:tcPr>
            <w:tcW w:w="800" w:type="dxa"/>
            <w:vAlign w:val="bottom"/>
            <w:gridSpan w:val="2"/>
          </w:tcPr>
          <w:p>
            <w:pPr>
              <w:ind w:left="240"/>
              <w:spacing w:after="0"/>
              <w:rPr>
                <w:sz w:val="20"/>
                <w:szCs w:val="20"/>
                <w:color w:val="auto"/>
              </w:rPr>
            </w:pPr>
            <w:r>
              <w:rPr>
                <w:rFonts w:ascii="Arial" w:cs="Arial" w:eastAsia="Arial" w:hAnsi="Arial"/>
                <w:sz w:val="11"/>
                <w:szCs w:val="11"/>
                <w:b w:val="1"/>
                <w:bCs w:val="1"/>
                <w:color w:val="auto"/>
              </w:rPr>
              <w:t>Total</w:t>
            </w:r>
          </w:p>
        </w:tc>
        <w:tc>
          <w:tcPr>
            <w:tcW w:w="8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others (*)</w:t>
            </w:r>
          </w:p>
        </w:tc>
        <w:tc>
          <w:tcPr>
            <w:tcW w:w="8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3"/>
              </w:rPr>
              <w:t>at inception</w:t>
            </w:r>
          </w:p>
        </w:tc>
        <w:tc>
          <w:tcPr>
            <w:tcW w:w="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cost</w:t>
            </w:r>
          </w:p>
        </w:tc>
        <w:tc>
          <w:tcPr>
            <w:tcW w:w="9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0"/>
              </w:rPr>
              <w:t>investments</w:t>
            </w:r>
          </w:p>
        </w:tc>
        <w:tc>
          <w:tcPr>
            <w:tcW w:w="7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5"/>
        </w:trPr>
        <w:tc>
          <w:tcPr>
            <w:tcW w:w="2320" w:type="dxa"/>
            <w:vAlign w:val="bottom"/>
          </w:tcPr>
          <w:p>
            <w:pPr>
              <w:spacing w:after="0"/>
              <w:rPr>
                <w:sz w:val="10"/>
                <w:szCs w:val="10"/>
                <w:color w:val="auto"/>
              </w:rPr>
            </w:pPr>
          </w:p>
        </w:tc>
        <w:tc>
          <w:tcPr>
            <w:tcW w:w="740" w:type="dxa"/>
            <w:vAlign w:val="bottom"/>
            <w:tcBorders>
              <w:top w:val="single" w:sz="8" w:color="auto"/>
            </w:tcBorders>
          </w:tcPr>
          <w:p>
            <w:pPr>
              <w:jc w:val="center"/>
              <w:ind w:left="23"/>
              <w:spacing w:after="0" w:line="115" w:lineRule="exact"/>
              <w:rPr>
                <w:sz w:val="20"/>
                <w:szCs w:val="20"/>
                <w:color w:val="auto"/>
              </w:rPr>
            </w:pPr>
            <w:r>
              <w:rPr>
                <w:rFonts w:ascii="Arial" w:cs="Arial" w:eastAsia="Arial" w:hAnsi="Arial"/>
                <w:sz w:val="11"/>
                <w:szCs w:val="11"/>
                <w:b w:val="1"/>
                <w:bCs w:val="1"/>
                <w:color w:val="auto"/>
                <w:w w:val="94"/>
              </w:rPr>
              <w:t>S/(000)</w:t>
            </w:r>
          </w:p>
        </w:tc>
        <w:tc>
          <w:tcPr>
            <w:tcW w:w="140" w:type="dxa"/>
            <w:vAlign w:val="bottom"/>
          </w:tcPr>
          <w:p>
            <w:pPr>
              <w:spacing w:after="0"/>
              <w:rPr>
                <w:sz w:val="10"/>
                <w:szCs w:val="10"/>
                <w:color w:val="auto"/>
              </w:rPr>
            </w:pPr>
          </w:p>
        </w:tc>
        <w:tc>
          <w:tcPr>
            <w:tcW w:w="660" w:type="dxa"/>
            <w:vAlign w:val="bottom"/>
            <w:tcBorders>
              <w:top w:val="single" w:sz="8" w:color="auto"/>
            </w:tcBorders>
          </w:tcPr>
          <w:p>
            <w:pPr>
              <w:jc w:val="center"/>
              <w:ind w:left="23"/>
              <w:spacing w:after="0" w:line="115" w:lineRule="exact"/>
              <w:rPr>
                <w:sz w:val="20"/>
                <w:szCs w:val="20"/>
                <w:color w:val="auto"/>
              </w:rPr>
            </w:pPr>
            <w:r>
              <w:rPr>
                <w:rFonts w:ascii="Arial" w:cs="Arial" w:eastAsia="Arial" w:hAnsi="Arial"/>
                <w:sz w:val="11"/>
                <w:szCs w:val="11"/>
                <w:b w:val="1"/>
                <w:bCs w:val="1"/>
                <w:color w:val="auto"/>
                <w:w w:val="94"/>
              </w:rPr>
              <w:t>S/(000)</w:t>
            </w:r>
          </w:p>
        </w:tc>
        <w:tc>
          <w:tcPr>
            <w:tcW w:w="1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40" w:type="dxa"/>
            <w:vAlign w:val="bottom"/>
          </w:tcPr>
          <w:p>
            <w:pPr>
              <w:spacing w:after="0"/>
              <w:rPr>
                <w:sz w:val="10"/>
                <w:szCs w:val="10"/>
                <w:color w:val="auto"/>
              </w:rPr>
            </w:pPr>
          </w:p>
        </w:tc>
        <w:tc>
          <w:tcPr>
            <w:tcW w:w="820" w:type="dxa"/>
            <w:vAlign w:val="bottom"/>
            <w:tcBorders>
              <w:top w:val="single" w:sz="8" w:color="auto"/>
            </w:tcBorders>
          </w:tcPr>
          <w:p>
            <w:pPr>
              <w:jc w:val="center"/>
              <w:ind w:left="23"/>
              <w:spacing w:after="0" w:line="115" w:lineRule="exact"/>
              <w:rPr>
                <w:sz w:val="20"/>
                <w:szCs w:val="20"/>
                <w:color w:val="auto"/>
              </w:rPr>
            </w:pPr>
            <w:r>
              <w:rPr>
                <w:rFonts w:ascii="Arial" w:cs="Arial" w:eastAsia="Arial" w:hAnsi="Arial"/>
                <w:sz w:val="11"/>
                <w:szCs w:val="11"/>
                <w:b w:val="1"/>
                <w:bCs w:val="1"/>
                <w:color w:val="auto"/>
                <w:w w:val="94"/>
              </w:rPr>
              <w:t>S/(000)</w:t>
            </w:r>
          </w:p>
        </w:tc>
        <w:tc>
          <w:tcPr>
            <w:tcW w:w="140" w:type="dxa"/>
            <w:vAlign w:val="bottom"/>
          </w:tcPr>
          <w:p>
            <w:pPr>
              <w:spacing w:after="0"/>
              <w:rPr>
                <w:sz w:val="10"/>
                <w:szCs w:val="10"/>
                <w:color w:val="auto"/>
              </w:rPr>
            </w:pPr>
          </w:p>
        </w:tc>
        <w:tc>
          <w:tcPr>
            <w:tcW w:w="660" w:type="dxa"/>
            <w:vAlign w:val="bottom"/>
            <w:tcBorders>
              <w:top w:val="single" w:sz="8" w:color="auto"/>
            </w:tcBorders>
          </w:tcPr>
          <w:p>
            <w:pPr>
              <w:jc w:val="right"/>
              <w:ind w:right="63"/>
              <w:spacing w:after="0" w:line="115" w:lineRule="exact"/>
              <w:rPr>
                <w:sz w:val="20"/>
                <w:szCs w:val="20"/>
                <w:color w:val="auto"/>
              </w:rPr>
            </w:pPr>
            <w:r>
              <w:rPr>
                <w:rFonts w:ascii="Arial" w:cs="Arial" w:eastAsia="Arial" w:hAnsi="Arial"/>
                <w:sz w:val="11"/>
                <w:szCs w:val="11"/>
                <w:b w:val="1"/>
                <w:bCs w:val="1"/>
                <w:color w:val="auto"/>
              </w:rPr>
              <w:t>S/(000)</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center"/>
              <w:ind w:left="3"/>
              <w:spacing w:after="0" w:line="115" w:lineRule="exact"/>
              <w:rPr>
                <w:sz w:val="20"/>
                <w:szCs w:val="20"/>
                <w:color w:val="auto"/>
              </w:rPr>
            </w:pPr>
            <w:r>
              <w:rPr>
                <w:rFonts w:ascii="Arial" w:cs="Arial" w:eastAsia="Arial" w:hAnsi="Arial"/>
                <w:sz w:val="11"/>
                <w:szCs w:val="11"/>
                <w:b w:val="1"/>
                <w:bCs w:val="1"/>
                <w:color w:val="auto"/>
                <w:w w:val="94"/>
              </w:rPr>
              <w:t>S/(000)</w:t>
            </w:r>
          </w:p>
        </w:tc>
        <w:tc>
          <w:tcPr>
            <w:tcW w:w="140" w:type="dxa"/>
            <w:vAlign w:val="bottom"/>
          </w:tcPr>
          <w:p>
            <w:pPr>
              <w:spacing w:after="0"/>
              <w:rPr>
                <w:sz w:val="10"/>
                <w:szCs w:val="10"/>
                <w:color w:val="auto"/>
              </w:rPr>
            </w:pPr>
          </w:p>
        </w:tc>
        <w:tc>
          <w:tcPr>
            <w:tcW w:w="660" w:type="dxa"/>
            <w:vAlign w:val="bottom"/>
            <w:tcBorders>
              <w:top w:val="single" w:sz="8" w:color="auto"/>
            </w:tcBorders>
          </w:tcPr>
          <w:p>
            <w:pPr>
              <w:jc w:val="center"/>
              <w:ind w:left="23"/>
              <w:spacing w:after="0" w:line="115" w:lineRule="exact"/>
              <w:rPr>
                <w:sz w:val="20"/>
                <w:szCs w:val="20"/>
                <w:color w:val="auto"/>
              </w:rPr>
            </w:pPr>
            <w:r>
              <w:rPr>
                <w:rFonts w:ascii="Arial" w:cs="Arial" w:eastAsia="Arial" w:hAnsi="Arial"/>
                <w:sz w:val="11"/>
                <w:szCs w:val="11"/>
                <w:b w:val="1"/>
                <w:bCs w:val="1"/>
                <w:color w:val="auto"/>
                <w:w w:val="94"/>
              </w:rPr>
              <w:t>S/(000)</w:t>
            </w:r>
          </w:p>
        </w:tc>
        <w:tc>
          <w:tcPr>
            <w:tcW w:w="140" w:type="dxa"/>
            <w:vAlign w:val="bottom"/>
          </w:tcPr>
          <w:p>
            <w:pPr>
              <w:spacing w:after="0"/>
              <w:rPr>
                <w:sz w:val="10"/>
                <w:szCs w:val="10"/>
                <w:color w:val="auto"/>
              </w:rPr>
            </w:pPr>
          </w:p>
        </w:tc>
        <w:tc>
          <w:tcPr>
            <w:tcW w:w="660" w:type="dxa"/>
            <w:vAlign w:val="bottom"/>
            <w:tcBorders>
              <w:top w:val="single" w:sz="8" w:color="auto"/>
            </w:tcBorders>
          </w:tcPr>
          <w:p>
            <w:pPr>
              <w:jc w:val="center"/>
              <w:ind w:left="23"/>
              <w:spacing w:after="0" w:line="115" w:lineRule="exact"/>
              <w:rPr>
                <w:sz w:val="20"/>
                <w:szCs w:val="20"/>
                <w:color w:val="auto"/>
              </w:rPr>
            </w:pPr>
            <w:r>
              <w:rPr>
                <w:rFonts w:ascii="Arial" w:cs="Arial" w:eastAsia="Arial" w:hAnsi="Arial"/>
                <w:sz w:val="11"/>
                <w:szCs w:val="11"/>
                <w:b w:val="1"/>
                <w:bCs w:val="1"/>
                <w:color w:val="auto"/>
                <w:w w:val="94"/>
              </w:rPr>
              <w:t>S/(000)</w:t>
            </w:r>
          </w:p>
        </w:tc>
        <w:tc>
          <w:tcPr>
            <w:tcW w:w="140" w:type="dxa"/>
            <w:vAlign w:val="bottom"/>
          </w:tcPr>
          <w:p>
            <w:pPr>
              <w:spacing w:after="0"/>
              <w:rPr>
                <w:sz w:val="10"/>
                <w:szCs w:val="10"/>
                <w:color w:val="auto"/>
              </w:rPr>
            </w:pPr>
          </w:p>
        </w:tc>
        <w:tc>
          <w:tcPr>
            <w:tcW w:w="820" w:type="dxa"/>
            <w:vAlign w:val="bottom"/>
            <w:tcBorders>
              <w:top w:val="single" w:sz="8" w:color="auto"/>
            </w:tcBorders>
          </w:tcPr>
          <w:p>
            <w:pPr>
              <w:jc w:val="center"/>
              <w:ind w:left="23"/>
              <w:spacing w:after="0" w:line="115" w:lineRule="exact"/>
              <w:rPr>
                <w:sz w:val="20"/>
                <w:szCs w:val="20"/>
                <w:color w:val="auto"/>
              </w:rPr>
            </w:pPr>
            <w:r>
              <w:rPr>
                <w:rFonts w:ascii="Arial" w:cs="Arial" w:eastAsia="Arial" w:hAnsi="Arial"/>
                <w:sz w:val="11"/>
                <w:szCs w:val="11"/>
                <w:b w:val="1"/>
                <w:bCs w:val="1"/>
                <w:color w:val="auto"/>
                <w:w w:val="94"/>
              </w:rPr>
              <w:t>S/(000)</w:t>
            </w:r>
          </w:p>
        </w:tc>
        <w:tc>
          <w:tcPr>
            <w:tcW w:w="140" w:type="dxa"/>
            <w:vAlign w:val="bottom"/>
          </w:tcPr>
          <w:p>
            <w:pPr>
              <w:spacing w:after="0"/>
              <w:rPr>
                <w:sz w:val="10"/>
                <w:szCs w:val="10"/>
                <w:color w:val="auto"/>
              </w:rPr>
            </w:pPr>
          </w:p>
        </w:tc>
        <w:tc>
          <w:tcPr>
            <w:tcW w:w="660" w:type="dxa"/>
            <w:vAlign w:val="bottom"/>
            <w:tcBorders>
              <w:top w:val="single" w:sz="8" w:color="auto"/>
            </w:tcBorders>
          </w:tcPr>
          <w:p>
            <w:pPr>
              <w:jc w:val="right"/>
              <w:ind w:right="63"/>
              <w:spacing w:after="0" w:line="115" w:lineRule="exact"/>
              <w:rPr>
                <w:sz w:val="20"/>
                <w:szCs w:val="20"/>
                <w:color w:val="auto"/>
              </w:rPr>
            </w:pPr>
            <w:r>
              <w:rPr>
                <w:rFonts w:ascii="Arial" w:cs="Arial" w:eastAsia="Arial" w:hAnsi="Arial"/>
                <w:sz w:val="11"/>
                <w:szCs w:val="11"/>
                <w:b w:val="1"/>
                <w:bCs w:val="1"/>
                <w:color w:val="auto"/>
              </w:rPr>
              <w:t>S/(000)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Central Reserve Bank of Peru</w:t>
            </w:r>
          </w:p>
        </w:tc>
        <w:tc>
          <w:tcPr>
            <w:tcW w:w="88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352</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10,680,069</w:t>
            </w:r>
          </w:p>
        </w:tc>
        <w:tc>
          <w:tcPr>
            <w:tcW w:w="8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9,685,268</w:t>
            </w: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20,365,689</w:t>
            </w:r>
          </w:p>
        </w:tc>
        <w:tc>
          <w:tcPr>
            <w:tcW w:w="82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21,166,346</w:t>
            </w:r>
          </w:p>
        </w:tc>
        <w:tc>
          <w:tcPr>
            <w:tcW w:w="9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8,665,272</w:t>
            </w:r>
          </w:p>
        </w:tc>
        <w:tc>
          <w:tcPr>
            <w:tcW w:w="7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29,831,618</w:t>
            </w:r>
          </w:p>
        </w:tc>
        <w:tc>
          <w:tcPr>
            <w:tcW w:w="0" w:type="dxa"/>
            <w:vAlign w:val="bottom"/>
          </w:tcPr>
          <w:p>
            <w:pPr>
              <w:spacing w:after="0"/>
              <w:rPr>
                <w:sz w:val="1"/>
                <w:szCs w:val="1"/>
                <w:color w:val="auto"/>
              </w:rPr>
            </w:pPr>
          </w:p>
        </w:tc>
      </w:tr>
      <w:tr>
        <w:trPr>
          <w:trHeight w:val="123"/>
        </w:trPr>
        <w:tc>
          <w:tcPr>
            <w:tcW w:w="2320" w:type="dxa"/>
            <w:vAlign w:val="bottom"/>
          </w:tcPr>
          <w:p>
            <w:pPr>
              <w:spacing w:after="0" w:line="123" w:lineRule="exact"/>
              <w:rPr>
                <w:sz w:val="20"/>
                <w:szCs w:val="20"/>
                <w:color w:val="auto"/>
              </w:rPr>
            </w:pPr>
            <w:r>
              <w:rPr>
                <w:rFonts w:ascii="Arial" w:cs="Arial" w:eastAsia="Arial" w:hAnsi="Arial"/>
                <w:sz w:val="11"/>
                <w:szCs w:val="11"/>
                <w:color w:val="auto"/>
              </w:rPr>
              <w:t>Financial services</w:t>
            </w:r>
          </w:p>
        </w:tc>
        <w:tc>
          <w:tcPr>
            <w:tcW w:w="88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3,071,100</w:t>
            </w: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179,082</w:t>
            </w:r>
          </w:p>
        </w:tc>
        <w:tc>
          <w:tcPr>
            <w:tcW w:w="40" w:type="dxa"/>
            <w:vAlign w:val="bottom"/>
          </w:tcPr>
          <w:p>
            <w:pPr>
              <w:spacing w:after="0"/>
              <w:rPr>
                <w:sz w:val="10"/>
                <w:szCs w:val="10"/>
                <w:color w:val="auto"/>
              </w:rPr>
            </w:pPr>
          </w:p>
        </w:tc>
        <w:tc>
          <w:tcPr>
            <w:tcW w:w="7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24,898,280</w:t>
            </w:r>
          </w:p>
        </w:tc>
        <w:tc>
          <w:tcPr>
            <w:tcW w:w="820" w:type="dxa"/>
            <w:vAlign w:val="bottom"/>
          </w:tcPr>
          <w:p>
            <w:pPr>
              <w:jc w:val="right"/>
              <w:spacing w:after="0" w:line="123" w:lineRule="exact"/>
              <w:rPr>
                <w:sz w:val="20"/>
                <w:szCs w:val="20"/>
                <w:color w:val="auto"/>
              </w:rPr>
            </w:pPr>
            <w:r>
              <w:rPr>
                <w:rFonts w:ascii="Arial" w:cs="Arial" w:eastAsia="Arial" w:hAnsi="Arial"/>
                <w:sz w:val="11"/>
                <w:szCs w:val="11"/>
                <w:color w:val="auto"/>
              </w:rPr>
              <w:t>4,123,657</w:t>
            </w:r>
          </w:p>
        </w:tc>
        <w:tc>
          <w:tcPr>
            <w:tcW w:w="140" w:type="dxa"/>
            <w:vAlign w:val="bottom"/>
          </w:tcPr>
          <w:p>
            <w:pPr>
              <w:spacing w:after="0"/>
              <w:rPr>
                <w:sz w:val="10"/>
                <w:szCs w:val="10"/>
                <w:color w:val="auto"/>
              </w:rPr>
            </w:pP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32,272,119</w:t>
            </w: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2,856,512</w:t>
            </w:r>
          </w:p>
        </w:tc>
        <w:tc>
          <w:tcPr>
            <w:tcW w:w="14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237,240</w:t>
            </w:r>
          </w:p>
        </w:tc>
        <w:tc>
          <w:tcPr>
            <w:tcW w:w="140" w:type="dxa"/>
            <w:vAlign w:val="bottom"/>
          </w:tcPr>
          <w:p>
            <w:pPr>
              <w:spacing w:after="0"/>
              <w:rPr>
                <w:sz w:val="10"/>
                <w:szCs w:val="10"/>
                <w:color w:val="auto"/>
              </w:rPr>
            </w:pP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13,281,408</w:t>
            </w:r>
          </w:p>
        </w:tc>
        <w:tc>
          <w:tcPr>
            <w:tcW w:w="9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2,883,301</w:t>
            </w:r>
          </w:p>
        </w:tc>
        <w:tc>
          <w:tcPr>
            <w:tcW w:w="74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19,258,461</w:t>
            </w:r>
          </w:p>
        </w:tc>
        <w:tc>
          <w:tcPr>
            <w:tcW w:w="0" w:type="dxa"/>
            <w:vAlign w:val="bottom"/>
          </w:tcPr>
          <w:p>
            <w:pPr>
              <w:spacing w:after="0"/>
              <w:rPr>
                <w:sz w:val="1"/>
                <w:szCs w:val="1"/>
                <w:color w:val="auto"/>
              </w:rPr>
            </w:pPr>
          </w:p>
        </w:tc>
      </w:tr>
      <w:tr>
        <w:trPr>
          <w:trHeight w:val="123"/>
        </w:trPr>
        <w:tc>
          <w:tcPr>
            <w:tcW w:w="23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Manufacturing</w:t>
            </w:r>
          </w:p>
        </w:tc>
        <w:tc>
          <w:tcPr>
            <w:tcW w:w="88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35,138</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28,972</w:t>
            </w:r>
          </w:p>
        </w:tc>
        <w:tc>
          <w:tcPr>
            <w:tcW w:w="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17,223,380</w:t>
            </w:r>
          </w:p>
        </w:tc>
        <w:tc>
          <w:tcPr>
            <w:tcW w:w="8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1,177,084</w:t>
            </w: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18,464,574</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202,554</w:t>
            </w: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36,686</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15,608,834</w:t>
            </w:r>
          </w:p>
        </w:tc>
        <w:tc>
          <w:tcPr>
            <w:tcW w:w="9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1,225,118</w:t>
            </w:r>
          </w:p>
        </w:tc>
        <w:tc>
          <w:tcPr>
            <w:tcW w:w="7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17,073,192</w:t>
            </w:r>
          </w:p>
        </w:tc>
        <w:tc>
          <w:tcPr>
            <w:tcW w:w="0" w:type="dxa"/>
            <w:vAlign w:val="bottom"/>
          </w:tcPr>
          <w:p>
            <w:pPr>
              <w:spacing w:after="0"/>
              <w:rPr>
                <w:sz w:val="1"/>
                <w:szCs w:val="1"/>
                <w:color w:val="auto"/>
              </w:rPr>
            </w:pPr>
          </w:p>
        </w:tc>
      </w:tr>
      <w:tr>
        <w:trPr>
          <w:trHeight w:val="123"/>
        </w:trPr>
        <w:tc>
          <w:tcPr>
            <w:tcW w:w="2320" w:type="dxa"/>
            <w:vAlign w:val="bottom"/>
          </w:tcPr>
          <w:p>
            <w:pPr>
              <w:spacing w:after="0" w:line="123" w:lineRule="exact"/>
              <w:rPr>
                <w:sz w:val="20"/>
                <w:szCs w:val="20"/>
                <w:color w:val="auto"/>
              </w:rPr>
            </w:pPr>
            <w:r>
              <w:rPr>
                <w:rFonts w:ascii="Arial" w:cs="Arial" w:eastAsia="Arial" w:hAnsi="Arial"/>
                <w:sz w:val="11"/>
                <w:szCs w:val="11"/>
                <w:color w:val="auto"/>
              </w:rPr>
              <w:t>Mortgage loans</w:t>
            </w:r>
          </w:p>
        </w:tc>
        <w:tc>
          <w:tcPr>
            <w:tcW w:w="88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7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19,399,960</w:t>
            </w:r>
          </w:p>
        </w:tc>
        <w:tc>
          <w:tcPr>
            <w:tcW w:w="9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19,399,960</w:t>
            </w:r>
          </w:p>
        </w:tc>
        <w:tc>
          <w:tcPr>
            <w:tcW w:w="82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18,985,407</w:t>
            </w:r>
          </w:p>
        </w:tc>
        <w:tc>
          <w:tcPr>
            <w:tcW w:w="9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18,985,407</w:t>
            </w:r>
          </w:p>
        </w:tc>
        <w:tc>
          <w:tcPr>
            <w:tcW w:w="0" w:type="dxa"/>
            <w:vAlign w:val="bottom"/>
          </w:tcPr>
          <w:p>
            <w:pPr>
              <w:spacing w:after="0"/>
              <w:rPr>
                <w:sz w:val="1"/>
                <w:szCs w:val="1"/>
                <w:color w:val="auto"/>
              </w:rPr>
            </w:pPr>
          </w:p>
        </w:tc>
      </w:tr>
      <w:tr>
        <w:trPr>
          <w:trHeight w:val="123"/>
        </w:trPr>
        <w:tc>
          <w:tcPr>
            <w:tcW w:w="23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Consumer loans</w:t>
            </w:r>
          </w:p>
        </w:tc>
        <w:tc>
          <w:tcPr>
            <w:tcW w:w="88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14,783,831</w:t>
            </w:r>
          </w:p>
        </w:tc>
        <w:tc>
          <w:tcPr>
            <w:tcW w:w="9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14,783,831</w:t>
            </w:r>
          </w:p>
        </w:tc>
        <w:tc>
          <w:tcPr>
            <w:tcW w:w="82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14,809,503</w:t>
            </w:r>
          </w:p>
        </w:tc>
        <w:tc>
          <w:tcPr>
            <w:tcW w:w="9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14,809,503</w:t>
            </w:r>
          </w:p>
        </w:tc>
        <w:tc>
          <w:tcPr>
            <w:tcW w:w="0" w:type="dxa"/>
            <w:vAlign w:val="bottom"/>
          </w:tcPr>
          <w:p>
            <w:pPr>
              <w:spacing w:after="0"/>
              <w:rPr>
                <w:sz w:val="1"/>
                <w:szCs w:val="1"/>
                <w:color w:val="auto"/>
              </w:rPr>
            </w:pPr>
          </w:p>
        </w:tc>
      </w:tr>
      <w:tr>
        <w:trPr>
          <w:trHeight w:val="123"/>
        </w:trPr>
        <w:tc>
          <w:tcPr>
            <w:tcW w:w="2320" w:type="dxa"/>
            <w:vAlign w:val="bottom"/>
          </w:tcPr>
          <w:p>
            <w:pPr>
              <w:spacing w:after="0" w:line="123" w:lineRule="exact"/>
              <w:rPr>
                <w:sz w:val="20"/>
                <w:szCs w:val="20"/>
                <w:color w:val="auto"/>
              </w:rPr>
            </w:pPr>
            <w:r>
              <w:rPr>
                <w:rFonts w:ascii="Arial" w:cs="Arial" w:eastAsia="Arial" w:hAnsi="Arial"/>
                <w:sz w:val="11"/>
                <w:szCs w:val="11"/>
                <w:color w:val="auto"/>
              </w:rPr>
              <w:t>Micro-business loans</w:t>
            </w:r>
          </w:p>
        </w:tc>
        <w:tc>
          <w:tcPr>
            <w:tcW w:w="88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7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5,072,017</w:t>
            </w:r>
          </w:p>
        </w:tc>
        <w:tc>
          <w:tcPr>
            <w:tcW w:w="9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5,072,017</w:t>
            </w:r>
          </w:p>
        </w:tc>
        <w:tc>
          <w:tcPr>
            <w:tcW w:w="140" w:type="dxa"/>
            <w:vAlign w:val="bottom"/>
          </w:tcPr>
          <w:p>
            <w:pPr>
              <w:spacing w:after="0"/>
              <w:rPr>
                <w:sz w:val="10"/>
                <w:szCs w:val="10"/>
                <w:color w:val="auto"/>
              </w:rPr>
            </w:pPr>
          </w:p>
        </w:tc>
        <w:tc>
          <w:tcPr>
            <w:tcW w:w="82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13,902,760</w:t>
            </w:r>
          </w:p>
        </w:tc>
        <w:tc>
          <w:tcPr>
            <w:tcW w:w="9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13,902,760</w:t>
            </w:r>
          </w:p>
        </w:tc>
        <w:tc>
          <w:tcPr>
            <w:tcW w:w="0" w:type="dxa"/>
            <w:vAlign w:val="bottom"/>
          </w:tcPr>
          <w:p>
            <w:pPr>
              <w:spacing w:after="0"/>
              <w:rPr>
                <w:sz w:val="1"/>
                <w:szCs w:val="1"/>
                <w:color w:val="auto"/>
              </w:rPr>
            </w:pPr>
          </w:p>
        </w:tc>
      </w:tr>
      <w:tr>
        <w:trPr>
          <w:trHeight w:val="123"/>
        </w:trPr>
        <w:tc>
          <w:tcPr>
            <w:tcW w:w="23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Commerce</w:t>
            </w:r>
          </w:p>
        </w:tc>
        <w:tc>
          <w:tcPr>
            <w:tcW w:w="88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35,752</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2,673</w:t>
            </w:r>
          </w:p>
        </w:tc>
        <w:tc>
          <w:tcPr>
            <w:tcW w:w="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18,198,251</w:t>
            </w:r>
          </w:p>
        </w:tc>
        <w:tc>
          <w:tcPr>
            <w:tcW w:w="8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508,875</w:t>
            </w: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18,745,551</w:t>
            </w:r>
          </w:p>
        </w:tc>
        <w:tc>
          <w:tcPr>
            <w:tcW w:w="82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21,228</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12,468</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12,636,843</w:t>
            </w:r>
          </w:p>
        </w:tc>
        <w:tc>
          <w:tcPr>
            <w:tcW w:w="9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452,214</w:t>
            </w:r>
          </w:p>
        </w:tc>
        <w:tc>
          <w:tcPr>
            <w:tcW w:w="7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13,122,753</w:t>
            </w:r>
          </w:p>
        </w:tc>
        <w:tc>
          <w:tcPr>
            <w:tcW w:w="0" w:type="dxa"/>
            <w:vAlign w:val="bottom"/>
          </w:tcPr>
          <w:p>
            <w:pPr>
              <w:spacing w:after="0"/>
              <w:rPr>
                <w:sz w:val="1"/>
                <w:szCs w:val="1"/>
                <w:color w:val="auto"/>
              </w:rPr>
            </w:pPr>
          </w:p>
        </w:tc>
      </w:tr>
      <w:tr>
        <w:trPr>
          <w:trHeight w:val="123"/>
        </w:trPr>
        <w:tc>
          <w:tcPr>
            <w:tcW w:w="2320" w:type="dxa"/>
            <w:vAlign w:val="bottom"/>
          </w:tcPr>
          <w:p>
            <w:pPr>
              <w:spacing w:after="0" w:line="123" w:lineRule="exact"/>
              <w:rPr>
                <w:sz w:val="20"/>
                <w:szCs w:val="20"/>
                <w:color w:val="auto"/>
              </w:rPr>
            </w:pPr>
            <w:r>
              <w:rPr>
                <w:rFonts w:ascii="Arial" w:cs="Arial" w:eastAsia="Arial" w:hAnsi="Arial"/>
                <w:sz w:val="11"/>
                <w:szCs w:val="11"/>
                <w:color w:val="auto"/>
              </w:rPr>
              <w:t>Government and public administration</w:t>
            </w:r>
          </w:p>
        </w:tc>
        <w:tc>
          <w:tcPr>
            <w:tcW w:w="88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2,307,534</w:t>
            </w: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14,290</w:t>
            </w:r>
          </w:p>
        </w:tc>
        <w:tc>
          <w:tcPr>
            <w:tcW w:w="40" w:type="dxa"/>
            <w:vAlign w:val="bottom"/>
          </w:tcPr>
          <w:p>
            <w:pPr>
              <w:spacing w:after="0"/>
              <w:rPr>
                <w:sz w:val="10"/>
                <w:szCs w:val="10"/>
                <w:color w:val="auto"/>
              </w:rPr>
            </w:pPr>
          </w:p>
        </w:tc>
        <w:tc>
          <w:tcPr>
            <w:tcW w:w="7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4,779,421</w:t>
            </w:r>
          </w:p>
        </w:tc>
        <w:tc>
          <w:tcPr>
            <w:tcW w:w="820" w:type="dxa"/>
            <w:vAlign w:val="bottom"/>
          </w:tcPr>
          <w:p>
            <w:pPr>
              <w:jc w:val="right"/>
              <w:spacing w:after="0" w:line="123" w:lineRule="exact"/>
              <w:rPr>
                <w:sz w:val="20"/>
                <w:szCs w:val="20"/>
                <w:color w:val="auto"/>
              </w:rPr>
            </w:pPr>
            <w:r>
              <w:rPr>
                <w:rFonts w:ascii="Arial" w:cs="Arial" w:eastAsia="Arial" w:hAnsi="Arial"/>
                <w:sz w:val="11"/>
                <w:szCs w:val="11"/>
                <w:color w:val="auto"/>
              </w:rPr>
              <w:t>7,420,833</w:t>
            </w:r>
          </w:p>
        </w:tc>
        <w:tc>
          <w:tcPr>
            <w:tcW w:w="140" w:type="dxa"/>
            <w:vAlign w:val="bottom"/>
          </w:tcPr>
          <w:p>
            <w:pPr>
              <w:spacing w:after="0"/>
              <w:rPr>
                <w:sz w:val="10"/>
                <w:szCs w:val="10"/>
                <w:color w:val="auto"/>
              </w:rPr>
            </w:pP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14,522,078</w:t>
            </w: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1,581,527</w:t>
            </w:r>
          </w:p>
        </w:tc>
        <w:tc>
          <w:tcPr>
            <w:tcW w:w="140" w:type="dxa"/>
            <w:vAlign w:val="bottom"/>
          </w:tcPr>
          <w:p>
            <w:pPr>
              <w:spacing w:after="0"/>
              <w:rPr>
                <w:sz w:val="10"/>
                <w:szCs w:val="10"/>
                <w:color w:val="auto"/>
              </w:rPr>
            </w:pP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12,994</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3,985,158</w:t>
            </w:r>
          </w:p>
        </w:tc>
        <w:tc>
          <w:tcPr>
            <w:tcW w:w="140" w:type="dxa"/>
            <w:vAlign w:val="bottom"/>
          </w:tcPr>
          <w:p>
            <w:pPr>
              <w:spacing w:after="0"/>
              <w:rPr>
                <w:sz w:val="10"/>
                <w:szCs w:val="10"/>
                <w:color w:val="auto"/>
              </w:rPr>
            </w:pPr>
          </w:p>
        </w:tc>
        <w:tc>
          <w:tcPr>
            <w:tcW w:w="9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7,170,624</w:t>
            </w:r>
          </w:p>
        </w:tc>
        <w:tc>
          <w:tcPr>
            <w:tcW w:w="74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12,750,303</w:t>
            </w:r>
          </w:p>
        </w:tc>
        <w:tc>
          <w:tcPr>
            <w:tcW w:w="0" w:type="dxa"/>
            <w:vAlign w:val="bottom"/>
          </w:tcPr>
          <w:p>
            <w:pPr>
              <w:spacing w:after="0"/>
              <w:rPr>
                <w:sz w:val="1"/>
                <w:szCs w:val="1"/>
                <w:color w:val="auto"/>
              </w:rPr>
            </w:pPr>
          </w:p>
        </w:tc>
      </w:tr>
      <w:tr>
        <w:trPr>
          <w:trHeight w:val="123"/>
        </w:trPr>
        <w:tc>
          <w:tcPr>
            <w:tcW w:w="23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Electricity, gas and water</w:t>
            </w:r>
          </w:p>
        </w:tc>
        <w:tc>
          <w:tcPr>
            <w:tcW w:w="88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86,950</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47,173</w:t>
            </w:r>
          </w:p>
        </w:tc>
        <w:tc>
          <w:tcPr>
            <w:tcW w:w="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3,736,550</w:t>
            </w:r>
          </w:p>
        </w:tc>
        <w:tc>
          <w:tcPr>
            <w:tcW w:w="8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1,990,593</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5,861,266</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91,055</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50,929</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3,014,319</w:t>
            </w: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2,286,932</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5,443,235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20" w:type="dxa"/>
            <w:vAlign w:val="bottom"/>
          </w:tcPr>
          <w:p>
            <w:pPr>
              <w:spacing w:after="0" w:line="123" w:lineRule="exact"/>
              <w:rPr>
                <w:sz w:val="20"/>
                <w:szCs w:val="20"/>
                <w:color w:val="auto"/>
              </w:rPr>
            </w:pPr>
            <w:r>
              <w:rPr>
                <w:rFonts w:ascii="Arial" w:cs="Arial" w:eastAsia="Arial" w:hAnsi="Arial"/>
                <w:sz w:val="11"/>
                <w:szCs w:val="11"/>
                <w:color w:val="auto"/>
              </w:rPr>
              <w:t>Community services</w:t>
            </w:r>
          </w:p>
        </w:tc>
        <w:tc>
          <w:tcPr>
            <w:tcW w:w="88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1,773</w:t>
            </w: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7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5,362,445</w:t>
            </w:r>
          </w:p>
        </w:tc>
        <w:tc>
          <w:tcPr>
            <w:tcW w:w="9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5,364,218</w:t>
            </w:r>
          </w:p>
        </w:tc>
        <w:tc>
          <w:tcPr>
            <w:tcW w:w="140" w:type="dxa"/>
            <w:vAlign w:val="bottom"/>
          </w:tcPr>
          <w:p>
            <w:pPr>
              <w:spacing w:after="0"/>
              <w:rPr>
                <w:sz w:val="10"/>
                <w:szCs w:val="10"/>
                <w:color w:val="auto"/>
              </w:rPr>
            </w:pPr>
          </w:p>
        </w:tc>
        <w:tc>
          <w:tcPr>
            <w:tcW w:w="82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4,858,427</w:t>
            </w:r>
          </w:p>
        </w:tc>
        <w:tc>
          <w:tcPr>
            <w:tcW w:w="140" w:type="dxa"/>
            <w:vAlign w:val="bottom"/>
          </w:tcPr>
          <w:p>
            <w:pPr>
              <w:spacing w:after="0"/>
              <w:rPr>
                <w:sz w:val="10"/>
                <w:szCs w:val="10"/>
                <w:color w:val="auto"/>
              </w:rPr>
            </w:pPr>
          </w:p>
        </w:tc>
        <w:tc>
          <w:tcPr>
            <w:tcW w:w="9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5,798</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4,864,225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Communications, storage and transportation</w:t>
            </w:r>
          </w:p>
        </w:tc>
        <w:tc>
          <w:tcPr>
            <w:tcW w:w="88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41,437</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260,127</w:t>
            </w:r>
          </w:p>
        </w:tc>
        <w:tc>
          <w:tcPr>
            <w:tcW w:w="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6,117,569</w:t>
            </w:r>
          </w:p>
        </w:tc>
        <w:tc>
          <w:tcPr>
            <w:tcW w:w="8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1,242,577</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7,661,710</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17,306</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59,392</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4,421,095</w:t>
            </w: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1,071,335</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5,569,128</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20" w:type="dxa"/>
            <w:vAlign w:val="bottom"/>
          </w:tcPr>
          <w:p>
            <w:pPr>
              <w:spacing w:after="0" w:line="123" w:lineRule="exact"/>
              <w:rPr>
                <w:sz w:val="20"/>
                <w:szCs w:val="20"/>
                <w:color w:val="auto"/>
              </w:rPr>
            </w:pPr>
            <w:r>
              <w:rPr>
                <w:rFonts w:ascii="Arial" w:cs="Arial" w:eastAsia="Arial" w:hAnsi="Arial"/>
                <w:sz w:val="11"/>
                <w:szCs w:val="11"/>
                <w:color w:val="auto"/>
              </w:rPr>
              <w:t>Mining</w:t>
            </w:r>
          </w:p>
        </w:tc>
        <w:tc>
          <w:tcPr>
            <w:tcW w:w="88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91,577</w:t>
            </w: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7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3,219,283</w:t>
            </w:r>
          </w:p>
        </w:tc>
        <w:tc>
          <w:tcPr>
            <w:tcW w:w="820" w:type="dxa"/>
            <w:vAlign w:val="bottom"/>
          </w:tcPr>
          <w:p>
            <w:pPr>
              <w:jc w:val="right"/>
              <w:spacing w:after="0" w:line="123" w:lineRule="exact"/>
              <w:rPr>
                <w:sz w:val="20"/>
                <w:szCs w:val="20"/>
                <w:color w:val="auto"/>
              </w:rPr>
            </w:pPr>
            <w:r>
              <w:rPr>
                <w:rFonts w:ascii="Arial" w:cs="Arial" w:eastAsia="Arial" w:hAnsi="Arial"/>
                <w:sz w:val="11"/>
                <w:szCs w:val="11"/>
                <w:color w:val="auto"/>
              </w:rPr>
              <w:t>163,673</w:t>
            </w:r>
          </w:p>
        </w:tc>
        <w:tc>
          <w:tcPr>
            <w:tcW w:w="14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3,474,533</w:t>
            </w:r>
          </w:p>
        </w:tc>
        <w:tc>
          <w:tcPr>
            <w:tcW w:w="140" w:type="dxa"/>
            <w:vAlign w:val="bottom"/>
          </w:tcPr>
          <w:p>
            <w:pPr>
              <w:spacing w:after="0"/>
              <w:rPr>
                <w:sz w:val="10"/>
                <w:szCs w:val="10"/>
                <w:color w:val="auto"/>
              </w:rPr>
            </w:pPr>
          </w:p>
        </w:tc>
        <w:tc>
          <w:tcPr>
            <w:tcW w:w="82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41,687</w:t>
            </w: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27,875</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3,195,049</w:t>
            </w:r>
          </w:p>
        </w:tc>
        <w:tc>
          <w:tcPr>
            <w:tcW w:w="140" w:type="dxa"/>
            <w:vAlign w:val="bottom"/>
          </w:tcPr>
          <w:p>
            <w:pPr>
              <w:spacing w:after="0"/>
              <w:rPr>
                <w:sz w:val="10"/>
                <w:szCs w:val="10"/>
                <w:color w:val="auto"/>
              </w:rPr>
            </w:pPr>
          </w:p>
        </w:tc>
        <w:tc>
          <w:tcPr>
            <w:tcW w:w="9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146,362</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3,410,973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Construction</w:t>
            </w:r>
          </w:p>
        </w:tc>
        <w:tc>
          <w:tcPr>
            <w:tcW w:w="88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31,464</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979</w:t>
            </w:r>
          </w:p>
        </w:tc>
        <w:tc>
          <w:tcPr>
            <w:tcW w:w="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2,525,297</w:t>
            </w:r>
          </w:p>
        </w:tc>
        <w:tc>
          <w:tcPr>
            <w:tcW w:w="8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354,674</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2,912,414</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20,847</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3,967</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2,089,164</w:t>
            </w: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322,864</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2,436,842</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20" w:type="dxa"/>
            <w:vAlign w:val="bottom"/>
          </w:tcPr>
          <w:p>
            <w:pPr>
              <w:spacing w:after="0" w:line="123" w:lineRule="exact"/>
              <w:rPr>
                <w:sz w:val="20"/>
                <w:szCs w:val="20"/>
                <w:color w:val="auto"/>
              </w:rPr>
            </w:pPr>
            <w:r>
              <w:rPr>
                <w:rFonts w:ascii="Arial" w:cs="Arial" w:eastAsia="Arial" w:hAnsi="Arial"/>
                <w:sz w:val="11"/>
                <w:szCs w:val="11"/>
                <w:color w:val="auto"/>
              </w:rPr>
              <w:t>Agriculture</w:t>
            </w:r>
          </w:p>
        </w:tc>
        <w:tc>
          <w:tcPr>
            <w:tcW w:w="88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19,112</w:t>
            </w: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7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3,511,248</w:t>
            </w:r>
          </w:p>
        </w:tc>
        <w:tc>
          <w:tcPr>
            <w:tcW w:w="9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19,667</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3,550,027</w:t>
            </w:r>
          </w:p>
        </w:tc>
        <w:tc>
          <w:tcPr>
            <w:tcW w:w="14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1,963</w:t>
            </w:r>
          </w:p>
        </w:tc>
        <w:tc>
          <w:tcPr>
            <w:tcW w:w="140" w:type="dxa"/>
            <w:vAlign w:val="bottom"/>
          </w:tcPr>
          <w:p>
            <w:pPr>
              <w:spacing w:after="0"/>
              <w:rPr>
                <w:sz w:val="10"/>
                <w:szCs w:val="10"/>
                <w:color w:val="auto"/>
              </w:rPr>
            </w:pP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3,050,141</w:t>
            </w:r>
          </w:p>
        </w:tc>
        <w:tc>
          <w:tcPr>
            <w:tcW w:w="140" w:type="dxa"/>
            <w:vAlign w:val="bottom"/>
          </w:tcPr>
          <w:p>
            <w:pPr>
              <w:spacing w:after="0"/>
              <w:rPr>
                <w:sz w:val="10"/>
                <w:szCs w:val="10"/>
                <w:color w:val="auto"/>
              </w:rPr>
            </w:pPr>
          </w:p>
        </w:tc>
        <w:tc>
          <w:tcPr>
            <w:tcW w:w="9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17,887</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3,069,991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Insurance</w:t>
            </w:r>
          </w:p>
        </w:tc>
        <w:tc>
          <w:tcPr>
            <w:tcW w:w="88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19,713</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8,483</w:t>
            </w:r>
          </w:p>
        </w:tc>
        <w:tc>
          <w:tcPr>
            <w:tcW w:w="9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858</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29,054</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5,100</w:t>
            </w: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123,771</w:t>
            </w:r>
          </w:p>
        </w:tc>
        <w:tc>
          <w:tcPr>
            <w:tcW w:w="9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986</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129,857</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20" w:type="dxa"/>
            <w:vAlign w:val="bottom"/>
          </w:tcPr>
          <w:p>
            <w:pPr>
              <w:spacing w:after="0" w:line="123" w:lineRule="exact"/>
              <w:rPr>
                <w:sz w:val="20"/>
                <w:szCs w:val="20"/>
                <w:color w:val="auto"/>
              </w:rPr>
            </w:pPr>
            <w:r>
              <w:rPr>
                <w:rFonts w:ascii="Arial" w:cs="Arial" w:eastAsia="Arial" w:hAnsi="Arial"/>
                <w:sz w:val="11"/>
                <w:szCs w:val="11"/>
                <w:color w:val="auto"/>
              </w:rPr>
              <w:t>Education, health and others</w:t>
            </w:r>
          </w:p>
        </w:tc>
        <w:tc>
          <w:tcPr>
            <w:tcW w:w="88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95,426</w:t>
            </w: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15,650</w:t>
            </w:r>
          </w:p>
        </w:tc>
        <w:tc>
          <w:tcPr>
            <w:tcW w:w="40" w:type="dxa"/>
            <w:vAlign w:val="bottom"/>
          </w:tcPr>
          <w:p>
            <w:pPr>
              <w:spacing w:after="0"/>
              <w:rPr>
                <w:sz w:val="10"/>
                <w:szCs w:val="10"/>
                <w:color w:val="auto"/>
              </w:rPr>
            </w:pPr>
          </w:p>
        </w:tc>
        <w:tc>
          <w:tcPr>
            <w:tcW w:w="7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1,583,002</w:t>
            </w:r>
          </w:p>
        </w:tc>
        <w:tc>
          <w:tcPr>
            <w:tcW w:w="820" w:type="dxa"/>
            <w:vAlign w:val="bottom"/>
          </w:tcPr>
          <w:p>
            <w:pPr>
              <w:jc w:val="right"/>
              <w:spacing w:after="0" w:line="123" w:lineRule="exact"/>
              <w:rPr>
                <w:sz w:val="20"/>
                <w:szCs w:val="20"/>
                <w:color w:val="auto"/>
              </w:rPr>
            </w:pPr>
            <w:r>
              <w:rPr>
                <w:rFonts w:ascii="Arial" w:cs="Arial" w:eastAsia="Arial" w:hAnsi="Arial"/>
                <w:sz w:val="11"/>
                <w:szCs w:val="11"/>
                <w:color w:val="auto"/>
              </w:rPr>
              <w:t>747,672</w:t>
            </w:r>
          </w:p>
        </w:tc>
        <w:tc>
          <w:tcPr>
            <w:tcW w:w="14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2,441,750</w:t>
            </w:r>
          </w:p>
        </w:tc>
        <w:tc>
          <w:tcPr>
            <w:tcW w:w="14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4,543</w:t>
            </w:r>
          </w:p>
        </w:tc>
        <w:tc>
          <w:tcPr>
            <w:tcW w:w="140" w:type="dxa"/>
            <w:vAlign w:val="bottom"/>
          </w:tcPr>
          <w:p>
            <w:pPr>
              <w:spacing w:after="0"/>
              <w:rPr>
                <w:sz w:val="10"/>
                <w:szCs w:val="10"/>
                <w:color w:val="auto"/>
              </w:rPr>
            </w:pP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53,792</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1,364,542</w:t>
            </w:r>
          </w:p>
        </w:tc>
        <w:tc>
          <w:tcPr>
            <w:tcW w:w="140" w:type="dxa"/>
            <w:vAlign w:val="bottom"/>
          </w:tcPr>
          <w:p>
            <w:pPr>
              <w:spacing w:after="0"/>
              <w:rPr>
                <w:sz w:val="10"/>
                <w:szCs w:val="10"/>
                <w:color w:val="auto"/>
              </w:rPr>
            </w:pPr>
          </w:p>
        </w:tc>
        <w:tc>
          <w:tcPr>
            <w:tcW w:w="9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644,143</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2,067,020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Real estate and leasing</w:t>
            </w:r>
          </w:p>
        </w:tc>
        <w:tc>
          <w:tcPr>
            <w:tcW w:w="88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53,950</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3,769</w:t>
            </w:r>
          </w:p>
        </w:tc>
        <w:tc>
          <w:tcPr>
            <w:tcW w:w="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7,586,771</w:t>
            </w:r>
          </w:p>
        </w:tc>
        <w:tc>
          <w:tcPr>
            <w:tcW w:w="8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437,970</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8,082,460</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43,203</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125,201</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7,158,667</w:t>
            </w: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1,276,941</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8,604,012</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20" w:type="dxa"/>
            <w:vAlign w:val="bottom"/>
          </w:tcPr>
          <w:p>
            <w:pPr>
              <w:spacing w:after="0" w:line="123" w:lineRule="exact"/>
              <w:rPr>
                <w:sz w:val="20"/>
                <w:szCs w:val="20"/>
                <w:color w:val="auto"/>
              </w:rPr>
            </w:pPr>
            <w:r>
              <w:rPr>
                <w:rFonts w:ascii="Arial" w:cs="Arial" w:eastAsia="Arial" w:hAnsi="Arial"/>
                <w:sz w:val="11"/>
                <w:szCs w:val="11"/>
                <w:color w:val="auto"/>
              </w:rPr>
              <w:t>Fishing</w:t>
            </w:r>
          </w:p>
        </w:tc>
        <w:tc>
          <w:tcPr>
            <w:tcW w:w="88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720</w:t>
            </w: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7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455,967</w:t>
            </w:r>
          </w:p>
        </w:tc>
        <w:tc>
          <w:tcPr>
            <w:tcW w:w="820" w:type="dxa"/>
            <w:vAlign w:val="bottom"/>
          </w:tcPr>
          <w:p>
            <w:pPr>
              <w:jc w:val="right"/>
              <w:spacing w:after="0" w:line="123" w:lineRule="exact"/>
              <w:rPr>
                <w:sz w:val="20"/>
                <w:szCs w:val="20"/>
                <w:color w:val="auto"/>
              </w:rPr>
            </w:pPr>
            <w:r>
              <w:rPr>
                <w:rFonts w:ascii="Arial" w:cs="Arial" w:eastAsia="Arial" w:hAnsi="Arial"/>
                <w:sz w:val="11"/>
                <w:szCs w:val="11"/>
                <w:color w:val="auto"/>
              </w:rPr>
              <w:t>7,955</w:t>
            </w:r>
          </w:p>
        </w:tc>
        <w:tc>
          <w:tcPr>
            <w:tcW w:w="140" w:type="dxa"/>
            <w:vAlign w:val="bottom"/>
          </w:tcPr>
          <w:p>
            <w:pPr>
              <w:spacing w:after="0"/>
              <w:rPr>
                <w:sz w:val="10"/>
                <w:szCs w:val="10"/>
                <w:color w:val="auto"/>
              </w:rPr>
            </w:pP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464,642</w:t>
            </w:r>
          </w:p>
        </w:tc>
        <w:tc>
          <w:tcPr>
            <w:tcW w:w="82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321</w:t>
            </w: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417,067</w:t>
            </w:r>
          </w:p>
        </w:tc>
        <w:tc>
          <w:tcPr>
            <w:tcW w:w="9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417,388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Others</w:t>
            </w:r>
          </w:p>
        </w:tc>
        <w:tc>
          <w:tcPr>
            <w:tcW w:w="88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84,410</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6,606</w:t>
            </w:r>
          </w:p>
        </w:tc>
        <w:tc>
          <w:tcPr>
            <w:tcW w:w="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5,566,723</w:t>
            </w:r>
          </w:p>
        </w:tc>
        <w:tc>
          <w:tcPr>
            <w:tcW w:w="8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507,016</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6,164,755</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55,023</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4,036,066</w:t>
            </w: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32,946</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4,124,035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320" w:type="dxa"/>
            <w:vAlign w:val="bottom"/>
          </w:tcPr>
          <w:p>
            <w:pPr>
              <w:spacing w:after="0" w:line="115" w:lineRule="exact"/>
              <w:rPr>
                <w:sz w:val="20"/>
                <w:szCs w:val="20"/>
                <w:color w:val="auto"/>
              </w:rPr>
            </w:pPr>
            <w:r>
              <w:rPr>
                <w:rFonts w:ascii="Arial" w:cs="Arial" w:eastAsia="Arial" w:hAnsi="Arial"/>
                <w:sz w:val="11"/>
                <w:szCs w:val="11"/>
                <w:b w:val="1"/>
                <w:bCs w:val="1"/>
                <w:color w:val="auto"/>
              </w:rPr>
              <w:t>Total</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5,976,408</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559,321</w:t>
            </w:r>
          </w:p>
        </w:tc>
        <w:tc>
          <w:tcPr>
            <w:tcW w:w="140" w:type="dxa"/>
            <w:vAlign w:val="bottom"/>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8"/>
              </w:rPr>
              <w:t>154,708,547</w:t>
            </w:r>
          </w:p>
        </w:tc>
        <w:tc>
          <w:tcPr>
            <w:tcW w:w="140" w:type="dxa"/>
            <w:vAlign w:val="bottom"/>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28,388,372</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189,632,648</w:t>
            </w:r>
          </w:p>
        </w:tc>
        <w:tc>
          <w:tcPr>
            <w:tcW w:w="1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4,942,869</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620,544</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148,104,567</w:t>
            </w:r>
          </w:p>
        </w:tc>
        <w:tc>
          <w:tcPr>
            <w:tcW w:w="140" w:type="dxa"/>
            <w:vAlign w:val="bottom"/>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26,202,723</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179,870,703</w:t>
            </w: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82"/>
        <w:spacing w:after="0"/>
        <w:rPr>
          <w:sz w:val="20"/>
          <w:szCs w:val="20"/>
          <w:color w:val="auto"/>
        </w:rPr>
      </w:pPr>
      <w:r>
        <w:rPr>
          <w:rFonts w:ascii="Arial" w:cs="Arial" w:eastAsia="Arial" w:hAnsi="Arial"/>
          <w:sz w:val="16"/>
          <w:szCs w:val="16"/>
          <w:color w:val="auto"/>
        </w:rPr>
        <w:t>(*) It includes non-trading investments that did not pass SPPI test.</w:t>
      </w:r>
    </w:p>
    <w:p>
      <w:pPr>
        <w:spacing w:after="0" w:line="200" w:lineRule="exact"/>
        <w:rPr>
          <w:sz w:val="20"/>
          <w:szCs w:val="20"/>
          <w:color w:val="auto"/>
        </w:rPr>
      </w:pPr>
    </w:p>
    <w:p>
      <w:pPr>
        <w:spacing w:after="0" w:line="206" w:lineRule="exact"/>
        <w:rPr>
          <w:sz w:val="20"/>
          <w:szCs w:val="20"/>
          <w:color w:val="auto"/>
        </w:rPr>
      </w:pPr>
    </w:p>
    <w:p>
      <w:pPr>
        <w:jc w:val="center"/>
        <w:ind w:right="-281"/>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962"/>
          </w:cols>
          <w:pgMar w:left="318" w:top="839" w:right="619" w:bottom="1440" w:gutter="0" w:footer="0" w:header="0"/>
        </w:sectPr>
      </w:pPr>
    </w:p>
    <w:bookmarkStart w:id="93" w:name="page94"/>
    <w:bookmarkEnd w:id="93"/>
    <w:p>
      <w:pPr>
        <w:ind w:left="20"/>
        <w:spacing w:after="0"/>
        <w:rPr>
          <w:sz w:val="20"/>
          <w:szCs w:val="20"/>
          <w:color w:val="auto"/>
        </w:rPr>
      </w:pPr>
      <w:r>
        <w:rPr>
          <w:rFonts w:ascii="Arial" w:cs="Arial" w:eastAsia="Arial" w:hAnsi="Arial"/>
          <w:sz w:val="16"/>
          <w:szCs w:val="16"/>
          <w:color w:val="auto"/>
        </w:rPr>
        <w:t>As of March 31, 2020 and December 31,2019 financial instruments with exposure to credit risk were distributed by the following geographical areas: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220" w:type="dxa"/>
            <w:vAlign w:val="bottom"/>
          </w:tcPr>
          <w:p>
            <w:pPr>
              <w:spacing w:after="0"/>
              <w:rPr>
                <w:sz w:val="12"/>
                <w:szCs w:val="12"/>
                <w:color w:val="auto"/>
              </w:rPr>
            </w:pPr>
          </w:p>
        </w:tc>
        <w:tc>
          <w:tcPr>
            <w:tcW w:w="1680" w:type="dxa"/>
            <w:vAlign w:val="bottom"/>
            <w:tcBorders>
              <w:bottom w:val="single" w:sz="8" w:color="auto"/>
            </w:tcBorders>
            <w:gridSpan w:val="5"/>
          </w:tcPr>
          <w:p>
            <w:pPr>
              <w:ind w:left="620"/>
              <w:spacing w:after="0"/>
              <w:rPr>
                <w:sz w:val="20"/>
                <w:szCs w:val="20"/>
                <w:color w:val="auto"/>
              </w:rPr>
            </w:pPr>
            <w:r>
              <w:rPr>
                <w:rFonts w:ascii="Arial" w:cs="Arial" w:eastAsia="Arial" w:hAnsi="Arial"/>
                <w:sz w:val="11"/>
                <w:szCs w:val="11"/>
                <w:b w:val="1"/>
                <w:bCs w:val="1"/>
                <w:color w:val="auto"/>
                <w:w w:val="95"/>
              </w:rPr>
              <w:t>As of March 31, 2020</w:t>
            </w: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Borders>
              <w:bottom w:val="single" w:sz="8" w:color="auto"/>
            </w:tcBorders>
            <w:gridSpan w:val="5"/>
          </w:tcPr>
          <w:p>
            <w:pPr>
              <w:ind w:left="560"/>
              <w:spacing w:after="0"/>
              <w:rPr>
                <w:sz w:val="20"/>
                <w:szCs w:val="20"/>
                <w:color w:val="auto"/>
              </w:rPr>
            </w:pPr>
            <w:r>
              <w:rPr>
                <w:rFonts w:ascii="Arial" w:cs="Arial" w:eastAsia="Arial" w:hAnsi="Arial"/>
                <w:sz w:val="11"/>
                <w:szCs w:val="11"/>
                <w:b w:val="1"/>
                <w:bCs w:val="1"/>
                <w:color w:val="auto"/>
                <w:w w:val="92"/>
              </w:rPr>
              <w:t>As of December 31, 2019</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220" w:type="dxa"/>
            <w:vAlign w:val="bottom"/>
          </w:tcPr>
          <w:p>
            <w:pPr>
              <w:spacing w:after="0"/>
              <w:rPr>
                <w:sz w:val="8"/>
                <w:szCs w:val="8"/>
                <w:color w:val="auto"/>
              </w:rPr>
            </w:pPr>
          </w:p>
        </w:tc>
        <w:tc>
          <w:tcPr>
            <w:tcW w:w="1680" w:type="dxa"/>
            <w:vAlign w:val="bottom"/>
            <w:gridSpan w:val="5"/>
          </w:tcPr>
          <w:p>
            <w:pPr>
              <w:jc w:val="center"/>
              <w:spacing w:after="0" w:line="100" w:lineRule="exact"/>
              <w:rPr>
                <w:sz w:val="20"/>
                <w:szCs w:val="20"/>
                <w:color w:val="auto"/>
              </w:rPr>
            </w:pPr>
            <w:r>
              <w:rPr>
                <w:rFonts w:ascii="Arial" w:cs="Arial" w:eastAsia="Arial" w:hAnsi="Arial"/>
                <w:sz w:val="11"/>
                <w:szCs w:val="11"/>
                <w:b w:val="1"/>
                <w:bCs w:val="1"/>
                <w:color w:val="auto"/>
                <w:w w:val="98"/>
              </w:rPr>
              <w:t>At fair value</w:t>
            </w: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gridSpan w:val="5"/>
          </w:tcPr>
          <w:p>
            <w:pPr>
              <w:ind w:left="580"/>
              <w:spacing w:after="0" w:line="100" w:lineRule="exact"/>
              <w:rPr>
                <w:sz w:val="20"/>
                <w:szCs w:val="20"/>
                <w:color w:val="auto"/>
              </w:rPr>
            </w:pPr>
            <w:r>
              <w:rPr>
                <w:rFonts w:ascii="Arial" w:cs="Arial" w:eastAsia="Arial" w:hAnsi="Arial"/>
                <w:sz w:val="11"/>
                <w:szCs w:val="11"/>
                <w:b w:val="1"/>
                <w:bCs w:val="1"/>
                <w:color w:val="auto"/>
              </w:rPr>
              <w:t>At fair value</w:t>
            </w: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220" w:type="dxa"/>
            <w:vAlign w:val="bottom"/>
          </w:tcPr>
          <w:p>
            <w:pPr>
              <w:spacing w:after="0"/>
              <w:rPr>
                <w:sz w:val="12"/>
                <w:szCs w:val="12"/>
                <w:color w:val="auto"/>
              </w:rPr>
            </w:pPr>
          </w:p>
        </w:tc>
        <w:tc>
          <w:tcPr>
            <w:tcW w:w="1680" w:type="dxa"/>
            <w:vAlign w:val="bottom"/>
            <w:gridSpan w:val="5"/>
          </w:tcPr>
          <w:p>
            <w:pPr>
              <w:jc w:val="center"/>
              <w:spacing w:after="0"/>
              <w:rPr>
                <w:sz w:val="20"/>
                <w:szCs w:val="20"/>
                <w:color w:val="auto"/>
              </w:rPr>
            </w:pPr>
            <w:r>
              <w:rPr>
                <w:rFonts w:ascii="Arial" w:cs="Arial" w:eastAsia="Arial" w:hAnsi="Arial"/>
                <w:sz w:val="11"/>
                <w:szCs w:val="11"/>
                <w:b w:val="1"/>
                <w:bCs w:val="1"/>
                <w:color w:val="auto"/>
                <w:w w:val="93"/>
              </w:rPr>
              <w:t>through profit for loss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w w:val="98"/>
              </w:rPr>
              <w:t>At fair value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5"/>
          </w:tcPr>
          <w:p>
            <w:pPr>
              <w:ind w:left="340"/>
              <w:spacing w:after="0"/>
              <w:rPr>
                <w:sz w:val="20"/>
                <w:szCs w:val="20"/>
                <w:color w:val="auto"/>
              </w:rPr>
            </w:pPr>
            <w:r>
              <w:rPr>
                <w:rFonts w:ascii="Arial" w:cs="Arial" w:eastAsia="Arial" w:hAnsi="Arial"/>
                <w:sz w:val="11"/>
                <w:szCs w:val="11"/>
                <w:b w:val="1"/>
                <w:bCs w:val="1"/>
                <w:color w:val="auto"/>
              </w:rPr>
              <w:t>through profit for loss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At fair value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220" w:type="dxa"/>
            <w:vAlign w:val="bottom"/>
          </w:tcPr>
          <w:p>
            <w:pPr>
              <w:spacing w:after="0"/>
              <w:rPr>
                <w:sz w:val="10"/>
                <w:szCs w:val="10"/>
                <w:color w:val="auto"/>
              </w:rPr>
            </w:pPr>
          </w:p>
        </w:tc>
        <w:tc>
          <w:tcPr>
            <w:tcW w:w="82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w w:val="96"/>
              </w:rPr>
              <w:t>Held for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w w:val="96"/>
              </w:rPr>
              <w:t>Financial</w:t>
            </w:r>
          </w:p>
        </w:tc>
        <w:tc>
          <w:tcPr>
            <w:tcW w:w="96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94"/>
              </w:rPr>
              <w:t>through other</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6"/>
              </w:rPr>
              <w:t>Held for</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60"/>
              <w:spacing w:after="0" w:line="123" w:lineRule="exact"/>
              <w:rPr>
                <w:sz w:val="20"/>
                <w:szCs w:val="20"/>
                <w:color w:val="auto"/>
              </w:rPr>
            </w:pPr>
            <w:r>
              <w:rPr>
                <w:rFonts w:ascii="Arial" w:cs="Arial" w:eastAsia="Arial" w:hAnsi="Arial"/>
                <w:sz w:val="11"/>
                <w:szCs w:val="11"/>
                <w:b w:val="1"/>
                <w:bCs w:val="1"/>
                <w:color w:val="auto"/>
                <w:w w:val="96"/>
              </w:rPr>
              <w:t>Financial</w:t>
            </w:r>
          </w:p>
        </w:tc>
        <w:tc>
          <w:tcPr>
            <w:tcW w:w="100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94"/>
              </w:rPr>
              <w:t>through other</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tcPr>
          <w:p>
            <w:pPr>
              <w:spacing w:after="0"/>
              <w:rPr>
                <w:sz w:val="10"/>
                <w:szCs w:val="10"/>
                <w:color w:val="auto"/>
              </w:rPr>
            </w:pPr>
          </w:p>
        </w:tc>
        <w:tc>
          <w:tcPr>
            <w:tcW w:w="82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w w:val="99"/>
              </w:rPr>
              <w:t>trading,</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center"/>
              <w:ind w:right="140"/>
              <w:spacing w:after="0" w:line="123" w:lineRule="exact"/>
              <w:rPr>
                <w:sz w:val="20"/>
                <w:szCs w:val="20"/>
                <w:color w:val="auto"/>
              </w:rPr>
            </w:pPr>
            <w:r>
              <w:rPr>
                <w:rFonts w:ascii="Arial" w:cs="Arial" w:eastAsia="Arial" w:hAnsi="Arial"/>
                <w:sz w:val="11"/>
                <w:szCs w:val="11"/>
                <w:b w:val="1"/>
                <w:bCs w:val="1"/>
                <w:color w:val="auto"/>
                <w:w w:val="84"/>
              </w:rPr>
              <w:t>assets at</w:t>
            </w:r>
          </w:p>
        </w:tc>
        <w:tc>
          <w:tcPr>
            <w:tcW w:w="96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w w:val="91"/>
              </w:rPr>
              <w:t>comprehensive</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9"/>
              </w:rPr>
              <w:t>trading,</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80"/>
              <w:spacing w:after="0" w:line="123" w:lineRule="exact"/>
              <w:rPr>
                <w:sz w:val="20"/>
                <w:szCs w:val="20"/>
                <w:color w:val="auto"/>
              </w:rPr>
            </w:pPr>
            <w:r>
              <w:rPr>
                <w:rFonts w:ascii="Arial" w:cs="Arial" w:eastAsia="Arial" w:hAnsi="Arial"/>
                <w:sz w:val="11"/>
                <w:szCs w:val="11"/>
                <w:b w:val="1"/>
                <w:bCs w:val="1"/>
                <w:color w:val="auto"/>
                <w:w w:val="84"/>
              </w:rPr>
              <w:t>assets at</w:t>
            </w:r>
          </w:p>
        </w:tc>
        <w:tc>
          <w:tcPr>
            <w:tcW w:w="100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89"/>
              </w:rPr>
              <w:t>comprehensive</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tcPr>
          <w:p>
            <w:pPr>
              <w:spacing w:after="0"/>
              <w:rPr>
                <w:sz w:val="10"/>
                <w:szCs w:val="10"/>
                <w:color w:val="auto"/>
              </w:rPr>
            </w:pPr>
          </w:p>
        </w:tc>
        <w:tc>
          <w:tcPr>
            <w:tcW w:w="82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w w:val="91"/>
              </w:rPr>
              <w:t>hedging and</w:t>
            </w:r>
          </w:p>
        </w:tc>
        <w:tc>
          <w:tcPr>
            <w:tcW w:w="860" w:type="dxa"/>
            <w:vAlign w:val="bottom"/>
            <w:gridSpan w:val="3"/>
          </w:tcPr>
          <w:p>
            <w:pPr>
              <w:jc w:val="center"/>
              <w:ind w:right="120"/>
              <w:spacing w:after="0" w:line="123" w:lineRule="exact"/>
              <w:rPr>
                <w:sz w:val="20"/>
                <w:szCs w:val="20"/>
                <w:color w:val="auto"/>
              </w:rPr>
            </w:pPr>
            <w:r>
              <w:rPr>
                <w:rFonts w:ascii="Arial" w:cs="Arial" w:eastAsia="Arial" w:hAnsi="Arial"/>
                <w:sz w:val="11"/>
                <w:szCs w:val="11"/>
                <w:b w:val="1"/>
                <w:bCs w:val="1"/>
                <w:color w:val="auto"/>
                <w:w w:val="90"/>
              </w:rPr>
              <w:t>Designated</w:t>
            </w:r>
          </w:p>
        </w:tc>
        <w:tc>
          <w:tcPr>
            <w:tcW w:w="74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w w:val="96"/>
              </w:rPr>
              <w:t>amortized</w:t>
            </w:r>
          </w:p>
        </w:tc>
        <w:tc>
          <w:tcPr>
            <w:tcW w:w="96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w w:val="88"/>
              </w:rPr>
              <w:t>income</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1"/>
              </w:rPr>
              <w:t>hedging and</w:t>
            </w:r>
          </w:p>
        </w:tc>
        <w:tc>
          <w:tcPr>
            <w:tcW w:w="920" w:type="dxa"/>
            <w:vAlign w:val="bottom"/>
            <w:gridSpan w:val="3"/>
          </w:tcPr>
          <w:p>
            <w:pPr>
              <w:jc w:val="center"/>
              <w:ind w:right="180"/>
              <w:spacing w:after="0" w:line="123" w:lineRule="exact"/>
              <w:rPr>
                <w:sz w:val="20"/>
                <w:szCs w:val="20"/>
                <w:color w:val="auto"/>
              </w:rPr>
            </w:pPr>
            <w:r>
              <w:rPr>
                <w:rFonts w:ascii="Arial" w:cs="Arial" w:eastAsia="Arial" w:hAnsi="Arial"/>
                <w:sz w:val="11"/>
                <w:szCs w:val="11"/>
                <w:b w:val="1"/>
                <w:bCs w:val="1"/>
                <w:color w:val="auto"/>
                <w:w w:val="90"/>
              </w:rPr>
              <w:t>Designated</w:t>
            </w:r>
          </w:p>
        </w:tc>
        <w:tc>
          <w:tcPr>
            <w:tcW w:w="740" w:type="dxa"/>
            <w:vAlign w:val="bottom"/>
            <w:gridSpan w:val="2"/>
          </w:tcPr>
          <w:p>
            <w:pPr>
              <w:jc w:val="center"/>
              <w:ind w:right="160"/>
              <w:spacing w:after="0" w:line="123" w:lineRule="exact"/>
              <w:rPr>
                <w:sz w:val="20"/>
                <w:szCs w:val="20"/>
                <w:color w:val="auto"/>
              </w:rPr>
            </w:pPr>
            <w:r>
              <w:rPr>
                <w:rFonts w:ascii="Arial" w:cs="Arial" w:eastAsia="Arial" w:hAnsi="Arial"/>
                <w:sz w:val="11"/>
                <w:szCs w:val="11"/>
                <w:b w:val="1"/>
                <w:bCs w:val="1"/>
                <w:color w:val="auto"/>
                <w:w w:val="96"/>
              </w:rPr>
              <w:t>amortized</w:t>
            </w:r>
          </w:p>
        </w:tc>
        <w:tc>
          <w:tcPr>
            <w:tcW w:w="100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93"/>
              </w:rPr>
              <w:t>income</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220" w:type="dxa"/>
            <w:vAlign w:val="bottom"/>
          </w:tcPr>
          <w:p>
            <w:pPr>
              <w:spacing w:after="0"/>
              <w:rPr>
                <w:sz w:val="12"/>
                <w:szCs w:val="12"/>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9"/>
              </w:rPr>
              <w:t>others (*)</w:t>
            </w:r>
          </w:p>
        </w:tc>
        <w:tc>
          <w:tcPr>
            <w:tcW w:w="8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3"/>
              </w:rPr>
              <w:t>at inception</w:t>
            </w: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79"/>
              </w:rPr>
              <w:t>cost</w:t>
            </w:r>
          </w:p>
        </w:tc>
        <w:tc>
          <w:tcPr>
            <w:tcW w:w="9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0"/>
              </w:rPr>
              <w:t>investments</w:t>
            </w:r>
          </w:p>
        </w:tc>
        <w:tc>
          <w:tcPr>
            <w:tcW w:w="820" w:type="dxa"/>
            <w:vAlign w:val="bottom"/>
            <w:gridSpan w:val="2"/>
          </w:tcPr>
          <w:p>
            <w:pPr>
              <w:ind w:left="240"/>
              <w:spacing w:after="0"/>
              <w:rPr>
                <w:sz w:val="20"/>
                <w:szCs w:val="20"/>
                <w:color w:val="auto"/>
              </w:rPr>
            </w:pPr>
            <w:r>
              <w:rPr>
                <w:rFonts w:ascii="Arial" w:cs="Arial" w:eastAsia="Arial" w:hAnsi="Arial"/>
                <w:sz w:val="11"/>
                <w:szCs w:val="11"/>
                <w:b w:val="1"/>
                <w:bCs w:val="1"/>
                <w:color w:val="auto"/>
              </w:rPr>
              <w:t>Total</w:t>
            </w: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others (*)</w:t>
            </w:r>
          </w:p>
        </w:tc>
        <w:tc>
          <w:tcPr>
            <w:tcW w:w="92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93"/>
              </w:rPr>
              <w:t>at inception</w:t>
            </w:r>
          </w:p>
        </w:tc>
        <w:tc>
          <w:tcPr>
            <w:tcW w:w="7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cost</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investments</w:t>
            </w:r>
          </w:p>
        </w:tc>
        <w:tc>
          <w:tcPr>
            <w:tcW w:w="7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5"/>
        </w:trPr>
        <w:tc>
          <w:tcPr>
            <w:tcW w:w="2220" w:type="dxa"/>
            <w:vAlign w:val="bottom"/>
          </w:tcPr>
          <w:p>
            <w:pPr>
              <w:spacing w:after="0"/>
              <w:rPr>
                <w:sz w:val="10"/>
                <w:szCs w:val="10"/>
                <w:color w:val="auto"/>
              </w:rPr>
            </w:pPr>
          </w:p>
        </w:tc>
        <w:tc>
          <w:tcPr>
            <w:tcW w:w="680" w:type="dxa"/>
            <w:vAlign w:val="bottom"/>
            <w:tcBorders>
              <w:top w:val="single" w:sz="8" w:color="auto"/>
            </w:tcBorders>
          </w:tcPr>
          <w:p>
            <w:pPr>
              <w:jc w:val="center"/>
              <w:ind w:left="23"/>
              <w:spacing w:after="0" w:line="115" w:lineRule="exact"/>
              <w:rPr>
                <w:sz w:val="20"/>
                <w:szCs w:val="20"/>
                <w:color w:val="auto"/>
              </w:rPr>
            </w:pPr>
            <w:r>
              <w:rPr>
                <w:rFonts w:ascii="Arial" w:cs="Arial" w:eastAsia="Arial" w:hAnsi="Arial"/>
                <w:sz w:val="11"/>
                <w:szCs w:val="11"/>
                <w:b w:val="1"/>
                <w:bCs w:val="1"/>
                <w:color w:val="auto"/>
                <w:w w:val="99"/>
              </w:rPr>
              <w:t>S/(000)</w:t>
            </w:r>
          </w:p>
        </w:tc>
        <w:tc>
          <w:tcPr>
            <w:tcW w:w="140" w:type="dxa"/>
            <w:vAlign w:val="bottom"/>
          </w:tcPr>
          <w:p>
            <w:pPr>
              <w:spacing w:after="0"/>
              <w:rPr>
                <w:sz w:val="10"/>
                <w:szCs w:val="10"/>
                <w:color w:val="auto"/>
              </w:rPr>
            </w:pPr>
          </w:p>
        </w:tc>
        <w:tc>
          <w:tcPr>
            <w:tcW w:w="660" w:type="dxa"/>
            <w:vAlign w:val="bottom"/>
            <w:tcBorders>
              <w:top w:val="single" w:sz="8" w:color="auto"/>
            </w:tcBorders>
          </w:tcPr>
          <w:p>
            <w:pPr>
              <w:jc w:val="center"/>
              <w:ind w:left="23"/>
              <w:spacing w:after="0" w:line="115" w:lineRule="exact"/>
              <w:rPr>
                <w:sz w:val="20"/>
                <w:szCs w:val="20"/>
                <w:color w:val="auto"/>
              </w:rPr>
            </w:pPr>
            <w:r>
              <w:rPr>
                <w:rFonts w:ascii="Arial" w:cs="Arial" w:eastAsia="Arial" w:hAnsi="Arial"/>
                <w:sz w:val="11"/>
                <w:szCs w:val="11"/>
                <w:b w:val="1"/>
                <w:bCs w:val="1"/>
                <w:color w:val="auto"/>
                <w:w w:val="94"/>
              </w:rPr>
              <w:t>S/(000)</w:t>
            </w: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40" w:type="dxa"/>
            <w:vAlign w:val="bottom"/>
          </w:tcPr>
          <w:p>
            <w:pPr>
              <w:spacing w:after="0"/>
              <w:rPr>
                <w:sz w:val="10"/>
                <w:szCs w:val="10"/>
                <w:color w:val="auto"/>
              </w:rPr>
            </w:pPr>
          </w:p>
        </w:tc>
        <w:tc>
          <w:tcPr>
            <w:tcW w:w="820" w:type="dxa"/>
            <w:vAlign w:val="bottom"/>
            <w:tcBorders>
              <w:top w:val="single" w:sz="8" w:color="auto"/>
            </w:tcBorders>
          </w:tcPr>
          <w:p>
            <w:pPr>
              <w:jc w:val="center"/>
              <w:ind w:left="23"/>
              <w:spacing w:after="0" w:line="115" w:lineRule="exact"/>
              <w:rPr>
                <w:sz w:val="20"/>
                <w:szCs w:val="20"/>
                <w:color w:val="auto"/>
              </w:rPr>
            </w:pPr>
            <w:r>
              <w:rPr>
                <w:rFonts w:ascii="Arial" w:cs="Arial" w:eastAsia="Arial" w:hAnsi="Arial"/>
                <w:sz w:val="11"/>
                <w:szCs w:val="11"/>
                <w:b w:val="1"/>
                <w:bCs w:val="1"/>
                <w:color w:val="auto"/>
                <w:w w:val="94"/>
              </w:rPr>
              <w:t>S/(000)</w:t>
            </w:r>
          </w:p>
        </w:tc>
        <w:tc>
          <w:tcPr>
            <w:tcW w:w="140" w:type="dxa"/>
            <w:vAlign w:val="bottom"/>
          </w:tcPr>
          <w:p>
            <w:pPr>
              <w:spacing w:after="0"/>
              <w:rPr>
                <w:sz w:val="10"/>
                <w:szCs w:val="10"/>
                <w:color w:val="auto"/>
              </w:rPr>
            </w:pPr>
          </w:p>
        </w:tc>
        <w:tc>
          <w:tcPr>
            <w:tcW w:w="660" w:type="dxa"/>
            <w:vAlign w:val="bottom"/>
            <w:tcBorders>
              <w:top w:val="single" w:sz="8" w:color="auto"/>
            </w:tcBorders>
          </w:tcPr>
          <w:p>
            <w:pPr>
              <w:jc w:val="right"/>
              <w:ind w:right="63"/>
              <w:spacing w:after="0" w:line="115" w:lineRule="exact"/>
              <w:rPr>
                <w:sz w:val="20"/>
                <w:szCs w:val="20"/>
                <w:color w:val="auto"/>
              </w:rPr>
            </w:pPr>
            <w:r>
              <w:rPr>
                <w:rFonts w:ascii="Arial" w:cs="Arial" w:eastAsia="Arial" w:hAnsi="Arial"/>
                <w:sz w:val="11"/>
                <w:szCs w:val="11"/>
                <w:b w:val="1"/>
                <w:bCs w:val="1"/>
                <w:color w:val="auto"/>
              </w:rPr>
              <w:t>S/(000)</w:t>
            </w:r>
          </w:p>
        </w:tc>
        <w:tc>
          <w:tcPr>
            <w:tcW w:w="160" w:type="dxa"/>
            <w:vAlign w:val="bottom"/>
          </w:tcPr>
          <w:p>
            <w:pPr>
              <w:spacing w:after="0"/>
              <w:rPr>
                <w:sz w:val="10"/>
                <w:szCs w:val="10"/>
                <w:color w:val="auto"/>
              </w:rPr>
            </w:pPr>
          </w:p>
        </w:tc>
        <w:tc>
          <w:tcPr>
            <w:tcW w:w="680" w:type="dxa"/>
            <w:vAlign w:val="bottom"/>
            <w:tcBorders>
              <w:top w:val="single" w:sz="8" w:color="auto"/>
            </w:tcBorders>
          </w:tcPr>
          <w:p>
            <w:pPr>
              <w:jc w:val="center"/>
              <w:ind w:left="23"/>
              <w:spacing w:after="0" w:line="115" w:lineRule="exact"/>
              <w:rPr>
                <w:sz w:val="20"/>
                <w:szCs w:val="20"/>
                <w:color w:val="auto"/>
              </w:rPr>
            </w:pPr>
            <w:r>
              <w:rPr>
                <w:rFonts w:ascii="Arial" w:cs="Arial" w:eastAsia="Arial" w:hAnsi="Arial"/>
                <w:sz w:val="11"/>
                <w:szCs w:val="11"/>
                <w:b w:val="1"/>
                <w:bCs w:val="1"/>
                <w:color w:val="auto"/>
                <w:w w:val="99"/>
              </w:rPr>
              <w:t>S/(000)</w:t>
            </w:r>
          </w:p>
        </w:tc>
        <w:tc>
          <w:tcPr>
            <w:tcW w:w="180" w:type="dxa"/>
            <w:vAlign w:val="bottom"/>
          </w:tcPr>
          <w:p>
            <w:pPr>
              <w:spacing w:after="0"/>
              <w:rPr>
                <w:sz w:val="10"/>
                <w:szCs w:val="10"/>
                <w:color w:val="auto"/>
              </w:rPr>
            </w:pPr>
          </w:p>
        </w:tc>
        <w:tc>
          <w:tcPr>
            <w:tcW w:w="660" w:type="dxa"/>
            <w:vAlign w:val="bottom"/>
            <w:tcBorders>
              <w:top w:val="single" w:sz="8" w:color="auto"/>
            </w:tcBorders>
          </w:tcPr>
          <w:p>
            <w:pPr>
              <w:jc w:val="center"/>
              <w:ind w:left="23"/>
              <w:spacing w:after="0" w:line="115" w:lineRule="exact"/>
              <w:rPr>
                <w:sz w:val="20"/>
                <w:szCs w:val="20"/>
                <w:color w:val="auto"/>
              </w:rPr>
            </w:pPr>
            <w:r>
              <w:rPr>
                <w:rFonts w:ascii="Arial" w:cs="Arial" w:eastAsia="Arial" w:hAnsi="Arial"/>
                <w:sz w:val="11"/>
                <w:szCs w:val="11"/>
                <w:b w:val="1"/>
                <w:bCs w:val="1"/>
                <w:color w:val="auto"/>
                <w:w w:val="94"/>
              </w:rPr>
              <w:t>S/(000)</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4"/>
              </w:rPr>
              <w:t>S/(000)</w:t>
            </w:r>
          </w:p>
        </w:tc>
        <w:tc>
          <w:tcPr>
            <w:tcW w:w="160" w:type="dxa"/>
            <w:vAlign w:val="bottom"/>
          </w:tcPr>
          <w:p>
            <w:pPr>
              <w:spacing w:after="0"/>
              <w:rPr>
                <w:sz w:val="10"/>
                <w:szCs w:val="10"/>
                <w:color w:val="auto"/>
              </w:rPr>
            </w:pPr>
          </w:p>
        </w:tc>
        <w:tc>
          <w:tcPr>
            <w:tcW w:w="820" w:type="dxa"/>
            <w:vAlign w:val="bottom"/>
            <w:tcBorders>
              <w:top w:val="single" w:sz="8" w:color="auto"/>
            </w:tcBorders>
          </w:tcPr>
          <w:p>
            <w:pPr>
              <w:jc w:val="center"/>
              <w:ind w:left="23"/>
              <w:spacing w:after="0" w:line="115" w:lineRule="exact"/>
              <w:rPr>
                <w:sz w:val="20"/>
                <w:szCs w:val="20"/>
                <w:color w:val="auto"/>
              </w:rPr>
            </w:pPr>
            <w:r>
              <w:rPr>
                <w:rFonts w:ascii="Arial" w:cs="Arial" w:eastAsia="Arial" w:hAnsi="Arial"/>
                <w:sz w:val="11"/>
                <w:szCs w:val="11"/>
                <w:b w:val="1"/>
                <w:bCs w:val="1"/>
                <w:color w:val="auto"/>
                <w:w w:val="94"/>
              </w:rPr>
              <w:t>S/(000)</w:t>
            </w:r>
          </w:p>
        </w:tc>
        <w:tc>
          <w:tcPr>
            <w:tcW w:w="180" w:type="dxa"/>
            <w:vAlign w:val="bottom"/>
          </w:tcPr>
          <w:p>
            <w:pPr>
              <w:spacing w:after="0"/>
              <w:rPr>
                <w:sz w:val="10"/>
                <w:szCs w:val="10"/>
                <w:color w:val="auto"/>
              </w:rPr>
            </w:pPr>
          </w:p>
        </w:tc>
        <w:tc>
          <w:tcPr>
            <w:tcW w:w="660" w:type="dxa"/>
            <w:vAlign w:val="bottom"/>
            <w:tcBorders>
              <w:top w:val="single" w:sz="8" w:color="auto"/>
            </w:tcBorders>
          </w:tcPr>
          <w:p>
            <w:pPr>
              <w:jc w:val="right"/>
              <w:ind w:right="63"/>
              <w:spacing w:after="0" w:line="115" w:lineRule="exact"/>
              <w:rPr>
                <w:sz w:val="20"/>
                <w:szCs w:val="20"/>
                <w:color w:val="auto"/>
              </w:rPr>
            </w:pPr>
            <w:r>
              <w:rPr>
                <w:rFonts w:ascii="Arial" w:cs="Arial" w:eastAsia="Arial" w:hAnsi="Arial"/>
                <w:sz w:val="11"/>
                <w:szCs w:val="11"/>
                <w:b w:val="1"/>
                <w:bCs w:val="1"/>
                <w:color w:val="auto"/>
              </w:rPr>
              <w:t>S/(000)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Peru</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1,894,058</w:t>
            </w: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41,164</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w w:val="94"/>
              </w:rPr>
              <w:t>132,810,079</w:t>
            </w: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21,787,681</w:t>
            </w:r>
          </w:p>
        </w:tc>
        <w:tc>
          <w:tcPr>
            <w:tcW w:w="8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156,532,982</w:t>
            </w:r>
          </w:p>
        </w:tc>
        <w:tc>
          <w:tcPr>
            <w:tcW w:w="86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688,099</w:t>
            </w:r>
          </w:p>
        </w:tc>
        <w:tc>
          <w:tcPr>
            <w:tcW w:w="8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138,293</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w w:val="91"/>
              </w:rPr>
              <w:t>130,436,702</w:t>
            </w:r>
          </w:p>
        </w:tc>
        <w:tc>
          <w:tcPr>
            <w:tcW w:w="1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20,674,142</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151,937,236</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tcPr>
          <w:p>
            <w:pPr>
              <w:spacing w:after="0" w:line="123" w:lineRule="exact"/>
              <w:rPr>
                <w:sz w:val="20"/>
                <w:szCs w:val="20"/>
                <w:color w:val="auto"/>
              </w:rPr>
            </w:pPr>
            <w:r>
              <w:rPr>
                <w:rFonts w:ascii="Arial" w:cs="Arial" w:eastAsia="Arial" w:hAnsi="Arial"/>
                <w:sz w:val="11"/>
                <w:szCs w:val="11"/>
                <w:color w:val="auto"/>
              </w:rPr>
              <w:t>United States of America</w:t>
            </w: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692,809</w:t>
            </w:r>
          </w:p>
        </w:tc>
        <w:tc>
          <w:tcPr>
            <w:tcW w:w="140" w:type="dxa"/>
            <w:vAlign w:val="bottom"/>
          </w:tcPr>
          <w:p>
            <w:pPr>
              <w:spacing w:after="0"/>
              <w:rPr>
                <w:sz w:val="10"/>
                <w:szCs w:val="10"/>
                <w:color w:val="auto"/>
              </w:rPr>
            </w:pP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320,851</w:t>
            </w:r>
          </w:p>
        </w:tc>
        <w:tc>
          <w:tcPr>
            <w:tcW w:w="6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1,969,194</w:t>
            </w:r>
          </w:p>
        </w:tc>
        <w:tc>
          <w:tcPr>
            <w:tcW w:w="140" w:type="dxa"/>
            <w:vAlign w:val="bottom"/>
          </w:tcPr>
          <w:p>
            <w:pPr>
              <w:spacing w:after="0"/>
              <w:rPr>
                <w:sz w:val="10"/>
                <w:szCs w:val="10"/>
                <w:color w:val="auto"/>
              </w:rPr>
            </w:pPr>
          </w:p>
        </w:tc>
        <w:tc>
          <w:tcPr>
            <w:tcW w:w="9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2,825,298</w:t>
            </w:r>
          </w:p>
        </w:tc>
        <w:tc>
          <w:tcPr>
            <w:tcW w:w="82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5,808,152</w:t>
            </w:r>
          </w:p>
        </w:tc>
        <w:tc>
          <w:tcPr>
            <w:tcW w:w="86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568,588</w:t>
            </w:r>
          </w:p>
        </w:tc>
        <w:tc>
          <w:tcPr>
            <w:tcW w:w="82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275,991</w:t>
            </w:r>
          </w:p>
        </w:tc>
        <w:tc>
          <w:tcPr>
            <w:tcW w:w="100" w:type="dxa"/>
            <w:vAlign w:val="bottom"/>
          </w:tcPr>
          <w:p>
            <w:pPr>
              <w:spacing w:after="0"/>
              <w:rPr>
                <w:sz w:val="10"/>
                <w:szCs w:val="10"/>
                <w:color w:val="auto"/>
              </w:rPr>
            </w:pPr>
          </w:p>
        </w:tc>
        <w:tc>
          <w:tcPr>
            <w:tcW w:w="580" w:type="dxa"/>
            <w:vAlign w:val="bottom"/>
          </w:tcPr>
          <w:p>
            <w:pPr>
              <w:jc w:val="right"/>
              <w:spacing w:after="0" w:line="123" w:lineRule="exact"/>
              <w:rPr>
                <w:sz w:val="20"/>
                <w:szCs w:val="20"/>
                <w:color w:val="auto"/>
              </w:rPr>
            </w:pPr>
            <w:r>
              <w:rPr>
                <w:rFonts w:ascii="Arial" w:cs="Arial" w:eastAsia="Arial" w:hAnsi="Arial"/>
                <w:sz w:val="11"/>
                <w:szCs w:val="11"/>
                <w:color w:val="auto"/>
              </w:rPr>
              <w:t>982,944</w:t>
            </w:r>
          </w:p>
        </w:tc>
        <w:tc>
          <w:tcPr>
            <w:tcW w:w="160" w:type="dxa"/>
            <w:vAlign w:val="bottom"/>
          </w:tcPr>
          <w:p>
            <w:pPr>
              <w:spacing w:after="0"/>
              <w:rPr>
                <w:sz w:val="10"/>
                <w:szCs w:val="10"/>
                <w:color w:val="auto"/>
              </w:rPr>
            </w:pPr>
          </w:p>
        </w:tc>
        <w:tc>
          <w:tcPr>
            <w:tcW w:w="10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2,770,903</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4,598,426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Bolivia</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535,454</w:t>
            </w: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9,869,666</w:t>
            </w: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674,603</w:t>
            </w:r>
          </w:p>
        </w:tc>
        <w:tc>
          <w:tcPr>
            <w:tcW w:w="8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11,079,723</w:t>
            </w:r>
          </w:p>
        </w:tc>
        <w:tc>
          <w:tcPr>
            <w:tcW w:w="86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494,547</w:t>
            </w:r>
          </w:p>
        </w:tc>
        <w:tc>
          <w:tcPr>
            <w:tcW w:w="8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9,218,219</w:t>
            </w:r>
          </w:p>
        </w:tc>
        <w:tc>
          <w:tcPr>
            <w:tcW w:w="1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555,028</w:t>
            </w:r>
          </w:p>
        </w:tc>
        <w:tc>
          <w:tcPr>
            <w:tcW w:w="7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10,267,794</w:t>
            </w:r>
          </w:p>
        </w:tc>
        <w:tc>
          <w:tcPr>
            <w:tcW w:w="0" w:type="dxa"/>
            <w:vAlign w:val="bottom"/>
          </w:tcPr>
          <w:p>
            <w:pPr>
              <w:spacing w:after="0"/>
              <w:rPr>
                <w:sz w:val="1"/>
                <w:szCs w:val="1"/>
                <w:color w:val="auto"/>
              </w:rPr>
            </w:pPr>
          </w:p>
        </w:tc>
      </w:tr>
      <w:tr>
        <w:trPr>
          <w:trHeight w:val="123"/>
        </w:trPr>
        <w:tc>
          <w:tcPr>
            <w:tcW w:w="2220" w:type="dxa"/>
            <w:vAlign w:val="bottom"/>
          </w:tcPr>
          <w:p>
            <w:pPr>
              <w:spacing w:after="0" w:line="123" w:lineRule="exact"/>
              <w:rPr>
                <w:sz w:val="20"/>
                <w:szCs w:val="20"/>
                <w:color w:val="auto"/>
              </w:rPr>
            </w:pPr>
            <w:r>
              <w:rPr>
                <w:rFonts w:ascii="Arial" w:cs="Arial" w:eastAsia="Arial" w:hAnsi="Arial"/>
                <w:sz w:val="11"/>
                <w:szCs w:val="11"/>
                <w:color w:val="auto"/>
              </w:rPr>
              <w:t>Colombia</w:t>
            </w: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1,135,593</w:t>
            </w:r>
          </w:p>
        </w:tc>
        <w:tc>
          <w:tcPr>
            <w:tcW w:w="140" w:type="dxa"/>
            <w:vAlign w:val="bottom"/>
          </w:tcPr>
          <w:p>
            <w:pPr>
              <w:spacing w:after="0"/>
              <w:rPr>
                <w:sz w:val="10"/>
                <w:szCs w:val="10"/>
                <w:color w:val="auto"/>
              </w:rPr>
            </w:pP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8,138</w:t>
            </w:r>
          </w:p>
        </w:tc>
        <w:tc>
          <w:tcPr>
            <w:tcW w:w="6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2,970,059</w:t>
            </w:r>
          </w:p>
        </w:tc>
        <w:tc>
          <w:tcPr>
            <w:tcW w:w="140" w:type="dxa"/>
            <w:vAlign w:val="bottom"/>
          </w:tcPr>
          <w:p>
            <w:pPr>
              <w:spacing w:after="0"/>
              <w:rPr>
                <w:sz w:val="10"/>
                <w:szCs w:val="10"/>
                <w:color w:val="auto"/>
              </w:rPr>
            </w:pPr>
          </w:p>
        </w:tc>
        <w:tc>
          <w:tcPr>
            <w:tcW w:w="9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1,289,064</w:t>
            </w:r>
          </w:p>
        </w:tc>
        <w:tc>
          <w:tcPr>
            <w:tcW w:w="82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5,402,854</w:t>
            </w:r>
          </w:p>
        </w:tc>
        <w:tc>
          <w:tcPr>
            <w:tcW w:w="86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1,346,042</w:t>
            </w:r>
          </w:p>
        </w:tc>
        <w:tc>
          <w:tcPr>
            <w:tcW w:w="82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21,289</w:t>
            </w:r>
          </w:p>
        </w:tc>
        <w:tc>
          <w:tcPr>
            <w:tcW w:w="100" w:type="dxa"/>
            <w:vAlign w:val="bottom"/>
          </w:tcPr>
          <w:p>
            <w:pPr>
              <w:spacing w:after="0"/>
              <w:rPr>
                <w:sz w:val="10"/>
                <w:szCs w:val="10"/>
                <w:color w:val="auto"/>
              </w:rPr>
            </w:pPr>
          </w:p>
        </w:tc>
        <w:tc>
          <w:tcPr>
            <w:tcW w:w="580" w:type="dxa"/>
            <w:vAlign w:val="bottom"/>
          </w:tcPr>
          <w:p>
            <w:pPr>
              <w:jc w:val="right"/>
              <w:spacing w:after="0" w:line="123" w:lineRule="exact"/>
              <w:rPr>
                <w:sz w:val="20"/>
                <w:szCs w:val="20"/>
                <w:color w:val="auto"/>
              </w:rPr>
            </w:pPr>
            <w:r>
              <w:rPr>
                <w:rFonts w:ascii="Arial" w:cs="Arial" w:eastAsia="Arial" w:hAnsi="Arial"/>
                <w:sz w:val="11"/>
                <w:szCs w:val="11"/>
                <w:color w:val="auto"/>
              </w:rPr>
              <w:t>2,627,353</w:t>
            </w:r>
          </w:p>
        </w:tc>
        <w:tc>
          <w:tcPr>
            <w:tcW w:w="160" w:type="dxa"/>
            <w:vAlign w:val="bottom"/>
          </w:tcPr>
          <w:p>
            <w:pPr>
              <w:spacing w:after="0"/>
              <w:rPr>
                <w:sz w:val="10"/>
                <w:szCs w:val="10"/>
                <w:color w:val="auto"/>
              </w:rPr>
            </w:pPr>
          </w:p>
        </w:tc>
        <w:tc>
          <w:tcPr>
            <w:tcW w:w="10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385,794</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4,380,478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Panama</w:t>
            </w:r>
          </w:p>
        </w:tc>
        <w:tc>
          <w:tcPr>
            <w:tcW w:w="82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71,906</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687,553</w:t>
            </w:r>
          </w:p>
        </w:tc>
        <w:tc>
          <w:tcPr>
            <w:tcW w:w="9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96,235</w:t>
            </w:r>
          </w:p>
        </w:tc>
        <w:tc>
          <w:tcPr>
            <w:tcW w:w="8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855,694</w:t>
            </w:r>
          </w:p>
        </w:tc>
        <w:tc>
          <w:tcPr>
            <w:tcW w:w="86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905,675</w:t>
            </w:r>
          </w:p>
        </w:tc>
        <w:tc>
          <w:tcPr>
            <w:tcW w:w="1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91,571</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997,246</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tcPr>
          <w:p>
            <w:pPr>
              <w:spacing w:after="0" w:line="123" w:lineRule="exact"/>
              <w:rPr>
                <w:sz w:val="20"/>
                <w:szCs w:val="20"/>
                <w:color w:val="auto"/>
              </w:rPr>
            </w:pPr>
            <w:r>
              <w:rPr>
                <w:rFonts w:ascii="Arial" w:cs="Arial" w:eastAsia="Arial" w:hAnsi="Arial"/>
                <w:sz w:val="11"/>
                <w:szCs w:val="11"/>
                <w:color w:val="auto"/>
              </w:rPr>
              <w:t>Chile</w:t>
            </w: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576,763</w:t>
            </w:r>
          </w:p>
        </w:tc>
        <w:tc>
          <w:tcPr>
            <w:tcW w:w="140" w:type="dxa"/>
            <w:vAlign w:val="bottom"/>
          </w:tcPr>
          <w:p>
            <w:pPr>
              <w:spacing w:after="0"/>
              <w:rPr>
                <w:sz w:val="10"/>
                <w:szCs w:val="10"/>
                <w:color w:val="auto"/>
              </w:rPr>
            </w:pP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9,039</w:t>
            </w:r>
          </w:p>
        </w:tc>
        <w:tc>
          <w:tcPr>
            <w:tcW w:w="6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2,251,710</w:t>
            </w:r>
          </w:p>
        </w:tc>
        <w:tc>
          <w:tcPr>
            <w:tcW w:w="140" w:type="dxa"/>
            <w:vAlign w:val="bottom"/>
          </w:tcPr>
          <w:p>
            <w:pPr>
              <w:spacing w:after="0"/>
              <w:rPr>
                <w:sz w:val="10"/>
                <w:szCs w:val="10"/>
                <w:color w:val="auto"/>
              </w:rPr>
            </w:pPr>
          </w:p>
        </w:tc>
        <w:tc>
          <w:tcPr>
            <w:tcW w:w="9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471,382</w:t>
            </w:r>
          </w:p>
        </w:tc>
        <w:tc>
          <w:tcPr>
            <w:tcW w:w="82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3,308,894</w:t>
            </w:r>
          </w:p>
        </w:tc>
        <w:tc>
          <w:tcPr>
            <w:tcW w:w="86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683,822</w:t>
            </w:r>
          </w:p>
        </w:tc>
        <w:tc>
          <w:tcPr>
            <w:tcW w:w="82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34,606</w:t>
            </w:r>
          </w:p>
        </w:tc>
        <w:tc>
          <w:tcPr>
            <w:tcW w:w="100" w:type="dxa"/>
            <w:vAlign w:val="bottom"/>
          </w:tcPr>
          <w:p>
            <w:pPr>
              <w:spacing w:after="0"/>
              <w:rPr>
                <w:sz w:val="10"/>
                <w:szCs w:val="10"/>
                <w:color w:val="auto"/>
              </w:rPr>
            </w:pPr>
          </w:p>
        </w:tc>
        <w:tc>
          <w:tcPr>
            <w:tcW w:w="580" w:type="dxa"/>
            <w:vAlign w:val="bottom"/>
          </w:tcPr>
          <w:p>
            <w:pPr>
              <w:jc w:val="right"/>
              <w:spacing w:after="0" w:line="123" w:lineRule="exact"/>
              <w:rPr>
                <w:sz w:val="20"/>
                <w:szCs w:val="20"/>
                <w:color w:val="auto"/>
              </w:rPr>
            </w:pPr>
            <w:r>
              <w:rPr>
                <w:rFonts w:ascii="Arial" w:cs="Arial" w:eastAsia="Arial" w:hAnsi="Arial"/>
                <w:sz w:val="11"/>
                <w:szCs w:val="11"/>
                <w:color w:val="auto"/>
              </w:rPr>
              <w:t>2,047,951</w:t>
            </w:r>
          </w:p>
        </w:tc>
        <w:tc>
          <w:tcPr>
            <w:tcW w:w="160" w:type="dxa"/>
            <w:vAlign w:val="bottom"/>
          </w:tcPr>
          <w:p>
            <w:pPr>
              <w:spacing w:after="0"/>
              <w:rPr>
                <w:sz w:val="10"/>
                <w:szCs w:val="10"/>
                <w:color w:val="auto"/>
              </w:rPr>
            </w:pPr>
          </w:p>
        </w:tc>
        <w:tc>
          <w:tcPr>
            <w:tcW w:w="10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450,382</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3,216,761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Brazil</w:t>
            </w:r>
          </w:p>
        </w:tc>
        <w:tc>
          <w:tcPr>
            <w:tcW w:w="82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25,899</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5,057</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512,815</w:t>
            </w:r>
          </w:p>
        </w:tc>
        <w:tc>
          <w:tcPr>
            <w:tcW w:w="9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43,690</w:t>
            </w:r>
          </w:p>
        </w:tc>
        <w:tc>
          <w:tcPr>
            <w:tcW w:w="8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587,461</w:t>
            </w:r>
          </w:p>
        </w:tc>
        <w:tc>
          <w:tcPr>
            <w:tcW w:w="86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6,023</w:t>
            </w:r>
          </w:p>
        </w:tc>
        <w:tc>
          <w:tcPr>
            <w:tcW w:w="8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5,867</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485,594</w:t>
            </w:r>
          </w:p>
        </w:tc>
        <w:tc>
          <w:tcPr>
            <w:tcW w:w="1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40,472</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537,956</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tcPr>
          <w:p>
            <w:pPr>
              <w:spacing w:after="0" w:line="123" w:lineRule="exact"/>
              <w:rPr>
                <w:sz w:val="20"/>
                <w:szCs w:val="20"/>
                <w:color w:val="auto"/>
              </w:rPr>
            </w:pPr>
            <w:r>
              <w:rPr>
                <w:rFonts w:ascii="Arial" w:cs="Arial" w:eastAsia="Arial" w:hAnsi="Arial"/>
                <w:sz w:val="11"/>
                <w:szCs w:val="11"/>
                <w:color w:val="auto"/>
              </w:rPr>
              <w:t>Mexico</w:t>
            </w:r>
          </w:p>
        </w:tc>
        <w:tc>
          <w:tcPr>
            <w:tcW w:w="82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27,137</w:t>
            </w: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9,818</w:t>
            </w:r>
          </w:p>
        </w:tc>
        <w:tc>
          <w:tcPr>
            <w:tcW w:w="60" w:type="dxa"/>
            <w:vAlign w:val="bottom"/>
          </w:tcPr>
          <w:p>
            <w:pPr>
              <w:spacing w:after="0"/>
              <w:rPr>
                <w:sz w:val="10"/>
                <w:szCs w:val="10"/>
                <w:color w:val="auto"/>
              </w:rPr>
            </w:pPr>
          </w:p>
        </w:tc>
        <w:tc>
          <w:tcPr>
            <w:tcW w:w="74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7,264</w:t>
            </w:r>
          </w:p>
        </w:tc>
        <w:tc>
          <w:tcPr>
            <w:tcW w:w="9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231,683</w:t>
            </w:r>
          </w:p>
        </w:tc>
        <w:tc>
          <w:tcPr>
            <w:tcW w:w="82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275,902</w:t>
            </w:r>
          </w:p>
        </w:tc>
        <w:tc>
          <w:tcPr>
            <w:tcW w:w="86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28,846</w:t>
            </w:r>
          </w:p>
        </w:tc>
        <w:tc>
          <w:tcPr>
            <w:tcW w:w="82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18,093</w:t>
            </w:r>
          </w:p>
        </w:tc>
        <w:tc>
          <w:tcPr>
            <w:tcW w:w="100" w:type="dxa"/>
            <w:vAlign w:val="bottom"/>
          </w:tcPr>
          <w:p>
            <w:pPr>
              <w:spacing w:after="0"/>
              <w:rPr>
                <w:sz w:val="10"/>
                <w:szCs w:val="10"/>
                <w:color w:val="auto"/>
              </w:rPr>
            </w:pPr>
          </w:p>
        </w:tc>
        <w:tc>
          <w:tcPr>
            <w:tcW w:w="580" w:type="dxa"/>
            <w:vAlign w:val="bottom"/>
          </w:tcPr>
          <w:p>
            <w:pPr>
              <w:jc w:val="right"/>
              <w:spacing w:after="0" w:line="123" w:lineRule="exact"/>
              <w:rPr>
                <w:sz w:val="20"/>
                <w:szCs w:val="20"/>
                <w:color w:val="auto"/>
              </w:rPr>
            </w:pPr>
            <w:r>
              <w:rPr>
                <w:rFonts w:ascii="Arial" w:cs="Arial" w:eastAsia="Arial" w:hAnsi="Arial"/>
                <w:sz w:val="11"/>
                <w:szCs w:val="11"/>
                <w:color w:val="auto"/>
              </w:rPr>
              <w:t>5,962</w:t>
            </w:r>
          </w:p>
        </w:tc>
        <w:tc>
          <w:tcPr>
            <w:tcW w:w="160" w:type="dxa"/>
            <w:vAlign w:val="bottom"/>
          </w:tcPr>
          <w:p>
            <w:pPr>
              <w:spacing w:after="0"/>
              <w:rPr>
                <w:sz w:val="10"/>
                <w:szCs w:val="10"/>
                <w:color w:val="auto"/>
              </w:rPr>
            </w:pPr>
          </w:p>
        </w:tc>
        <w:tc>
          <w:tcPr>
            <w:tcW w:w="10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247,713</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300,614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Canada</w:t>
            </w:r>
          </w:p>
        </w:tc>
        <w:tc>
          <w:tcPr>
            <w:tcW w:w="82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19,200</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210</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66,206</w:t>
            </w:r>
          </w:p>
        </w:tc>
        <w:tc>
          <w:tcPr>
            <w:tcW w:w="9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99,182</w:t>
            </w:r>
          </w:p>
        </w:tc>
        <w:tc>
          <w:tcPr>
            <w:tcW w:w="8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184,798</w:t>
            </w:r>
          </w:p>
        </w:tc>
        <w:tc>
          <w:tcPr>
            <w:tcW w:w="86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29,976</w:t>
            </w:r>
          </w:p>
        </w:tc>
        <w:tc>
          <w:tcPr>
            <w:tcW w:w="8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109,233</w:t>
            </w:r>
          </w:p>
        </w:tc>
        <w:tc>
          <w:tcPr>
            <w:tcW w:w="1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108,494</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247,703</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tcPr>
          <w:p>
            <w:pPr>
              <w:spacing w:after="0" w:line="123" w:lineRule="exact"/>
              <w:rPr>
                <w:sz w:val="20"/>
                <w:szCs w:val="20"/>
                <w:color w:val="auto"/>
              </w:rPr>
            </w:pPr>
            <w:r>
              <w:rPr>
                <w:rFonts w:ascii="Arial" w:cs="Arial" w:eastAsia="Arial" w:hAnsi="Arial"/>
                <w:sz w:val="11"/>
                <w:szCs w:val="11"/>
                <w:b w:val="1"/>
                <w:bCs w:val="1"/>
                <w:color w:val="auto"/>
              </w:rPr>
              <w:t>Europe:</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United Kingdom</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189,749</w:t>
            </w: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18,905</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899,530</w:t>
            </w:r>
          </w:p>
        </w:tc>
        <w:tc>
          <w:tcPr>
            <w:tcW w:w="9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75,852</w:t>
            </w:r>
          </w:p>
        </w:tc>
        <w:tc>
          <w:tcPr>
            <w:tcW w:w="8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1,184,036</w:t>
            </w:r>
          </w:p>
        </w:tc>
        <w:tc>
          <w:tcPr>
            <w:tcW w:w="86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189,658</w:t>
            </w:r>
          </w:p>
        </w:tc>
        <w:tc>
          <w:tcPr>
            <w:tcW w:w="8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14,950</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273,477</w:t>
            </w:r>
          </w:p>
        </w:tc>
        <w:tc>
          <w:tcPr>
            <w:tcW w:w="1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80,965</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559,050</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tcPr>
          <w:p>
            <w:pPr>
              <w:spacing w:after="0" w:line="123" w:lineRule="exact"/>
              <w:rPr>
                <w:sz w:val="20"/>
                <w:szCs w:val="20"/>
                <w:color w:val="auto"/>
              </w:rPr>
            </w:pPr>
            <w:r>
              <w:rPr>
                <w:rFonts w:ascii="Arial" w:cs="Arial" w:eastAsia="Arial" w:hAnsi="Arial"/>
                <w:sz w:val="11"/>
                <w:szCs w:val="11"/>
                <w:color w:val="auto"/>
              </w:rPr>
              <w:t>Others in Europe</w:t>
            </w: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129,072</w:t>
            </w:r>
          </w:p>
        </w:tc>
        <w:tc>
          <w:tcPr>
            <w:tcW w:w="140" w:type="dxa"/>
            <w:vAlign w:val="bottom"/>
          </w:tcPr>
          <w:p>
            <w:pPr>
              <w:spacing w:after="0"/>
              <w:rPr>
                <w:sz w:val="10"/>
                <w:szCs w:val="10"/>
                <w:color w:val="auto"/>
              </w:rPr>
            </w:pP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15,893</w:t>
            </w:r>
          </w:p>
        </w:tc>
        <w:tc>
          <w:tcPr>
            <w:tcW w:w="60" w:type="dxa"/>
            <w:vAlign w:val="bottom"/>
          </w:tcPr>
          <w:p>
            <w:pPr>
              <w:spacing w:after="0"/>
              <w:rPr>
                <w:sz w:val="10"/>
                <w:szCs w:val="10"/>
                <w:color w:val="auto"/>
              </w:rPr>
            </w:pPr>
          </w:p>
        </w:tc>
        <w:tc>
          <w:tcPr>
            <w:tcW w:w="74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129,250</w:t>
            </w:r>
          </w:p>
        </w:tc>
        <w:tc>
          <w:tcPr>
            <w:tcW w:w="9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45,071</w:t>
            </w:r>
          </w:p>
        </w:tc>
        <w:tc>
          <w:tcPr>
            <w:tcW w:w="82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319,286</w:t>
            </w:r>
          </w:p>
        </w:tc>
        <w:tc>
          <w:tcPr>
            <w:tcW w:w="86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127,915</w:t>
            </w:r>
          </w:p>
        </w:tc>
        <w:tc>
          <w:tcPr>
            <w:tcW w:w="82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17,184</w:t>
            </w:r>
          </w:p>
        </w:tc>
        <w:tc>
          <w:tcPr>
            <w:tcW w:w="100" w:type="dxa"/>
            <w:vAlign w:val="bottom"/>
          </w:tcPr>
          <w:p>
            <w:pPr>
              <w:spacing w:after="0"/>
              <w:rPr>
                <w:sz w:val="10"/>
                <w:szCs w:val="10"/>
                <w:color w:val="auto"/>
              </w:rPr>
            </w:pPr>
          </w:p>
        </w:tc>
        <w:tc>
          <w:tcPr>
            <w:tcW w:w="74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83,979</w:t>
            </w:r>
          </w:p>
        </w:tc>
        <w:tc>
          <w:tcPr>
            <w:tcW w:w="10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46,331</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275,409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France</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572,122</w:t>
            </w: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2,083</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17,808</w:t>
            </w:r>
          </w:p>
        </w:tc>
        <w:tc>
          <w:tcPr>
            <w:tcW w:w="9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171,725</w:t>
            </w:r>
          </w:p>
        </w:tc>
        <w:tc>
          <w:tcPr>
            <w:tcW w:w="8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763,738</w:t>
            </w:r>
          </w:p>
        </w:tc>
        <w:tc>
          <w:tcPr>
            <w:tcW w:w="86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227,823</w:t>
            </w:r>
          </w:p>
        </w:tc>
        <w:tc>
          <w:tcPr>
            <w:tcW w:w="8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8,850</w:t>
            </w: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27,244</w:t>
            </w:r>
          </w:p>
        </w:tc>
        <w:tc>
          <w:tcPr>
            <w:tcW w:w="10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169,632</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433,549</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tcPr>
          <w:p>
            <w:pPr>
              <w:spacing w:after="0" w:line="123" w:lineRule="exact"/>
              <w:rPr>
                <w:sz w:val="20"/>
                <w:szCs w:val="20"/>
                <w:color w:val="auto"/>
              </w:rPr>
            </w:pPr>
            <w:r>
              <w:rPr>
                <w:rFonts w:ascii="Arial" w:cs="Arial" w:eastAsia="Arial" w:hAnsi="Arial"/>
                <w:sz w:val="11"/>
                <w:szCs w:val="11"/>
                <w:color w:val="auto"/>
              </w:rPr>
              <w:t>Spain</w:t>
            </w:r>
          </w:p>
        </w:tc>
        <w:tc>
          <w:tcPr>
            <w:tcW w:w="82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11,971</w:t>
            </w: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36,476</w:t>
            </w:r>
          </w:p>
        </w:tc>
        <w:tc>
          <w:tcPr>
            <w:tcW w:w="9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34,278</w:t>
            </w:r>
          </w:p>
        </w:tc>
        <w:tc>
          <w:tcPr>
            <w:tcW w:w="82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82,725</w:t>
            </w:r>
          </w:p>
        </w:tc>
        <w:tc>
          <w:tcPr>
            <w:tcW w:w="86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11,105</w:t>
            </w:r>
          </w:p>
        </w:tc>
        <w:tc>
          <w:tcPr>
            <w:tcW w:w="82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32,836</w:t>
            </w:r>
          </w:p>
        </w:tc>
        <w:tc>
          <w:tcPr>
            <w:tcW w:w="10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32,366</w:t>
            </w:r>
          </w:p>
        </w:tc>
        <w:tc>
          <w:tcPr>
            <w:tcW w:w="74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76,307</w:t>
            </w:r>
          </w:p>
        </w:tc>
        <w:tc>
          <w:tcPr>
            <w:tcW w:w="0" w:type="dxa"/>
            <w:vAlign w:val="bottom"/>
          </w:tcPr>
          <w:p>
            <w:pPr>
              <w:spacing w:after="0"/>
              <w:rPr>
                <w:sz w:val="1"/>
                <w:szCs w:val="1"/>
                <w:color w:val="auto"/>
              </w:rPr>
            </w:pPr>
          </w:p>
        </w:tc>
      </w:tr>
      <w:tr>
        <w:trPr>
          <w:trHeight w:val="123"/>
        </w:trPr>
        <w:tc>
          <w:tcPr>
            <w:tcW w:w="22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Switzerland</w:t>
            </w:r>
          </w:p>
        </w:tc>
        <w:tc>
          <w:tcPr>
            <w:tcW w:w="82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704</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1,138</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36,879</w:t>
            </w:r>
          </w:p>
        </w:tc>
        <w:tc>
          <w:tcPr>
            <w:tcW w:w="9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39,141</w:t>
            </w:r>
          </w:p>
        </w:tc>
        <w:tc>
          <w:tcPr>
            <w:tcW w:w="8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77,862</w:t>
            </w:r>
          </w:p>
        </w:tc>
        <w:tc>
          <w:tcPr>
            <w:tcW w:w="86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514</w:t>
            </w:r>
          </w:p>
        </w:tc>
        <w:tc>
          <w:tcPr>
            <w:tcW w:w="8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980</w:t>
            </w:r>
          </w:p>
        </w:tc>
        <w:tc>
          <w:tcPr>
            <w:tcW w:w="10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26,136</w:t>
            </w:r>
          </w:p>
        </w:tc>
        <w:tc>
          <w:tcPr>
            <w:tcW w:w="740" w:type="dxa"/>
            <w:vAlign w:val="bottom"/>
            <w:gridSpan w:val="2"/>
            <w:shd w:val="clear" w:color="auto" w:fill="CCEEFF"/>
          </w:tcPr>
          <w:p>
            <w:pPr>
              <w:jc w:val="right"/>
              <w:ind w:right="80"/>
              <w:spacing w:after="0" w:line="123" w:lineRule="exact"/>
              <w:rPr>
                <w:sz w:val="20"/>
                <w:szCs w:val="20"/>
                <w:color w:val="auto"/>
              </w:rPr>
            </w:pPr>
            <w:r>
              <w:rPr>
                <w:rFonts w:ascii="Arial" w:cs="Arial" w:eastAsia="Arial" w:hAnsi="Arial"/>
                <w:sz w:val="11"/>
                <w:szCs w:val="11"/>
                <w:color w:val="auto"/>
              </w:rPr>
              <w:t>27,630</w:t>
            </w:r>
          </w:p>
        </w:tc>
        <w:tc>
          <w:tcPr>
            <w:tcW w:w="0" w:type="dxa"/>
            <w:vAlign w:val="bottom"/>
          </w:tcPr>
          <w:p>
            <w:pPr>
              <w:spacing w:after="0"/>
              <w:rPr>
                <w:sz w:val="1"/>
                <w:szCs w:val="1"/>
                <w:color w:val="auto"/>
              </w:rPr>
            </w:pPr>
          </w:p>
        </w:tc>
      </w:tr>
      <w:tr>
        <w:trPr>
          <w:trHeight w:val="123"/>
        </w:trPr>
        <w:tc>
          <w:tcPr>
            <w:tcW w:w="2220" w:type="dxa"/>
            <w:vAlign w:val="bottom"/>
          </w:tcPr>
          <w:p>
            <w:pPr>
              <w:spacing w:after="0" w:line="123" w:lineRule="exact"/>
              <w:rPr>
                <w:sz w:val="20"/>
                <w:szCs w:val="20"/>
                <w:color w:val="auto"/>
              </w:rPr>
            </w:pPr>
            <w:r>
              <w:rPr>
                <w:rFonts w:ascii="Arial" w:cs="Arial" w:eastAsia="Arial" w:hAnsi="Arial"/>
                <w:sz w:val="11"/>
                <w:szCs w:val="11"/>
                <w:color w:val="auto"/>
              </w:rPr>
              <w:t>Netherlands</w:t>
            </w: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1,072</w:t>
            </w:r>
          </w:p>
        </w:tc>
        <w:tc>
          <w:tcPr>
            <w:tcW w:w="140" w:type="dxa"/>
            <w:vAlign w:val="bottom"/>
          </w:tcPr>
          <w:p>
            <w:pPr>
              <w:spacing w:after="0"/>
              <w:rPr>
                <w:sz w:val="10"/>
                <w:szCs w:val="10"/>
                <w:color w:val="auto"/>
              </w:rPr>
            </w:pPr>
          </w:p>
        </w:tc>
        <w:tc>
          <w:tcPr>
            <w:tcW w:w="8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1,716</w:t>
            </w:r>
          </w:p>
        </w:tc>
        <w:tc>
          <w:tcPr>
            <w:tcW w:w="60" w:type="dxa"/>
            <w:vAlign w:val="bottom"/>
          </w:tcPr>
          <w:p>
            <w:pPr>
              <w:spacing w:after="0"/>
              <w:rPr>
                <w:sz w:val="10"/>
                <w:szCs w:val="10"/>
                <w:color w:val="auto"/>
              </w:rPr>
            </w:pPr>
          </w:p>
        </w:tc>
        <w:tc>
          <w:tcPr>
            <w:tcW w:w="74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17,147</w:t>
            </w:r>
          </w:p>
        </w:tc>
        <w:tc>
          <w:tcPr>
            <w:tcW w:w="9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66,214</w:t>
            </w:r>
          </w:p>
        </w:tc>
        <w:tc>
          <w:tcPr>
            <w:tcW w:w="82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86,149</w:t>
            </w:r>
          </w:p>
        </w:tc>
        <w:tc>
          <w:tcPr>
            <w:tcW w:w="86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ind w:right="160"/>
              <w:spacing w:after="0" w:line="123" w:lineRule="exact"/>
              <w:rPr>
                <w:sz w:val="20"/>
                <w:szCs w:val="20"/>
                <w:color w:val="auto"/>
              </w:rPr>
            </w:pPr>
            <w:r>
              <w:rPr>
                <w:rFonts w:ascii="Arial" w:cs="Arial" w:eastAsia="Arial" w:hAnsi="Arial"/>
                <w:sz w:val="11"/>
                <w:szCs w:val="11"/>
                <w:color w:val="auto"/>
              </w:rPr>
              <w:t>26,024</w:t>
            </w:r>
          </w:p>
        </w:tc>
        <w:tc>
          <w:tcPr>
            <w:tcW w:w="10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108,343</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134,367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22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Others</w:t>
            </w:r>
          </w:p>
        </w:tc>
        <w:tc>
          <w:tcPr>
            <w:tcW w:w="82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92,899</w:t>
            </w:r>
          </w:p>
        </w:tc>
        <w:tc>
          <w:tcPr>
            <w:tcW w:w="8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125,309</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2,426,911</w:t>
            </w:r>
          </w:p>
        </w:tc>
        <w:tc>
          <w:tcPr>
            <w:tcW w:w="9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437,273</w:t>
            </w:r>
          </w:p>
        </w:tc>
        <w:tc>
          <w:tcPr>
            <w:tcW w:w="8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3,082,392</w:t>
            </w:r>
          </w:p>
        </w:tc>
        <w:tc>
          <w:tcPr>
            <w:tcW w:w="86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539,911</w:t>
            </w:r>
          </w:p>
        </w:tc>
        <w:tc>
          <w:tcPr>
            <w:tcW w:w="82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color w:val="auto"/>
              </w:rPr>
              <w:t>85,421</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840,394</w:t>
            </w:r>
          </w:p>
        </w:tc>
        <w:tc>
          <w:tcPr>
            <w:tcW w:w="1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414,451</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1,880,177</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20" w:type="dxa"/>
            <w:vAlign w:val="bottom"/>
          </w:tcPr>
          <w:p>
            <w:pPr>
              <w:spacing w:after="0" w:line="115" w:lineRule="exact"/>
              <w:rPr>
                <w:sz w:val="20"/>
                <w:szCs w:val="20"/>
                <w:color w:val="auto"/>
              </w:rPr>
            </w:pPr>
            <w:r>
              <w:rPr>
                <w:rFonts w:ascii="Arial" w:cs="Arial" w:eastAsia="Arial" w:hAnsi="Arial"/>
                <w:sz w:val="11"/>
                <w:szCs w:val="11"/>
                <w:b w:val="1"/>
                <w:bCs w:val="1"/>
                <w:color w:val="auto"/>
              </w:rPr>
              <w:t>Total</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5,976,408</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559,321</w:t>
            </w:r>
          </w:p>
        </w:tc>
        <w:tc>
          <w:tcPr>
            <w:tcW w:w="1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4"/>
              </w:rPr>
              <w:t>154,708,547</w:t>
            </w:r>
          </w:p>
        </w:tc>
        <w:tc>
          <w:tcPr>
            <w:tcW w:w="140" w:type="dxa"/>
            <w:vAlign w:val="bottom"/>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28,388,372</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189,632,648</w:t>
            </w:r>
          </w:p>
        </w:tc>
        <w:tc>
          <w:tcPr>
            <w:tcW w:w="16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4,942,869</w:t>
            </w:r>
          </w:p>
        </w:tc>
        <w:tc>
          <w:tcPr>
            <w:tcW w:w="18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620,544</w:t>
            </w:r>
          </w:p>
        </w:tc>
        <w:tc>
          <w:tcPr>
            <w:tcW w:w="16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1"/>
              </w:rPr>
              <w:t>148,104,567</w:t>
            </w:r>
          </w:p>
        </w:tc>
        <w:tc>
          <w:tcPr>
            <w:tcW w:w="160" w:type="dxa"/>
            <w:vAlign w:val="bottom"/>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26,202,723</w:t>
            </w:r>
          </w:p>
        </w:tc>
        <w:tc>
          <w:tcPr>
            <w:tcW w:w="18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179,870,703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 It includes non-trading investments that did not pass SPPI test.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15875</wp:posOffset>
            </wp:positionV>
            <wp:extent cx="714438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680"/>
          </w:cols>
          <w:pgMar w:left="600" w:top="839" w:right="619" w:bottom="1440" w:gutter="0" w:footer="0" w:header="0"/>
        </w:sectPr>
      </w:pPr>
    </w:p>
    <w:bookmarkStart w:id="94" w:name="page95"/>
    <w:bookmarkEnd w:id="94"/>
    <w:p>
      <w:pPr>
        <w:ind w:left="302" w:hanging="302"/>
        <w:spacing w:after="0"/>
        <w:tabs>
          <w:tab w:leader="none" w:pos="30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Offsetting financial assets and liabilities -</w:t>
      </w:r>
    </w:p>
    <w:p>
      <w:pPr>
        <w:spacing w:after="0" w:line="209" w:lineRule="exact"/>
        <w:rPr>
          <w:rFonts w:ascii="Arial" w:cs="Arial" w:eastAsia="Arial" w:hAnsi="Arial"/>
          <w:sz w:val="16"/>
          <w:szCs w:val="16"/>
          <w:color w:val="auto"/>
        </w:rPr>
      </w:pPr>
    </w:p>
    <w:p>
      <w:pPr>
        <w:ind w:left="302"/>
        <w:spacing w:after="0"/>
        <w:rPr>
          <w:rFonts w:ascii="Arial" w:cs="Arial" w:eastAsia="Arial" w:hAnsi="Arial"/>
          <w:sz w:val="16"/>
          <w:szCs w:val="16"/>
          <w:color w:val="auto"/>
        </w:rPr>
      </w:pPr>
      <w:r>
        <w:rPr>
          <w:rFonts w:ascii="Arial" w:cs="Arial" w:eastAsia="Arial" w:hAnsi="Arial"/>
          <w:sz w:val="16"/>
          <w:szCs w:val="16"/>
          <w:color w:val="auto"/>
        </w:rPr>
        <w:t>The disclosures set out in the tables below include financial assets and liabilities that:</w:t>
      </w:r>
    </w:p>
    <w:p>
      <w:pPr>
        <w:spacing w:after="0" w:line="209" w:lineRule="exact"/>
        <w:rPr>
          <w:rFonts w:ascii="Arial" w:cs="Arial" w:eastAsia="Arial" w:hAnsi="Arial"/>
          <w:sz w:val="16"/>
          <w:szCs w:val="16"/>
          <w:color w:val="auto"/>
        </w:rPr>
      </w:pPr>
    </w:p>
    <w:p>
      <w:pPr>
        <w:ind w:left="562" w:hanging="218"/>
        <w:spacing w:after="0"/>
        <w:tabs>
          <w:tab w:leader="none" w:pos="562"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Are offset in the Group’s interim condensed consolidated statement of financial position; or</w:t>
      </w:r>
    </w:p>
    <w:p>
      <w:pPr>
        <w:spacing w:after="0" w:line="23" w:lineRule="exact"/>
        <w:rPr>
          <w:rFonts w:ascii="Arial" w:cs="Arial" w:eastAsia="Arial" w:hAnsi="Arial"/>
          <w:sz w:val="16"/>
          <w:szCs w:val="16"/>
          <w:color w:val="auto"/>
        </w:rPr>
      </w:pPr>
    </w:p>
    <w:p>
      <w:pPr>
        <w:ind w:left="562" w:right="120" w:hanging="218"/>
        <w:spacing w:after="0" w:line="272" w:lineRule="auto"/>
        <w:tabs>
          <w:tab w:leader="none" w:pos="562"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Are subject to an enforceable master netting arrangement or similar agreement that covers similar financial instruments, irrespective of whether they are offset in the interim condensed consolidated statement of financial position.</w:t>
      </w:r>
    </w:p>
    <w:p>
      <w:pPr>
        <w:spacing w:after="0" w:line="161" w:lineRule="exact"/>
        <w:rPr>
          <w:sz w:val="20"/>
          <w:szCs w:val="20"/>
          <w:color w:val="auto"/>
        </w:rPr>
      </w:pPr>
    </w:p>
    <w:p>
      <w:pPr>
        <w:ind w:left="302"/>
        <w:spacing w:after="0" w:line="266" w:lineRule="auto"/>
        <w:rPr>
          <w:sz w:val="20"/>
          <w:szCs w:val="20"/>
          <w:color w:val="auto"/>
        </w:rPr>
      </w:pPr>
      <w:r>
        <w:rPr>
          <w:rFonts w:ascii="Arial" w:cs="Arial" w:eastAsia="Arial" w:hAnsi="Arial"/>
          <w:sz w:val="16"/>
          <w:szCs w:val="16"/>
          <w:color w:val="auto"/>
        </w:rPr>
        <w:t>Similar agreements include derivative clearing agreements, master repurchase agreements, and master securities lending agreements. Similar financial instruments include derivatives, accounts receivable from reverse repurchase agreements and securities borrowing, payables from repurchase agreements and securities lending and other financial assets and liabilities. Financial instruments such as loans and deposits are not disclosed in the tables below because they are not offset in the interim condensed consolidated statement of financial position.</w:t>
      </w:r>
    </w:p>
    <w:p>
      <w:pPr>
        <w:spacing w:after="0" w:line="167" w:lineRule="exact"/>
        <w:rPr>
          <w:sz w:val="20"/>
          <w:szCs w:val="20"/>
          <w:color w:val="auto"/>
        </w:rPr>
      </w:pPr>
    </w:p>
    <w:p>
      <w:pPr>
        <w:ind w:left="302" w:right="100"/>
        <w:spacing w:after="0" w:line="289" w:lineRule="auto"/>
        <w:rPr>
          <w:sz w:val="20"/>
          <w:szCs w:val="20"/>
          <w:color w:val="auto"/>
        </w:rPr>
      </w:pPr>
      <w:r>
        <w:rPr>
          <w:rFonts w:ascii="Arial" w:cs="Arial" w:eastAsia="Arial" w:hAnsi="Arial"/>
          <w:sz w:val="15"/>
          <w:szCs w:val="15"/>
          <w:color w:val="auto"/>
        </w:rPr>
        <w:t>The offsetting framework contract issued by the International Swaps and Derivatives Association Inc. (“ISDA”) and similar master offsetting arrangements do not meet the criteria for offsetting in the interim condensed consolidated statement of financial position, because said agreements were created in order for both parties to have an enforceable offsetting right in cases of default, insolvency or bankruptcy of the Group or the counterparties or following other predetermined events. In addition, the Group and its counterparties do not intend to settle said instruments on a net basis or to realize the assets and settle the liabilities simultaneously.</w:t>
      </w:r>
    </w:p>
    <w:p>
      <w:pPr>
        <w:spacing w:after="0" w:line="152"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Group receives and gives collateral in the form of cash and trading securities in respect of the following transactions:</w:t>
      </w:r>
    </w:p>
    <w:p>
      <w:pPr>
        <w:spacing w:after="0" w:line="209" w:lineRule="exact"/>
        <w:rPr>
          <w:sz w:val="20"/>
          <w:szCs w:val="20"/>
          <w:color w:val="auto"/>
        </w:rPr>
      </w:pPr>
    </w:p>
    <w:p>
      <w:pPr>
        <w:ind w:left="582" w:hanging="287"/>
        <w:spacing w:after="0"/>
        <w:tabs>
          <w:tab w:leader="none" w:pos="58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Derivatives;</w:t>
      </w:r>
    </w:p>
    <w:p>
      <w:pPr>
        <w:spacing w:after="0" w:line="23" w:lineRule="exact"/>
        <w:rPr>
          <w:rFonts w:ascii="Arial" w:cs="Arial" w:eastAsia="Arial" w:hAnsi="Arial"/>
          <w:sz w:val="16"/>
          <w:szCs w:val="16"/>
          <w:color w:val="auto"/>
        </w:rPr>
      </w:pPr>
    </w:p>
    <w:p>
      <w:pPr>
        <w:ind w:left="582" w:hanging="287"/>
        <w:spacing w:after="0"/>
        <w:tabs>
          <w:tab w:leader="none" w:pos="58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Accounts receivable from reverse repurchase agreements and securities borrowing;</w:t>
      </w:r>
    </w:p>
    <w:p>
      <w:pPr>
        <w:spacing w:after="0" w:line="12" w:lineRule="exact"/>
        <w:rPr>
          <w:rFonts w:ascii="Arial" w:cs="Arial" w:eastAsia="Arial" w:hAnsi="Arial"/>
          <w:sz w:val="16"/>
          <w:szCs w:val="16"/>
          <w:color w:val="auto"/>
        </w:rPr>
      </w:pPr>
    </w:p>
    <w:p>
      <w:pPr>
        <w:ind w:left="582" w:hanging="287"/>
        <w:spacing w:after="0"/>
        <w:tabs>
          <w:tab w:leader="none" w:pos="58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Payables from repurchase agreements and securities lending; and</w:t>
      </w:r>
    </w:p>
    <w:p>
      <w:pPr>
        <w:spacing w:after="0" w:line="12" w:lineRule="exact"/>
        <w:rPr>
          <w:rFonts w:ascii="Arial" w:cs="Arial" w:eastAsia="Arial" w:hAnsi="Arial"/>
          <w:sz w:val="16"/>
          <w:szCs w:val="16"/>
          <w:color w:val="auto"/>
        </w:rPr>
      </w:pPr>
    </w:p>
    <w:p>
      <w:pPr>
        <w:ind w:left="582" w:hanging="287"/>
        <w:spacing w:after="0"/>
        <w:tabs>
          <w:tab w:leader="none" w:pos="58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Other financial assets and liabilities</w:t>
      </w:r>
    </w:p>
    <w:p>
      <w:pPr>
        <w:spacing w:after="0" w:line="198" w:lineRule="exact"/>
        <w:rPr>
          <w:sz w:val="20"/>
          <w:szCs w:val="20"/>
          <w:color w:val="auto"/>
        </w:rPr>
      </w:pPr>
    </w:p>
    <w:p>
      <w:pPr>
        <w:ind w:left="302" w:right="40"/>
        <w:spacing w:after="0" w:line="271" w:lineRule="auto"/>
        <w:rPr>
          <w:sz w:val="20"/>
          <w:szCs w:val="20"/>
          <w:color w:val="auto"/>
        </w:rPr>
      </w:pPr>
      <w:r>
        <w:rPr>
          <w:rFonts w:ascii="Arial" w:cs="Arial" w:eastAsia="Arial" w:hAnsi="Arial"/>
          <w:sz w:val="16"/>
          <w:szCs w:val="16"/>
          <w:color w:val="auto"/>
        </w:rPr>
        <w:t>Such collateral adheres to standard industry terms including, when appropriate, an ISDA Credit Support Annex. This means that securities received/given as collateral can be pledged or sold during the term of the transaction but have to be returned on maturity of the transaction. The terms also give each party the right to terminate the related transactions upon the counterparty’s failure to return the respective collateral.</w:t>
      </w:r>
    </w:p>
    <w:p>
      <w:pPr>
        <w:spacing w:after="0" w:line="15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34.2 Market risk -</w:t>
      </w:r>
    </w:p>
    <w:p>
      <w:pPr>
        <w:spacing w:after="0" w:line="213" w:lineRule="exact"/>
        <w:rPr>
          <w:sz w:val="20"/>
          <w:szCs w:val="20"/>
          <w:color w:val="auto"/>
        </w:rPr>
      </w:pPr>
    </w:p>
    <w:p>
      <w:pPr>
        <w:ind w:left="402" w:right="80"/>
        <w:spacing w:after="0" w:line="266" w:lineRule="auto"/>
        <w:rPr>
          <w:sz w:val="20"/>
          <w:szCs w:val="20"/>
          <w:color w:val="auto"/>
        </w:rPr>
      </w:pPr>
      <w:r>
        <w:rPr>
          <w:rFonts w:ascii="Arial" w:cs="Arial" w:eastAsia="Arial" w:hAnsi="Arial"/>
          <w:sz w:val="16"/>
          <w:szCs w:val="16"/>
          <w:color w:val="auto"/>
        </w:rPr>
        <w:t>The Group has exposure to market risk,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volatility of prices such as interest rates, credit spreads, foreign exchange rates and equity prices. Due to the nature of the Group’s current activities, commodity price risk is not applicable.</w:t>
      </w:r>
    </w:p>
    <w:p>
      <w:pPr>
        <w:spacing w:after="0" w:line="167" w:lineRule="exact"/>
        <w:rPr>
          <w:sz w:val="20"/>
          <w:szCs w:val="20"/>
          <w:color w:val="auto"/>
        </w:rPr>
      </w:pPr>
    </w:p>
    <w:p>
      <w:pPr>
        <w:ind w:left="402" w:right="60"/>
        <w:spacing w:after="0" w:line="266" w:lineRule="auto"/>
        <w:rPr>
          <w:sz w:val="20"/>
          <w:szCs w:val="20"/>
          <w:color w:val="auto"/>
        </w:rPr>
      </w:pPr>
      <w:r>
        <w:rPr>
          <w:rFonts w:ascii="Arial" w:cs="Arial" w:eastAsia="Arial" w:hAnsi="Arial"/>
          <w:sz w:val="16"/>
          <w:szCs w:val="16"/>
          <w:color w:val="auto"/>
        </w:rPr>
        <w:t>The Group separates exposures to market risk in two groups: (i) those that arise from value fluctuation of trading portfolios recognized at fair value through profit or loss due to movements of market rates or prices (Trading Book) and (ii) those that arise from changes in the structural positions of non-trading portfolios due to movements of the interest rates, prices and foreign exchange ratios (Banking Book) and that are recorded at amortized cost and at fair value with changes in other comprehensive income, this is due to movements in interest rates, prices and currency exchange rates.</w:t>
      </w:r>
    </w:p>
    <w:p>
      <w:pPr>
        <w:spacing w:after="0" w:line="36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1085" w:right="339" w:bottom="1440" w:gutter="0" w:footer="0" w:header="0"/>
        </w:sectPr>
      </w:pPr>
    </w:p>
    <w:bookmarkStart w:id="95" w:name="page96"/>
    <w:bookmarkEnd w:id="95"/>
    <w:p>
      <w:pPr>
        <w:ind w:left="58" w:right="260"/>
        <w:spacing w:after="0" w:line="287" w:lineRule="auto"/>
        <w:rPr>
          <w:sz w:val="20"/>
          <w:szCs w:val="20"/>
          <w:color w:val="auto"/>
        </w:rPr>
      </w:pPr>
      <w:r>
        <w:rPr>
          <w:rFonts w:ascii="Arial" w:cs="Arial" w:eastAsia="Arial" w:hAnsi="Arial"/>
          <w:sz w:val="16"/>
          <w:szCs w:val="16"/>
          <w:color w:val="auto"/>
        </w:rPr>
        <w:t>The risks that trading portfolios face are managed through Value at Risk (VaR) historical simulation techniques; while non-trading portfolios (Banking Book) are monitored using rate sensitivity metrics, which are a part of Asset and Liability Management (ALM).</w:t>
      </w:r>
    </w:p>
    <w:p>
      <w:pPr>
        <w:spacing w:after="0" w:line="150" w:lineRule="exact"/>
        <w:rPr>
          <w:sz w:val="20"/>
          <w:szCs w:val="20"/>
          <w:color w:val="auto"/>
        </w:rPr>
      </w:pPr>
    </w:p>
    <w:p>
      <w:pPr>
        <w:ind w:left="298" w:hanging="298"/>
        <w:spacing w:after="0"/>
        <w:tabs>
          <w:tab w:leader="none" w:pos="29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Trading Book -</w:t>
      </w:r>
    </w:p>
    <w:p>
      <w:pPr>
        <w:spacing w:after="0" w:line="209" w:lineRule="exact"/>
        <w:rPr>
          <w:sz w:val="20"/>
          <w:szCs w:val="20"/>
          <w:color w:val="auto"/>
        </w:rPr>
      </w:pPr>
    </w:p>
    <w:p>
      <w:pPr>
        <w:ind w:left="238" w:right="60"/>
        <w:spacing w:after="0" w:line="271" w:lineRule="auto"/>
        <w:rPr>
          <w:sz w:val="20"/>
          <w:szCs w:val="20"/>
          <w:color w:val="auto"/>
        </w:rPr>
      </w:pPr>
      <w:r>
        <w:rPr>
          <w:rFonts w:ascii="Arial" w:cs="Arial" w:eastAsia="Arial" w:hAnsi="Arial"/>
          <w:sz w:val="16"/>
          <w:szCs w:val="16"/>
          <w:color w:val="auto"/>
        </w:rPr>
        <w:t>The trading book is characterized for having liquid positions in stocks, bonds, foreign currencies and derivatives, arising from market-making transactions where the Group acts as principal with the customers or with the market. This portfolio includes investments and derivatives classified by Management as held for trading.</w:t>
      </w:r>
    </w:p>
    <w:p>
      <w:pPr>
        <w:spacing w:after="0" w:line="163" w:lineRule="exact"/>
        <w:rPr>
          <w:sz w:val="20"/>
          <w:szCs w:val="20"/>
          <w:color w:val="auto"/>
        </w:rPr>
      </w:pPr>
    </w:p>
    <w:p>
      <w:pPr>
        <w:ind w:left="578" w:hanging="344"/>
        <w:spacing w:after="0"/>
        <w:tabs>
          <w:tab w:leader="none" w:pos="57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Value at Risk (VaR) -</w:t>
      </w:r>
    </w:p>
    <w:p>
      <w:pPr>
        <w:spacing w:after="0" w:line="209" w:lineRule="exact"/>
        <w:rPr>
          <w:rFonts w:ascii="Arial" w:cs="Arial" w:eastAsia="Arial" w:hAnsi="Arial"/>
          <w:sz w:val="16"/>
          <w:szCs w:val="16"/>
          <w:color w:val="auto"/>
        </w:rPr>
      </w:pPr>
    </w:p>
    <w:p>
      <w:pPr>
        <w:ind w:left="578"/>
        <w:spacing w:after="0" w:line="287" w:lineRule="auto"/>
        <w:rPr>
          <w:rFonts w:ascii="Arial" w:cs="Arial" w:eastAsia="Arial" w:hAnsi="Arial"/>
          <w:sz w:val="16"/>
          <w:szCs w:val="16"/>
          <w:color w:val="auto"/>
        </w:rPr>
      </w:pPr>
      <w:r>
        <w:rPr>
          <w:rFonts w:ascii="Arial" w:cs="Arial" w:eastAsia="Arial" w:hAnsi="Arial"/>
          <w:sz w:val="16"/>
          <w:szCs w:val="16"/>
          <w:color w:val="auto"/>
        </w:rPr>
        <w:t>The Group applies the VaR approach to its trading portfolio to estimate the market risk of the main positions held and the maximum losses that are expected, based upon a number of assumptions for various changes in market conditions and considering the risk appetite of the subsidiary.</w:t>
      </w:r>
    </w:p>
    <w:p>
      <w:pPr>
        <w:spacing w:after="0" w:line="149" w:lineRule="exact"/>
        <w:rPr>
          <w:rFonts w:ascii="Arial" w:cs="Arial" w:eastAsia="Arial" w:hAnsi="Arial"/>
          <w:sz w:val="16"/>
          <w:szCs w:val="16"/>
          <w:color w:val="auto"/>
        </w:rPr>
      </w:pPr>
    </w:p>
    <w:p>
      <w:pPr>
        <w:ind w:left="578"/>
        <w:spacing w:after="0"/>
        <w:rPr>
          <w:rFonts w:ascii="Arial" w:cs="Arial" w:eastAsia="Arial" w:hAnsi="Arial"/>
          <w:sz w:val="16"/>
          <w:szCs w:val="16"/>
          <w:color w:val="auto"/>
        </w:rPr>
      </w:pPr>
      <w:r>
        <w:rPr>
          <w:rFonts w:ascii="Arial" w:cs="Arial" w:eastAsia="Arial" w:hAnsi="Arial"/>
          <w:sz w:val="16"/>
          <w:szCs w:val="16"/>
          <w:color w:val="auto"/>
        </w:rPr>
        <w:t>Daily calculation of VaR is a statistically-based estimate of the maximum potential loss on the current portfolio from adverse market movements.</w:t>
      </w:r>
    </w:p>
    <w:p>
      <w:pPr>
        <w:spacing w:after="0" w:line="209" w:lineRule="exact"/>
        <w:rPr>
          <w:rFonts w:ascii="Arial" w:cs="Arial" w:eastAsia="Arial" w:hAnsi="Arial"/>
          <w:sz w:val="16"/>
          <w:szCs w:val="16"/>
          <w:color w:val="auto"/>
        </w:rPr>
      </w:pPr>
    </w:p>
    <w:p>
      <w:pPr>
        <w:ind w:left="578" w:right="100"/>
        <w:spacing w:after="0" w:line="271" w:lineRule="auto"/>
        <w:rPr>
          <w:rFonts w:ascii="Arial" w:cs="Arial" w:eastAsia="Arial" w:hAnsi="Arial"/>
          <w:sz w:val="16"/>
          <w:szCs w:val="16"/>
          <w:color w:val="auto"/>
        </w:rPr>
      </w:pPr>
      <w:r>
        <w:rPr>
          <w:rFonts w:ascii="Arial" w:cs="Arial" w:eastAsia="Arial" w:hAnsi="Arial"/>
          <w:sz w:val="16"/>
          <w:szCs w:val="16"/>
          <w:color w:val="auto"/>
        </w:rPr>
        <w:t>VaR expresses the “maximum” amount the Group might lose, but only to a certain level of confidence (99 percent). There is therefore a specified statistical probability (1 percent) that actual loss could be greater than the VaR estimate. The VaR model assumes a certain “holding period” until positions can be closed (1 - 10 days).</w:t>
      </w:r>
    </w:p>
    <w:p>
      <w:pPr>
        <w:spacing w:after="0" w:line="162" w:lineRule="exact"/>
        <w:rPr>
          <w:rFonts w:ascii="Arial" w:cs="Arial" w:eastAsia="Arial" w:hAnsi="Arial"/>
          <w:sz w:val="16"/>
          <w:szCs w:val="16"/>
          <w:color w:val="auto"/>
        </w:rPr>
      </w:pPr>
    </w:p>
    <w:p>
      <w:pPr>
        <w:ind w:left="578" w:right="180"/>
        <w:spacing w:after="0" w:line="266" w:lineRule="auto"/>
        <w:rPr>
          <w:rFonts w:ascii="Arial" w:cs="Arial" w:eastAsia="Arial" w:hAnsi="Arial"/>
          <w:sz w:val="16"/>
          <w:szCs w:val="16"/>
          <w:color w:val="auto"/>
        </w:rPr>
      </w:pPr>
      <w:r>
        <w:rPr>
          <w:rFonts w:ascii="Arial" w:cs="Arial" w:eastAsia="Arial" w:hAnsi="Arial"/>
          <w:sz w:val="16"/>
          <w:szCs w:val="16"/>
          <w:color w:val="auto"/>
        </w:rPr>
        <w:t>The time horizon used to calculate VaR is one day; however, the one-day VAR is amplified to a 10-day time frame and calculated multiplying the one-day VaR by the square root of 10. This adjustment will be accurate only if the changes in the portfolio in the following days have a normal distribution independent and identically distributed; because of that, the result is multiplied by a non-normality adjustment factor. The limits and consumptions of the VaR are established on the basis of the risk appetite and the trading strategies of each subsidiary.</w:t>
      </w:r>
    </w:p>
    <w:p>
      <w:pPr>
        <w:spacing w:after="0" w:line="166" w:lineRule="exact"/>
        <w:rPr>
          <w:rFonts w:ascii="Arial" w:cs="Arial" w:eastAsia="Arial" w:hAnsi="Arial"/>
          <w:sz w:val="16"/>
          <w:szCs w:val="16"/>
          <w:color w:val="auto"/>
        </w:rPr>
      </w:pPr>
    </w:p>
    <w:p>
      <w:pPr>
        <w:ind w:left="578" w:right="60"/>
        <w:spacing w:after="0" w:line="271" w:lineRule="auto"/>
        <w:rPr>
          <w:rFonts w:ascii="Arial" w:cs="Arial" w:eastAsia="Arial" w:hAnsi="Arial"/>
          <w:sz w:val="16"/>
          <w:szCs w:val="16"/>
          <w:color w:val="auto"/>
        </w:rPr>
      </w:pPr>
      <w:r>
        <w:rPr>
          <w:rFonts w:ascii="Arial" w:cs="Arial" w:eastAsia="Arial" w:hAnsi="Arial"/>
          <w:sz w:val="16"/>
          <w:szCs w:val="16"/>
          <w:color w:val="auto"/>
        </w:rPr>
        <w:t>The assessment of portfolio movements has been based on annual historical information and 110 market risk factors, which are detailed below; 18 market curves, 70 stock prices, 18 mutual fund values, 3 series of volatility and 1 survival probability curves. The Group directly applies these historical changes in rates to each position in its current portfolio (method known as historical simulation).</w:t>
      </w:r>
    </w:p>
    <w:p>
      <w:pPr>
        <w:spacing w:after="0" w:line="162" w:lineRule="exact"/>
        <w:rPr>
          <w:rFonts w:ascii="Arial" w:cs="Arial" w:eastAsia="Arial" w:hAnsi="Arial"/>
          <w:sz w:val="16"/>
          <w:szCs w:val="16"/>
          <w:color w:val="auto"/>
        </w:rPr>
      </w:pPr>
    </w:p>
    <w:p>
      <w:pPr>
        <w:ind w:left="578" w:right="20"/>
        <w:spacing w:after="0" w:line="287" w:lineRule="auto"/>
        <w:rPr>
          <w:rFonts w:ascii="Arial" w:cs="Arial" w:eastAsia="Arial" w:hAnsi="Arial"/>
          <w:sz w:val="16"/>
          <w:szCs w:val="16"/>
          <w:color w:val="auto"/>
        </w:rPr>
      </w:pPr>
      <w:r>
        <w:rPr>
          <w:rFonts w:ascii="Arial" w:cs="Arial" w:eastAsia="Arial" w:hAnsi="Arial"/>
          <w:sz w:val="16"/>
          <w:szCs w:val="16"/>
          <w:color w:val="auto"/>
        </w:rPr>
        <w:t>The Group Management considers that the market risk factors, incorporated in their VaR model, are adequate to measure the market risk to which its trading portfolio is exposed.</w:t>
      </w:r>
    </w:p>
    <w:p>
      <w:pPr>
        <w:spacing w:after="0" w:line="149" w:lineRule="exact"/>
        <w:rPr>
          <w:rFonts w:ascii="Arial" w:cs="Arial" w:eastAsia="Arial" w:hAnsi="Arial"/>
          <w:sz w:val="16"/>
          <w:szCs w:val="16"/>
          <w:color w:val="auto"/>
        </w:rPr>
      </w:pPr>
    </w:p>
    <w:p>
      <w:pPr>
        <w:ind w:left="578" w:right="20"/>
        <w:spacing w:after="0" w:line="287" w:lineRule="auto"/>
        <w:rPr>
          <w:rFonts w:ascii="Arial" w:cs="Arial" w:eastAsia="Arial" w:hAnsi="Arial"/>
          <w:sz w:val="16"/>
          <w:szCs w:val="16"/>
          <w:color w:val="auto"/>
        </w:rPr>
      </w:pPr>
      <w:r>
        <w:rPr>
          <w:rFonts w:ascii="Arial" w:cs="Arial" w:eastAsia="Arial" w:hAnsi="Arial"/>
          <w:sz w:val="16"/>
          <w:szCs w:val="16"/>
          <w:color w:val="auto"/>
        </w:rPr>
        <w:t>The use of this approach does not prevent losses outside of these limits in the event of more significant market movements. Losses exceeding the VaR figure may occur, on average under normal market conditions, not more than once every hundred days.</w:t>
      </w:r>
    </w:p>
    <w:p>
      <w:pPr>
        <w:spacing w:after="0" w:line="149" w:lineRule="exact"/>
        <w:rPr>
          <w:rFonts w:ascii="Arial" w:cs="Arial" w:eastAsia="Arial" w:hAnsi="Arial"/>
          <w:sz w:val="16"/>
          <w:szCs w:val="16"/>
          <w:color w:val="auto"/>
        </w:rPr>
      </w:pPr>
    </w:p>
    <w:p>
      <w:pPr>
        <w:ind w:left="578" w:right="200"/>
        <w:spacing w:after="0" w:line="271" w:lineRule="auto"/>
        <w:rPr>
          <w:rFonts w:ascii="Arial" w:cs="Arial" w:eastAsia="Arial" w:hAnsi="Arial"/>
          <w:sz w:val="16"/>
          <w:szCs w:val="16"/>
          <w:color w:val="auto"/>
        </w:rPr>
      </w:pPr>
      <w:r>
        <w:rPr>
          <w:rFonts w:ascii="Arial" w:cs="Arial" w:eastAsia="Arial" w:hAnsi="Arial"/>
          <w:sz w:val="16"/>
          <w:szCs w:val="16"/>
          <w:color w:val="auto"/>
        </w:rPr>
        <w:t>VaR limits have been established to control and keep track of all the risks taken. These risks arise from the size of the positions and/or the volatility of the risk factors embedded in each financial instrument. Regular reports are prepared for the Treasury Risk Committee and ALM, the Risk Management Committee and Senior Management.</w:t>
      </w:r>
    </w:p>
    <w:p>
      <w:pPr>
        <w:spacing w:after="0" w:line="162" w:lineRule="exact"/>
        <w:rPr>
          <w:rFonts w:ascii="Arial" w:cs="Arial" w:eastAsia="Arial" w:hAnsi="Arial"/>
          <w:sz w:val="16"/>
          <w:szCs w:val="16"/>
          <w:color w:val="auto"/>
        </w:rPr>
      </w:pPr>
    </w:p>
    <w:p>
      <w:pPr>
        <w:ind w:left="578" w:right="40"/>
        <w:spacing w:after="0" w:line="271" w:lineRule="auto"/>
        <w:rPr>
          <w:rFonts w:ascii="Arial" w:cs="Arial" w:eastAsia="Arial" w:hAnsi="Arial"/>
          <w:sz w:val="16"/>
          <w:szCs w:val="16"/>
          <w:color w:val="auto"/>
        </w:rPr>
      </w:pPr>
      <w:r>
        <w:rPr>
          <w:rFonts w:ascii="Arial" w:cs="Arial" w:eastAsia="Arial" w:hAnsi="Arial"/>
          <w:sz w:val="16"/>
          <w:szCs w:val="16"/>
          <w:color w:val="auto"/>
        </w:rPr>
        <w:t>VaR results are used to generate economic capital estimates by market risk, which are periodically monitored and are part of the overall risk appetite of each subsidiary. Furthermore, at Group level, there is also a limit to the risk appetite of the trading portfolio, which is monitored and informed to the Treasury Risks and ALM Credicorp Committee.</w:t>
      </w:r>
    </w:p>
    <w:p>
      <w:pPr>
        <w:spacing w:after="0" w:line="359" w:lineRule="exact"/>
        <w:rPr>
          <w:rFonts w:ascii="Arial" w:cs="Arial" w:eastAsia="Arial" w:hAnsi="Arial"/>
          <w:sz w:val="16"/>
          <w:szCs w:val="16"/>
          <w:color w:val="auto"/>
        </w:rPr>
      </w:pPr>
    </w:p>
    <w:p>
      <w:pPr>
        <w:ind w:left="5198" w:hanging="93"/>
        <w:spacing w:after="0"/>
        <w:tabs>
          <w:tab w:leader="none" w:pos="5198" w:val="left"/>
        </w:tabs>
        <w:numPr>
          <w:ilvl w:val="1"/>
          <w:numId w:val="113"/>
        </w:numPr>
        <w:rPr>
          <w:rFonts w:ascii="Arial" w:cs="Arial" w:eastAsia="Arial" w:hAnsi="Arial"/>
          <w:sz w:val="16"/>
          <w:szCs w:val="16"/>
          <w:color w:val="auto"/>
        </w:rPr>
      </w:pPr>
      <w:r>
        <w:rPr>
          <w:rFonts w:ascii="Arial" w:cs="Arial" w:eastAsia="Arial" w:hAnsi="Arial"/>
          <w:sz w:val="16"/>
          <w:szCs w:val="16"/>
          <w:color w:val="auto"/>
        </w:rPr>
        <w:t>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15875</wp:posOffset>
            </wp:positionV>
            <wp:extent cx="714438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858"/>
          </w:cols>
          <w:pgMar w:left="662" w:top="839" w:right="379" w:bottom="1440" w:gutter="0" w:footer="0" w:header="0"/>
        </w:sectPr>
      </w:pPr>
    </w:p>
    <w:bookmarkStart w:id="96" w:name="page97"/>
    <w:bookmarkEnd w:id="96"/>
    <w:p>
      <w:pPr>
        <w:ind w:left="580"/>
        <w:spacing w:after="0"/>
        <w:rPr>
          <w:sz w:val="20"/>
          <w:szCs w:val="20"/>
          <w:color w:val="auto"/>
        </w:rPr>
      </w:pPr>
      <w:r>
        <w:rPr>
          <w:rFonts w:ascii="Arial" w:cs="Arial" w:eastAsia="Arial" w:hAnsi="Arial"/>
          <w:sz w:val="14"/>
          <w:szCs w:val="14"/>
          <w:color w:val="auto"/>
        </w:rPr>
        <w:t>In VaR calculation, the effects of the exchange rate are not included because said effects are measured in the net monetary position, see note 34.2 (b)(ii).</w:t>
      </w:r>
    </w:p>
    <w:p>
      <w:pPr>
        <w:spacing w:after="0" w:line="232" w:lineRule="exact"/>
        <w:rPr>
          <w:sz w:val="20"/>
          <w:szCs w:val="20"/>
          <w:color w:val="auto"/>
        </w:rPr>
      </w:pPr>
    </w:p>
    <w:p>
      <w:pPr>
        <w:jc w:val="both"/>
        <w:ind w:left="580" w:right="320"/>
        <w:spacing w:after="0" w:line="271" w:lineRule="auto"/>
        <w:rPr>
          <w:sz w:val="20"/>
          <w:szCs w:val="20"/>
          <w:color w:val="auto"/>
        </w:rPr>
      </w:pPr>
      <w:r>
        <w:rPr>
          <w:rFonts w:ascii="Arial" w:cs="Arial" w:eastAsia="Arial" w:hAnsi="Arial"/>
          <w:sz w:val="16"/>
          <w:szCs w:val="16"/>
          <w:color w:val="auto"/>
        </w:rPr>
        <w:t>The Group's VaR showed an increase at March 31, 2020, by Interest Rate and Price effect due to the increase in the Fixed Income position, as well as an increase in the volatility of interest rates and equities prices caused by the COVID-19 pandemic. The VaR remains contained within the limits of the risk appetite established by the Bank's Risk Management of each subsidiary.</w:t>
      </w:r>
    </w:p>
    <w:p>
      <w:pPr>
        <w:sectPr>
          <w:pgSz w:w="11900" w:h="16838" w:orient="portrait"/>
          <w:cols w:equalWidth="0" w:num="1">
            <w:col w:w="10900"/>
          </w:cols>
          <w:pgMar w:left="660" w:top="839" w:right="339" w:bottom="1440" w:gutter="0" w:footer="0" w:header="0"/>
        </w:sectPr>
      </w:pPr>
    </w:p>
    <w:p>
      <w:pPr>
        <w:spacing w:after="0" w:line="16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As of March 31, 2020 and December 2019, the Group’s VaR by risk type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-107950</wp:posOffset>
            </wp:positionV>
            <wp:extent cx="5709285" cy="1250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09285" cy="125095"/>
                    </a:xfrm>
                    <a:prstGeom prst="rect">
                      <a:avLst/>
                    </a:prstGeom>
                    <a:noFill/>
                  </pic:spPr>
                </pic:pic>
              </a:graphicData>
            </a:graphic>
          </wp:anchor>
        </w:drawing>
      </w:r>
    </w:p>
    <w:p>
      <w:pPr>
        <w:spacing w:after="0" w:line="4" w:lineRule="exact"/>
        <w:rPr>
          <w:sz w:val="20"/>
          <w:szCs w:val="20"/>
          <w:color w:val="auto"/>
        </w:rPr>
      </w:pPr>
    </w:p>
    <w:p>
      <w:pPr>
        <w:ind w:left="780"/>
        <w:spacing w:after="0"/>
        <w:rPr>
          <w:sz w:val="20"/>
          <w:szCs w:val="20"/>
          <w:color w:val="auto"/>
        </w:rPr>
      </w:pPr>
      <w:r>
        <w:rPr>
          <w:rFonts w:ascii="Arial" w:cs="Arial" w:eastAsia="Arial" w:hAnsi="Arial"/>
          <w:sz w:val="16"/>
          <w:szCs w:val="16"/>
          <w:color w:val="auto"/>
        </w:rPr>
        <w:t>Price risk</w:t>
      </w:r>
    </w:p>
    <w:p>
      <w:pPr>
        <w:spacing w:after="0" w:line="1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Volatility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-115570</wp:posOffset>
            </wp:positionV>
            <wp:extent cx="5709285" cy="1250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09285" cy="125095"/>
                    </a:xfrm>
                    <a:prstGeom prst="rect">
                      <a:avLst/>
                    </a:prstGeom>
                    <a:noFill/>
                  </pic:spPr>
                </pic:pic>
              </a:graphicData>
            </a:graphic>
          </wp:anchor>
        </w:drawing>
      </w:r>
    </w:p>
    <w:p>
      <w:pPr>
        <w:ind w:left="780"/>
        <w:spacing w:after="0"/>
        <w:rPr>
          <w:sz w:val="20"/>
          <w:szCs w:val="20"/>
          <w:color w:val="auto"/>
        </w:rPr>
      </w:pPr>
      <w:r>
        <w:rPr>
          <w:rFonts w:ascii="Arial" w:cs="Arial" w:eastAsia="Arial" w:hAnsi="Arial"/>
          <w:sz w:val="16"/>
          <w:szCs w:val="16"/>
          <w:color w:val="auto"/>
        </w:rPr>
        <w:t>Diversification effect</w:t>
      </w:r>
    </w:p>
    <w:p>
      <w:pPr>
        <w:spacing w:after="0" w:line="1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Consolidated VaR by type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-107950</wp:posOffset>
            </wp:positionV>
            <wp:extent cx="5709285" cy="147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09285" cy="147955"/>
                    </a:xfrm>
                    <a:prstGeom prst="rect">
                      <a:avLst/>
                    </a:prstGeom>
                    <a:noFill/>
                  </pic:spPr>
                </pic:pic>
              </a:graphicData>
            </a:graphic>
          </wp:anchor>
        </w:drawing>
      </w:r>
    </w:p>
    <w:p>
      <w:pPr>
        <w:spacing w:after="0" w:line="2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VaR calculation, financial instruments from the trading book were taken.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As of</w:t>
            </w:r>
          </w:p>
        </w:tc>
        <w:tc>
          <w:tcPr>
            <w:tcW w:w="10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9"/>
              </w:rPr>
              <w:t>As of</w:t>
            </w:r>
          </w:p>
        </w:tc>
      </w:tr>
      <w:tr>
        <w:trPr>
          <w:trHeight w:val="197"/>
        </w:trPr>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March 31,</w:t>
            </w:r>
          </w:p>
        </w:tc>
        <w:tc>
          <w:tcPr>
            <w:tcW w:w="10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2"/>
              </w:rPr>
              <w:t>December 31,</w:t>
            </w:r>
          </w:p>
        </w:tc>
      </w:tr>
      <w:tr>
        <w:trPr>
          <w:trHeight w:val="212"/>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7"/>
        </w:trPr>
        <w:tc>
          <w:tcPr>
            <w:tcW w:w="980" w:type="dxa"/>
            <w:vAlign w:val="bottom"/>
          </w:tcPr>
          <w:p>
            <w:pPr>
              <w:jc w:val="right"/>
              <w:ind w:right="118"/>
              <w:spacing w:after="0" w:line="178" w:lineRule="exact"/>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5"/>
                <w:szCs w:val="15"/>
                <w:color w:val="auto"/>
              </w:rPr>
            </w:pPr>
          </w:p>
        </w:tc>
        <w:tc>
          <w:tcPr>
            <w:tcW w:w="1000" w:type="dxa"/>
            <w:vAlign w:val="bottom"/>
          </w:tcPr>
          <w:p>
            <w:pPr>
              <w:jc w:val="right"/>
              <w:ind w:right="138"/>
              <w:spacing w:after="0" w:line="178" w:lineRule="exact"/>
              <w:rPr>
                <w:sz w:val="20"/>
                <w:szCs w:val="20"/>
                <w:color w:val="auto"/>
              </w:rPr>
            </w:pPr>
            <w:r>
              <w:rPr>
                <w:rFonts w:ascii="Arial" w:cs="Arial" w:eastAsia="Arial" w:hAnsi="Arial"/>
                <w:sz w:val="16"/>
                <w:szCs w:val="16"/>
                <w:b w:val="1"/>
                <w:bCs w:val="1"/>
                <w:color w:val="auto"/>
              </w:rPr>
              <w:t>S/(000)</w:t>
            </w:r>
          </w:p>
        </w:tc>
        <w:tc>
          <w:tcPr>
            <w:tcW w:w="40" w:type="dxa"/>
            <w:vAlign w:val="bottom"/>
            <w:gridSpan w:val="2"/>
          </w:tcPr>
          <w:p>
            <w:pPr>
              <w:spacing w:after="0"/>
              <w:rPr>
                <w:sz w:val="15"/>
                <w:szCs w:val="15"/>
                <w:color w:val="auto"/>
              </w:rPr>
            </w:pPr>
          </w:p>
        </w:tc>
      </w:tr>
      <w:tr>
        <w:trPr>
          <w:trHeight w:val="197"/>
        </w:trPr>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94,647</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9,274</w:t>
            </w:r>
          </w:p>
        </w:tc>
        <w:tc>
          <w:tcPr>
            <w:tcW w:w="20" w:type="dxa"/>
            <w:vAlign w:val="bottom"/>
          </w:tcPr>
          <w:p>
            <w:pPr>
              <w:spacing w:after="0"/>
              <w:rPr>
                <w:sz w:val="17"/>
                <w:szCs w:val="17"/>
                <w:color w:val="auto"/>
              </w:rPr>
            </w:pPr>
          </w:p>
        </w:tc>
      </w:tr>
      <w:tr>
        <w:trPr>
          <w:trHeight w:val="197"/>
        </w:trPr>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14,711</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7,809</w:t>
            </w:r>
          </w:p>
        </w:tc>
        <w:tc>
          <w:tcPr>
            <w:tcW w:w="20" w:type="dxa"/>
            <w:vAlign w:val="bottom"/>
          </w:tcPr>
          <w:p>
            <w:pPr>
              <w:spacing w:after="0"/>
              <w:rPr>
                <w:sz w:val="17"/>
                <w:szCs w:val="17"/>
                <w:color w:val="auto"/>
              </w:rPr>
            </w:pPr>
          </w:p>
        </w:tc>
      </w:tr>
      <w:tr>
        <w:trPr>
          <w:trHeight w:val="197"/>
        </w:trPr>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2,052</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463</w:t>
            </w:r>
          </w:p>
        </w:tc>
        <w:tc>
          <w:tcPr>
            <w:tcW w:w="20" w:type="dxa"/>
            <w:vAlign w:val="bottom"/>
          </w:tcPr>
          <w:p>
            <w:pPr>
              <w:spacing w:after="0"/>
              <w:rPr>
                <w:sz w:val="17"/>
                <w:szCs w:val="17"/>
                <w:color w:val="auto"/>
              </w:rPr>
            </w:pPr>
          </w:p>
        </w:tc>
      </w:tr>
      <w:tr>
        <w:trPr>
          <w:trHeight w:val="221"/>
        </w:trPr>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(26,094)</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(6,245)</w:t>
            </w:r>
          </w:p>
        </w:tc>
      </w:tr>
      <w:tr>
        <w:trPr>
          <w:trHeight w:val="201"/>
        </w:trPr>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85,316</w:t>
            </w:r>
          </w:p>
        </w:tc>
        <w:tc>
          <w:tcPr>
            <w:tcW w:w="180" w:type="dxa"/>
            <w:vAlign w:val="bottom"/>
          </w:tcPr>
          <w:p>
            <w:pPr>
              <w:spacing w:after="0"/>
              <w:rPr>
                <w:sz w:val="17"/>
                <w:szCs w:val="17"/>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11,301</w:t>
            </w:r>
          </w:p>
        </w:tc>
        <w:tc>
          <w:tcPr>
            <w:tcW w:w="20" w:type="dxa"/>
            <w:vAlign w:val="bottom"/>
          </w:tcPr>
          <w:p>
            <w:pPr>
              <w:spacing w:after="0"/>
              <w:rPr>
                <w:sz w:val="17"/>
                <w:szCs w:val="17"/>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68" w:lineRule="exact"/>
        <w:rPr>
          <w:sz w:val="20"/>
          <w:szCs w:val="20"/>
          <w:color w:val="auto"/>
        </w:rPr>
      </w:pPr>
    </w:p>
    <w:p>
      <w:pPr>
        <w:sectPr>
          <w:pgSz w:w="11900" w:h="16838" w:orient="portrait"/>
          <w:cols w:equalWidth="0" w:num="2">
            <w:col w:w="6820" w:space="720"/>
            <w:col w:w="3360"/>
          </w:cols>
          <w:pgMar w:left="660" w:top="839" w:right="339" w:bottom="1440" w:gutter="0" w:footer="0" w:header="0"/>
          <w:type w:val="continuous"/>
        </w:sectPr>
      </w:pPr>
    </w:p>
    <w:p>
      <w:pPr>
        <w:spacing w:after="0" w:line="9" w:lineRule="exact"/>
        <w:rPr>
          <w:sz w:val="20"/>
          <w:szCs w:val="20"/>
          <w:color w:val="auto"/>
        </w:rPr>
      </w:pPr>
    </w:p>
    <w:p>
      <w:pPr>
        <w:ind w:left="580" w:right="220"/>
        <w:spacing w:after="0" w:line="322" w:lineRule="auto"/>
        <w:rPr>
          <w:sz w:val="20"/>
          <w:szCs w:val="20"/>
          <w:color w:val="auto"/>
        </w:rPr>
      </w:pPr>
      <w:r>
        <w:rPr>
          <w:rFonts w:ascii="Arial" w:cs="Arial" w:eastAsia="Arial" w:hAnsi="Arial"/>
          <w:sz w:val="15"/>
          <w:szCs w:val="15"/>
          <w:color w:val="auto"/>
        </w:rPr>
        <w:t>On the other hand, the instruments recorded as fair values through profit or loss are not part of the selling business model and are considered as part of the sensitivity analysis of rates in the next section. See the chart of sensitivity of earnings at risk, net economic value and price sensitivity.</w:t>
      </w:r>
    </w:p>
    <w:p>
      <w:pPr>
        <w:spacing w:after="0" w:line="127"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5"/>
          <w:szCs w:val="15"/>
          <w:color w:val="auto"/>
        </w:rPr>
        <w:t>Banking Book -</w:t>
      </w:r>
    </w:p>
    <w:p>
      <w:pPr>
        <w:spacing w:after="0" w:line="209" w:lineRule="exact"/>
        <w:rPr>
          <w:sz w:val="20"/>
          <w:szCs w:val="20"/>
          <w:color w:val="auto"/>
        </w:rPr>
      </w:pPr>
    </w:p>
    <w:p>
      <w:pPr>
        <w:ind w:left="240"/>
        <w:spacing w:after="0" w:line="287" w:lineRule="auto"/>
        <w:rPr>
          <w:sz w:val="20"/>
          <w:szCs w:val="20"/>
          <w:color w:val="auto"/>
        </w:rPr>
      </w:pPr>
      <w:r>
        <w:rPr>
          <w:rFonts w:ascii="Arial" w:cs="Arial" w:eastAsia="Arial" w:hAnsi="Arial"/>
          <w:sz w:val="16"/>
          <w:szCs w:val="16"/>
          <w:color w:val="auto"/>
        </w:rPr>
        <w:t>Non-trading portfolios which comprise the Banking Book are exposed to different risks, given that they are sensitive to market rate movements, which could bring about a deterioration in the value of assets compared to liabilities and hence to a reduction of their net worth.</w:t>
      </w:r>
    </w:p>
    <w:p>
      <w:pPr>
        <w:spacing w:after="0" w:line="150" w:lineRule="exact"/>
        <w:rPr>
          <w:sz w:val="20"/>
          <w:szCs w:val="20"/>
          <w:color w:val="auto"/>
        </w:rPr>
      </w:pPr>
    </w:p>
    <w:p>
      <w:pPr>
        <w:ind w:left="460" w:hanging="224"/>
        <w:spacing w:after="0"/>
        <w:tabs>
          <w:tab w:leader="none" w:pos="4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Interest rate risk -</w:t>
      </w:r>
    </w:p>
    <w:p>
      <w:pPr>
        <w:spacing w:after="0" w:line="209" w:lineRule="exact"/>
        <w:rPr>
          <w:rFonts w:ascii="Arial" w:cs="Arial" w:eastAsia="Arial" w:hAnsi="Arial"/>
          <w:sz w:val="16"/>
          <w:szCs w:val="16"/>
          <w:color w:val="auto"/>
        </w:rPr>
      </w:pPr>
    </w:p>
    <w:p>
      <w:pPr>
        <w:jc w:val="both"/>
        <w:ind w:left="480" w:right="200"/>
        <w:spacing w:after="0" w:line="271" w:lineRule="auto"/>
        <w:rPr>
          <w:rFonts w:ascii="Arial" w:cs="Arial" w:eastAsia="Arial" w:hAnsi="Arial"/>
          <w:sz w:val="16"/>
          <w:szCs w:val="16"/>
          <w:color w:val="auto"/>
        </w:rPr>
      </w:pPr>
      <w:r>
        <w:rPr>
          <w:rFonts w:ascii="Arial" w:cs="Arial" w:eastAsia="Arial" w:hAnsi="Arial"/>
          <w:sz w:val="16"/>
          <w:szCs w:val="16"/>
          <w:color w:val="auto"/>
        </w:rPr>
        <w:t>The Banking Book-related interest rate risk arises from eventual changes in interest rates that may adversely affect the expected gains (risk gains) or market value of financial assets and liabilities reported on the balance sheet (net economic value). The Group assumes the exposure to the interest rate risk that may affect their fair value as well as the cash flow risk of future assets and liabilities.</w:t>
      </w:r>
    </w:p>
    <w:p>
      <w:pPr>
        <w:spacing w:after="0" w:line="162" w:lineRule="exact"/>
        <w:rPr>
          <w:rFonts w:ascii="Arial" w:cs="Arial" w:eastAsia="Arial" w:hAnsi="Arial"/>
          <w:sz w:val="16"/>
          <w:szCs w:val="16"/>
          <w:color w:val="auto"/>
        </w:rPr>
      </w:pPr>
    </w:p>
    <w:p>
      <w:pPr>
        <w:ind w:left="480" w:right="400"/>
        <w:spacing w:after="0" w:line="287" w:lineRule="auto"/>
        <w:rPr>
          <w:rFonts w:ascii="Arial" w:cs="Arial" w:eastAsia="Arial" w:hAnsi="Arial"/>
          <w:sz w:val="16"/>
          <w:szCs w:val="16"/>
          <w:color w:val="auto"/>
        </w:rPr>
      </w:pPr>
      <w:r>
        <w:rPr>
          <w:rFonts w:ascii="Arial" w:cs="Arial" w:eastAsia="Arial" w:hAnsi="Arial"/>
          <w:sz w:val="16"/>
          <w:szCs w:val="16"/>
          <w:color w:val="auto"/>
        </w:rPr>
        <w:t>The Risk Committee sets the guidelines regarding the level of unmatched repricing of interest rates that can be tolerated, which is periodically monitored through ALCO.</w:t>
      </w:r>
    </w:p>
    <w:p>
      <w:pPr>
        <w:spacing w:after="0" w:line="149" w:lineRule="exact"/>
        <w:rPr>
          <w:rFonts w:ascii="Arial" w:cs="Arial" w:eastAsia="Arial" w:hAnsi="Arial"/>
          <w:sz w:val="16"/>
          <w:szCs w:val="16"/>
          <w:color w:val="auto"/>
        </w:rPr>
      </w:pPr>
    </w:p>
    <w:p>
      <w:pPr>
        <w:ind w:left="480" w:right="140"/>
        <w:spacing w:after="0" w:line="287" w:lineRule="auto"/>
        <w:rPr>
          <w:rFonts w:ascii="Arial" w:cs="Arial" w:eastAsia="Arial" w:hAnsi="Arial"/>
          <w:sz w:val="16"/>
          <w:szCs w:val="16"/>
          <w:color w:val="auto"/>
        </w:rPr>
      </w:pPr>
      <w:r>
        <w:rPr>
          <w:rFonts w:ascii="Arial" w:cs="Arial" w:eastAsia="Arial" w:hAnsi="Arial"/>
          <w:sz w:val="16"/>
          <w:szCs w:val="16"/>
          <w:color w:val="auto"/>
        </w:rPr>
        <w:t>Corporate policies include guidelines for the management of the Group’s exposure to the interest rate risk. These guidelines are implemented considering the features of each segment of business in which the Group entities operate.</w:t>
      </w:r>
    </w:p>
    <w:p>
      <w:pPr>
        <w:spacing w:after="0" w:line="149" w:lineRule="exact"/>
        <w:rPr>
          <w:rFonts w:ascii="Arial" w:cs="Arial" w:eastAsia="Arial" w:hAnsi="Arial"/>
          <w:sz w:val="16"/>
          <w:szCs w:val="16"/>
          <w:color w:val="auto"/>
        </w:rPr>
      </w:pPr>
    </w:p>
    <w:p>
      <w:pPr>
        <w:ind w:left="480" w:right="60"/>
        <w:spacing w:after="0" w:line="266" w:lineRule="auto"/>
        <w:rPr>
          <w:rFonts w:ascii="Arial" w:cs="Arial" w:eastAsia="Arial" w:hAnsi="Arial"/>
          <w:sz w:val="16"/>
          <w:szCs w:val="16"/>
          <w:color w:val="auto"/>
        </w:rPr>
      </w:pPr>
      <w:r>
        <w:rPr>
          <w:rFonts w:ascii="Arial" w:cs="Arial" w:eastAsia="Arial" w:hAnsi="Arial"/>
          <w:sz w:val="16"/>
          <w:szCs w:val="16"/>
          <w:color w:val="auto"/>
        </w:rPr>
        <w:t>In this regard, Group companies that are exposed to the interest rate risk are those that have yields based on interest, such as credits, investments and technical reserves. Interest rate risk management in BCP Peru, BCP Bolivia, MiBanco, Atlantic Security Bank and Pacífico Grupo Asegurador is carried out by performing a repricing gap analysis, sensitivity analysis of the financial margin (GER) and sensitivity analysis of the net economic value (VEN). These calculations consider different rate shocks in stress scenarios.</w:t>
      </w:r>
    </w:p>
    <w:p>
      <w:pPr>
        <w:spacing w:after="0" w:line="363" w:lineRule="exact"/>
        <w:rPr>
          <w:rFonts w:ascii="Arial" w:cs="Arial" w:eastAsia="Arial" w:hAnsi="Arial"/>
          <w:sz w:val="16"/>
          <w:szCs w:val="16"/>
          <w:color w:val="auto"/>
        </w:rPr>
      </w:pPr>
    </w:p>
    <w:p>
      <w:pPr>
        <w:ind w:left="5200" w:hanging="93"/>
        <w:spacing w:after="0"/>
        <w:tabs>
          <w:tab w:leader="none" w:pos="52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15875</wp:posOffset>
            </wp:positionV>
            <wp:extent cx="714438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900"/>
          </w:cols>
          <w:pgMar w:left="660" w:top="839" w:right="339" w:bottom="1440" w:gutter="0" w:footer="0" w:header="0"/>
          <w:type w:val="continuous"/>
        </w:sectPr>
      </w:pPr>
    </w:p>
    <w:bookmarkStart w:id="97" w:name="page98"/>
    <w:bookmarkEnd w:id="97"/>
    <w:p>
      <w:pPr>
        <w:ind w:left="20" w:right="260"/>
        <w:spacing w:after="0" w:line="271" w:lineRule="auto"/>
        <w:rPr>
          <w:sz w:val="20"/>
          <w:szCs w:val="20"/>
          <w:color w:val="auto"/>
        </w:rPr>
      </w:pPr>
      <w:r>
        <w:rPr>
          <w:rFonts w:ascii="Arial" w:cs="Arial" w:eastAsia="Arial" w:hAnsi="Arial"/>
          <w:sz w:val="16"/>
          <w:szCs w:val="16"/>
          <w:color w:val="auto"/>
        </w:rPr>
        <w:t>The Group measures potential changes in market prices for investments in equity securities and funds that are non-trading, recorded at fair value through other comprehensive income and at fair value through profit or loss, respectively. A 10, 25 and 30 percent of changes in market prices is conducted to these price-sensitivity securities.</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market price sensitivity tests as of March 31, 2020 and December 31, 2019 are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60" w:type="dxa"/>
            <w:vAlign w:val="bottom"/>
            <w:gridSpan w:val="3"/>
          </w:tcPr>
          <w:p>
            <w:pPr>
              <w:spacing w:after="0"/>
              <w:rPr>
                <w:sz w:val="20"/>
                <w:szCs w:val="20"/>
                <w:color w:val="auto"/>
              </w:rPr>
            </w:pPr>
            <w:r>
              <w:rPr>
                <w:rFonts w:ascii="Arial" w:cs="Arial" w:eastAsia="Arial" w:hAnsi="Arial"/>
                <w:sz w:val="16"/>
                <w:szCs w:val="16"/>
                <w:b w:val="1"/>
                <w:bCs w:val="1"/>
                <w:color w:val="auto"/>
              </w:rPr>
              <w:t>Equity securities</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center"/>
              <w:spacing w:after="0" w:line="174" w:lineRule="exact"/>
              <w:rPr>
                <w:sz w:val="20"/>
                <w:szCs w:val="20"/>
                <w:color w:val="auto"/>
              </w:rPr>
            </w:pPr>
            <w:r>
              <w:rPr>
                <w:rFonts w:ascii="Arial" w:cs="Arial" w:eastAsia="Arial" w:hAnsi="Arial"/>
                <w:sz w:val="16"/>
                <w:szCs w:val="16"/>
                <w:b w:val="1"/>
                <w:bCs w:val="1"/>
                <w:color w:val="auto"/>
                <w:w w:val="89"/>
              </w:rPr>
              <w:t>As of</w:t>
            </w:r>
          </w:p>
        </w:tc>
        <w:tc>
          <w:tcPr>
            <w:tcW w:w="2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jc w:val="center"/>
              <w:ind w:left="498"/>
              <w:spacing w:after="0"/>
              <w:rPr>
                <w:sz w:val="20"/>
                <w:szCs w:val="20"/>
                <w:color w:val="auto"/>
              </w:rPr>
            </w:pPr>
            <w:r>
              <w:rPr>
                <w:rFonts w:ascii="Arial" w:cs="Arial" w:eastAsia="Arial" w:hAnsi="Arial"/>
                <w:sz w:val="16"/>
                <w:szCs w:val="16"/>
                <w:b w:val="1"/>
                <w:bCs w:val="1"/>
                <w:color w:val="auto"/>
                <w:w w:val="93"/>
              </w:rPr>
              <w:t>Change in</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March 31,</w:t>
            </w: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360" w:type="dxa"/>
            <w:vAlign w:val="bottom"/>
            <w:gridSpan w:val="3"/>
          </w:tcPr>
          <w:p>
            <w:pPr>
              <w:spacing w:after="0"/>
              <w:rPr>
                <w:sz w:val="20"/>
                <w:szCs w:val="20"/>
                <w:color w:val="auto"/>
              </w:rPr>
            </w:pPr>
            <w:r>
              <w:rPr>
                <w:rFonts w:ascii="Arial" w:cs="Arial" w:eastAsia="Arial" w:hAnsi="Arial"/>
                <w:sz w:val="16"/>
                <w:szCs w:val="16"/>
                <w:b w:val="1"/>
                <w:bCs w:val="1"/>
                <w:color w:val="auto"/>
              </w:rPr>
              <w:t>Measured at fair value through other comprehensive income</w:t>
            </w:r>
          </w:p>
        </w:tc>
        <w:tc>
          <w:tcPr>
            <w:tcW w:w="1980" w:type="dxa"/>
            <w:vAlign w:val="bottom"/>
          </w:tcPr>
          <w:p>
            <w:pPr>
              <w:jc w:val="center"/>
              <w:ind w:left="498"/>
              <w:spacing w:after="0"/>
              <w:rPr>
                <w:sz w:val="20"/>
                <w:szCs w:val="20"/>
                <w:color w:val="auto"/>
              </w:rPr>
            </w:pPr>
            <w:r>
              <w:rPr>
                <w:rFonts w:ascii="Arial" w:cs="Arial" w:eastAsia="Arial" w:hAnsi="Arial"/>
                <w:sz w:val="16"/>
                <w:szCs w:val="16"/>
                <w:b w:val="1"/>
                <w:bCs w:val="1"/>
                <w:color w:val="auto"/>
                <w:w w:val="92"/>
              </w:rPr>
              <w:t>market prices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5"/>
              </w:rPr>
              <w:t>2020</w:t>
            </w:r>
          </w:p>
        </w:tc>
        <w:tc>
          <w:tcPr>
            <w:tcW w:w="200" w:type="dxa"/>
            <w:vAlign w:val="bottom"/>
          </w:tcPr>
          <w:p>
            <w:pPr>
              <w:spacing w:after="0"/>
              <w:rPr>
                <w:sz w:val="18"/>
                <w:szCs w:val="18"/>
                <w:color w:val="auto"/>
              </w:rPr>
            </w:pPr>
          </w:p>
        </w:tc>
        <w:tc>
          <w:tcPr>
            <w:tcW w:w="1180" w:type="dxa"/>
            <w:vAlign w:val="bottom"/>
          </w:tcPr>
          <w:p>
            <w:pPr>
              <w:ind w:left="420"/>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Borders>
              <w:top w:val="single" w:sz="8" w:color="auto"/>
            </w:tcBorders>
          </w:tcPr>
          <w:p>
            <w:pPr>
              <w:jc w:val="center"/>
              <w:ind w:left="498"/>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6"/>
                <w:szCs w:val="16"/>
                <w:color w:val="auto"/>
              </w:rPr>
            </w:pPr>
          </w:p>
        </w:tc>
        <w:tc>
          <w:tcPr>
            <w:tcW w:w="1180" w:type="dxa"/>
            <w:vAlign w:val="bottom"/>
            <w:tcBorders>
              <w:top w:val="single" w:sz="8" w:color="auto"/>
            </w:tcBorders>
          </w:tcPr>
          <w:p>
            <w:pPr>
              <w:ind w:left="400"/>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19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52,237</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57,920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Equity securities</w:t>
            </w:r>
          </w:p>
        </w:tc>
        <w:tc>
          <w:tcPr>
            <w:tcW w:w="19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+/-25</w:t>
            </w:r>
          </w:p>
        </w:tc>
        <w:tc>
          <w:tcPr>
            <w:tcW w:w="1180" w:type="dxa"/>
            <w:vAlign w:val="bottom"/>
          </w:tcPr>
          <w:p>
            <w:pPr>
              <w:jc w:val="right"/>
              <w:spacing w:after="0"/>
              <w:rPr>
                <w:sz w:val="20"/>
                <w:szCs w:val="20"/>
                <w:color w:val="auto"/>
              </w:rPr>
            </w:pPr>
            <w:r>
              <w:rPr>
                <w:rFonts w:ascii="Arial" w:cs="Arial" w:eastAsia="Arial" w:hAnsi="Arial"/>
                <w:sz w:val="16"/>
                <w:szCs w:val="16"/>
                <w:color w:val="auto"/>
              </w:rPr>
              <w:t>130,592</w:t>
            </w:r>
          </w:p>
        </w:tc>
        <w:tc>
          <w:tcPr>
            <w:tcW w:w="20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144,800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19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156,710</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173,760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Funds</w:t>
            </w:r>
          </w:p>
        </w:tc>
        <w:tc>
          <w:tcPr>
            <w:tcW w:w="1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89"/>
              </w:rPr>
              <w:t>As of</w:t>
            </w:r>
          </w:p>
        </w:tc>
        <w:tc>
          <w:tcPr>
            <w:tcW w:w="200" w:type="dxa"/>
            <w:vAlign w:val="bottom"/>
          </w:tcPr>
          <w:p>
            <w:pPr>
              <w:spacing w:after="0"/>
              <w:rPr>
                <w:sz w:val="14"/>
                <w:szCs w:val="14"/>
                <w:color w:val="auto"/>
              </w:rPr>
            </w:pPr>
          </w:p>
        </w:tc>
        <w:tc>
          <w:tcPr>
            <w:tcW w:w="1260" w:type="dxa"/>
            <w:vAlign w:val="bottom"/>
            <w:gridSpan w:val="2"/>
          </w:tcPr>
          <w:p>
            <w:pPr>
              <w:ind w:left="380"/>
              <w:spacing w:after="0" w:line="172" w:lineRule="exact"/>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jc w:val="center"/>
              <w:ind w:left="498"/>
              <w:spacing w:after="0"/>
              <w:rPr>
                <w:sz w:val="20"/>
                <w:szCs w:val="20"/>
                <w:color w:val="auto"/>
              </w:rPr>
            </w:pPr>
            <w:r>
              <w:rPr>
                <w:rFonts w:ascii="Arial" w:cs="Arial" w:eastAsia="Arial" w:hAnsi="Arial"/>
                <w:sz w:val="16"/>
                <w:szCs w:val="16"/>
                <w:b w:val="1"/>
                <w:bCs w:val="1"/>
                <w:color w:val="auto"/>
                <w:w w:val="93"/>
              </w:rPr>
              <w:t>Change in</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March 31,</w:t>
            </w: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360" w:type="dxa"/>
            <w:vAlign w:val="bottom"/>
            <w:gridSpan w:val="3"/>
          </w:tcPr>
          <w:p>
            <w:pPr>
              <w:spacing w:after="0"/>
              <w:rPr>
                <w:sz w:val="20"/>
                <w:szCs w:val="20"/>
                <w:color w:val="auto"/>
              </w:rPr>
            </w:pPr>
            <w:r>
              <w:rPr>
                <w:rFonts w:ascii="Arial" w:cs="Arial" w:eastAsia="Arial" w:hAnsi="Arial"/>
                <w:sz w:val="16"/>
                <w:szCs w:val="16"/>
                <w:b w:val="1"/>
                <w:bCs w:val="1"/>
                <w:color w:val="auto"/>
              </w:rPr>
              <w:t>Measured at fair value through profit or loss</w:t>
            </w:r>
          </w:p>
        </w:tc>
        <w:tc>
          <w:tcPr>
            <w:tcW w:w="1980" w:type="dxa"/>
            <w:vAlign w:val="bottom"/>
          </w:tcPr>
          <w:p>
            <w:pPr>
              <w:jc w:val="center"/>
              <w:ind w:left="498"/>
              <w:spacing w:after="0"/>
              <w:rPr>
                <w:sz w:val="20"/>
                <w:szCs w:val="20"/>
                <w:color w:val="auto"/>
              </w:rPr>
            </w:pPr>
            <w:r>
              <w:rPr>
                <w:rFonts w:ascii="Arial" w:cs="Arial" w:eastAsia="Arial" w:hAnsi="Arial"/>
                <w:sz w:val="16"/>
                <w:szCs w:val="16"/>
                <w:b w:val="1"/>
                <w:bCs w:val="1"/>
                <w:color w:val="auto"/>
                <w:w w:val="92"/>
              </w:rPr>
              <w:t>market prices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5"/>
              </w:rPr>
              <w:t>2020</w:t>
            </w:r>
          </w:p>
        </w:tc>
        <w:tc>
          <w:tcPr>
            <w:tcW w:w="200" w:type="dxa"/>
            <w:vAlign w:val="bottom"/>
          </w:tcPr>
          <w:p>
            <w:pPr>
              <w:spacing w:after="0"/>
              <w:rPr>
                <w:sz w:val="18"/>
                <w:szCs w:val="18"/>
                <w:color w:val="auto"/>
              </w:rPr>
            </w:pPr>
          </w:p>
        </w:tc>
        <w:tc>
          <w:tcPr>
            <w:tcW w:w="1180" w:type="dxa"/>
            <w:vAlign w:val="bottom"/>
          </w:tcPr>
          <w:p>
            <w:pPr>
              <w:ind w:left="420"/>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Borders>
              <w:top w:val="single" w:sz="8" w:color="auto"/>
            </w:tcBorders>
          </w:tcPr>
          <w:p>
            <w:pPr>
              <w:jc w:val="center"/>
              <w:ind w:left="498"/>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6"/>
                <w:szCs w:val="16"/>
                <w:color w:val="auto"/>
              </w:rPr>
            </w:pPr>
          </w:p>
        </w:tc>
        <w:tc>
          <w:tcPr>
            <w:tcW w:w="1180" w:type="dxa"/>
            <w:vAlign w:val="bottom"/>
            <w:tcBorders>
              <w:top w:val="single" w:sz="8" w:color="auto"/>
            </w:tcBorders>
          </w:tcPr>
          <w:p>
            <w:pPr>
              <w:ind w:left="400"/>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Participation in mutual funds</w:t>
            </w:r>
          </w:p>
        </w:tc>
        <w:tc>
          <w:tcPr>
            <w:tcW w:w="19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61,408</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59,127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Participation in mutual funds</w:t>
            </w:r>
          </w:p>
        </w:tc>
        <w:tc>
          <w:tcPr>
            <w:tcW w:w="19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+/-25</w:t>
            </w:r>
          </w:p>
        </w:tc>
        <w:tc>
          <w:tcPr>
            <w:tcW w:w="1180" w:type="dxa"/>
            <w:vAlign w:val="bottom"/>
          </w:tcPr>
          <w:p>
            <w:pPr>
              <w:jc w:val="right"/>
              <w:spacing w:after="0"/>
              <w:rPr>
                <w:sz w:val="20"/>
                <w:szCs w:val="20"/>
                <w:color w:val="auto"/>
              </w:rPr>
            </w:pPr>
            <w:r>
              <w:rPr>
                <w:rFonts w:ascii="Arial" w:cs="Arial" w:eastAsia="Arial" w:hAnsi="Arial"/>
                <w:sz w:val="16"/>
                <w:szCs w:val="16"/>
                <w:color w:val="auto"/>
              </w:rPr>
              <w:t>153,519</w:t>
            </w:r>
          </w:p>
        </w:tc>
        <w:tc>
          <w:tcPr>
            <w:tcW w:w="20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147,818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Participation in mutual funds</w:t>
            </w:r>
          </w:p>
        </w:tc>
        <w:tc>
          <w:tcPr>
            <w:tcW w:w="19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184,223</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177,381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Restricted mutual funds</w:t>
            </w:r>
          </w:p>
        </w:tc>
        <w:tc>
          <w:tcPr>
            <w:tcW w:w="19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180" w:type="dxa"/>
            <w:vAlign w:val="bottom"/>
          </w:tcPr>
          <w:p>
            <w:pPr>
              <w:jc w:val="right"/>
              <w:spacing w:after="0"/>
              <w:rPr>
                <w:sz w:val="20"/>
                <w:szCs w:val="20"/>
                <w:color w:val="auto"/>
              </w:rPr>
            </w:pPr>
            <w:r>
              <w:rPr>
                <w:rFonts w:ascii="Arial" w:cs="Arial" w:eastAsia="Arial" w:hAnsi="Arial"/>
                <w:sz w:val="16"/>
                <w:szCs w:val="16"/>
                <w:color w:val="auto"/>
              </w:rPr>
              <w:t>39,811</w:t>
            </w:r>
          </w:p>
        </w:tc>
        <w:tc>
          <w:tcPr>
            <w:tcW w:w="20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46,009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Restricted mutual funds</w:t>
            </w:r>
          </w:p>
        </w:tc>
        <w:tc>
          <w:tcPr>
            <w:tcW w:w="19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99,528</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115,022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Restricted mutual funds</w:t>
            </w:r>
          </w:p>
        </w:tc>
        <w:tc>
          <w:tcPr>
            <w:tcW w:w="19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+/-30</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119,433</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138,026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Participation in RAL funds</w:t>
            </w:r>
          </w:p>
        </w:tc>
        <w:tc>
          <w:tcPr>
            <w:tcW w:w="19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32,870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30,040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Participation in RAL funds</w:t>
            </w:r>
          </w:p>
        </w:tc>
        <w:tc>
          <w:tcPr>
            <w:tcW w:w="19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+/-25</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82,174</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75,100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Participation in RAL funds</w:t>
            </w:r>
          </w:p>
        </w:tc>
        <w:tc>
          <w:tcPr>
            <w:tcW w:w="19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98,609</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90,119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Investment funds</w:t>
            </w:r>
          </w:p>
        </w:tc>
        <w:tc>
          <w:tcPr>
            <w:tcW w:w="19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37,409</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30,576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 funds</w:t>
            </w:r>
          </w:p>
        </w:tc>
        <w:tc>
          <w:tcPr>
            <w:tcW w:w="19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93,523</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76,440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Investment funds</w:t>
            </w:r>
          </w:p>
        </w:tc>
        <w:tc>
          <w:tcPr>
            <w:tcW w:w="19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+/-30</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112,227</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91,728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Hedge funds</w:t>
            </w:r>
          </w:p>
        </w:tc>
        <w:tc>
          <w:tcPr>
            <w:tcW w:w="19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3,369</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3,364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Hedge funds</w:t>
            </w:r>
          </w:p>
        </w:tc>
        <w:tc>
          <w:tcPr>
            <w:tcW w:w="19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+/-25</w:t>
            </w:r>
          </w:p>
        </w:tc>
        <w:tc>
          <w:tcPr>
            <w:tcW w:w="1180" w:type="dxa"/>
            <w:vAlign w:val="bottom"/>
          </w:tcPr>
          <w:p>
            <w:pPr>
              <w:jc w:val="right"/>
              <w:spacing w:after="0"/>
              <w:rPr>
                <w:sz w:val="20"/>
                <w:szCs w:val="20"/>
                <w:color w:val="auto"/>
              </w:rPr>
            </w:pPr>
            <w:r>
              <w:rPr>
                <w:rFonts w:ascii="Arial" w:cs="Arial" w:eastAsia="Arial" w:hAnsi="Arial"/>
                <w:sz w:val="16"/>
                <w:szCs w:val="16"/>
                <w:color w:val="auto"/>
              </w:rPr>
              <w:t>8,423</w:t>
            </w:r>
          </w:p>
        </w:tc>
        <w:tc>
          <w:tcPr>
            <w:tcW w:w="20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8,410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Hedge funds</w:t>
            </w:r>
          </w:p>
        </w:tc>
        <w:tc>
          <w:tcPr>
            <w:tcW w:w="19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10,108</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10,092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Exchange Trade Funds</w:t>
            </w:r>
          </w:p>
        </w:tc>
        <w:tc>
          <w:tcPr>
            <w:tcW w:w="19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2,115</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Exchange Trade Funds</w:t>
            </w:r>
          </w:p>
        </w:tc>
        <w:tc>
          <w:tcPr>
            <w:tcW w:w="19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5,287</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Exchange Trade Funds</w:t>
            </w:r>
          </w:p>
        </w:tc>
        <w:tc>
          <w:tcPr>
            <w:tcW w:w="19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+/-30</w:t>
            </w:r>
          </w:p>
        </w:tc>
        <w:tc>
          <w:tcPr>
            <w:tcW w:w="1180" w:type="dxa"/>
            <w:vAlign w:val="bottom"/>
          </w:tcPr>
          <w:p>
            <w:pPr>
              <w:jc w:val="right"/>
              <w:spacing w:after="0"/>
              <w:rPr>
                <w:sz w:val="20"/>
                <w:szCs w:val="20"/>
                <w:color w:val="auto"/>
              </w:rPr>
            </w:pPr>
            <w:r>
              <w:rPr>
                <w:rFonts w:ascii="Arial" w:cs="Arial" w:eastAsia="Arial" w:hAnsi="Arial"/>
                <w:sz w:val="16"/>
                <w:szCs w:val="16"/>
                <w:color w:val="auto"/>
              </w:rPr>
              <w:t>6,344</w:t>
            </w:r>
          </w:p>
        </w:tc>
        <w:tc>
          <w:tcPr>
            <w:tcW w:w="2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4,079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-3025140</wp:posOffset>
            </wp:positionV>
            <wp:extent cx="6785610" cy="772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85610" cy="772160"/>
                    </a:xfrm>
                    <a:prstGeom prst="rect">
                      <a:avLst/>
                    </a:prstGeom>
                    <a:noFill/>
                  </pic:spPr>
                </pic:pic>
              </a:graphicData>
            </a:graphic>
          </wp:anchor>
        </w:drawing>
      </w:r>
    </w:p>
    <w:p>
      <w:pPr>
        <w:spacing w:after="0" w:line="153" w:lineRule="exact"/>
        <w:rPr>
          <w:sz w:val="20"/>
          <w:szCs w:val="20"/>
          <w:color w:val="auto"/>
        </w:rPr>
      </w:pPr>
    </w:p>
    <w:p>
      <w:pPr>
        <w:ind w:left="260" w:hanging="241"/>
        <w:spacing w:after="0"/>
        <w:tabs>
          <w:tab w:leader="none" w:pos="2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Foreign currency exchange risk -</w:t>
      </w:r>
    </w:p>
    <w:p>
      <w:pPr>
        <w:spacing w:after="0" w:line="209" w:lineRule="exact"/>
        <w:rPr>
          <w:rFonts w:ascii="Arial" w:cs="Arial" w:eastAsia="Arial" w:hAnsi="Arial"/>
          <w:sz w:val="16"/>
          <w:szCs w:val="16"/>
          <w:color w:val="auto"/>
        </w:rPr>
      </w:pPr>
    </w:p>
    <w:p>
      <w:pPr>
        <w:ind w:left="260" w:right="480"/>
        <w:spacing w:after="0" w:line="287" w:lineRule="auto"/>
        <w:rPr>
          <w:rFonts w:ascii="Arial" w:cs="Arial" w:eastAsia="Arial" w:hAnsi="Arial"/>
          <w:sz w:val="16"/>
          <w:szCs w:val="16"/>
          <w:color w:val="auto"/>
        </w:rPr>
      </w:pPr>
      <w:r>
        <w:rPr>
          <w:rFonts w:ascii="Arial" w:cs="Arial" w:eastAsia="Arial" w:hAnsi="Arial"/>
          <w:sz w:val="16"/>
          <w:szCs w:val="16"/>
          <w:color w:val="auto"/>
        </w:rPr>
        <w:t>The Group is exposed to fluctuations in foreign currency exchange rates on its financial position and cash flows. Management sets limits on the level of exposure by currency and overnight and intra-day total positions, which are monitored daily.</w:t>
      </w:r>
    </w:p>
    <w:p>
      <w:pPr>
        <w:spacing w:after="0" w:line="149" w:lineRule="exact"/>
        <w:rPr>
          <w:rFonts w:ascii="Arial" w:cs="Arial" w:eastAsia="Arial" w:hAnsi="Arial"/>
          <w:sz w:val="16"/>
          <w:szCs w:val="16"/>
          <w:color w:val="auto"/>
        </w:rPr>
      </w:pPr>
    </w:p>
    <w:p>
      <w:pPr>
        <w:ind w:left="260" w:right="160"/>
        <w:spacing w:after="0" w:line="287" w:lineRule="auto"/>
        <w:rPr>
          <w:rFonts w:ascii="Arial" w:cs="Arial" w:eastAsia="Arial" w:hAnsi="Arial"/>
          <w:sz w:val="16"/>
          <w:szCs w:val="16"/>
          <w:color w:val="auto"/>
        </w:rPr>
      </w:pPr>
      <w:r>
        <w:rPr>
          <w:rFonts w:ascii="Arial" w:cs="Arial" w:eastAsia="Arial" w:hAnsi="Arial"/>
          <w:sz w:val="16"/>
          <w:szCs w:val="16"/>
          <w:color w:val="auto"/>
        </w:rPr>
        <w:t>As of March 31, 2020, the free market exchange rate for buying and selling transactions for each United States of Dollars, the main foreign currency held by the Group, was S</w:t>
      </w:r>
      <w:r>
        <w:rPr>
          <w:rFonts w:ascii="Arial" w:cs="Arial" w:eastAsia="Arial" w:hAnsi="Arial"/>
          <w:sz w:val="16"/>
          <w:szCs w:val="16"/>
          <w:b w:val="1"/>
          <w:bCs w:val="1"/>
          <w:color w:val="auto"/>
        </w:rPr>
        <w:t>/</w:t>
      </w:r>
      <w:r>
        <w:rPr>
          <w:rFonts w:ascii="Arial" w:cs="Arial" w:eastAsia="Arial" w:hAnsi="Arial"/>
          <w:sz w:val="16"/>
          <w:szCs w:val="16"/>
          <w:color w:val="auto"/>
        </w:rPr>
        <w:t>3.437 (S/3.314 as of December 31, 2019).</w:t>
      </w:r>
    </w:p>
    <w:p>
      <w:pPr>
        <w:spacing w:after="0" w:line="346" w:lineRule="exact"/>
        <w:rPr>
          <w:rFonts w:ascii="Arial" w:cs="Arial" w:eastAsia="Arial" w:hAnsi="Arial"/>
          <w:sz w:val="16"/>
          <w:szCs w:val="16"/>
          <w:color w:val="auto"/>
        </w:rPr>
      </w:pPr>
    </w:p>
    <w:p>
      <w:pPr>
        <w:ind w:left="4980" w:hanging="93"/>
        <w:spacing w:after="0"/>
        <w:tabs>
          <w:tab w:leader="none" w:pos="498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15875</wp:posOffset>
            </wp:positionV>
            <wp:extent cx="714438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680"/>
          </w:cols>
          <w:pgMar w:left="880" w:top="839" w:right="339" w:bottom="1440" w:gutter="0" w:footer="0" w:header="0"/>
        </w:sectPr>
      </w:pPr>
    </w:p>
    <w:bookmarkStart w:id="98" w:name="page99"/>
    <w:bookmarkEnd w:id="98"/>
    <w:p>
      <w:pPr>
        <w:ind w:left="820" w:right="340"/>
        <w:spacing w:after="0" w:line="287" w:lineRule="auto"/>
        <w:rPr>
          <w:sz w:val="20"/>
          <w:szCs w:val="20"/>
          <w:color w:val="auto"/>
        </w:rPr>
      </w:pPr>
      <w:r>
        <w:rPr>
          <w:rFonts w:ascii="Arial" w:cs="Arial" w:eastAsia="Arial" w:hAnsi="Arial"/>
          <w:sz w:val="16"/>
          <w:szCs w:val="16"/>
          <w:color w:val="auto"/>
        </w:rPr>
        <w:t>Foreign currency transactions are made at the free market exchange rates of the countries where Credicorp’s Subsidiaries are established. As of March 31, 2020 and December 31, 2019, the Group’s assets and liabilities by currencies were as follows:</w:t>
      </w:r>
    </w:p>
    <w:p>
      <w:pPr>
        <w:spacing w:after="0" w:line="146" w:lineRule="exact"/>
        <w:rPr>
          <w:sz w:val="20"/>
          <w:szCs w:val="20"/>
          <w:color w:val="auto"/>
        </w:rPr>
      </w:pPr>
    </w:p>
    <w:tbl>
      <w:tblPr>
        <w:tblLayout w:type="fixed"/>
        <w:tblInd w:w="4080" w:type="dxa"/>
        <w:tblCellMar>
          <w:top w:w="0" w:type="dxa"/>
          <w:left w:w="0" w:type="dxa"/>
          <w:bottom w:w="0" w:type="dxa"/>
          <w:right w:w="0" w:type="dxa"/>
        </w:tblCellMar>
      </w:tblPr>
      <w:tr>
        <w:trPr>
          <w:trHeight w:val="139"/>
        </w:trPr>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As of March 31, 2020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20" w:type="dxa"/>
            <w:vAlign w:val="bottom"/>
            <w:gridSpan w:val="5"/>
          </w:tcPr>
          <w:p>
            <w:pPr>
              <w:ind w:left="220"/>
              <w:spacing w:after="0"/>
              <w:rPr>
                <w:sz w:val="20"/>
                <w:szCs w:val="20"/>
                <w:color w:val="auto"/>
              </w:rPr>
            </w:pPr>
            <w:r>
              <w:rPr>
                <w:rFonts w:ascii="Arial" w:cs="Arial" w:eastAsia="Arial" w:hAnsi="Arial"/>
                <w:sz w:val="11"/>
                <w:szCs w:val="11"/>
                <w:b w:val="1"/>
                <w:bCs w:val="1"/>
                <w:color w:val="auto"/>
              </w:rPr>
              <w:t>As of December 31, 2019</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99"/>
        </w:trPr>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line="100" w:lineRule="exact"/>
              <w:rPr>
                <w:sz w:val="20"/>
                <w:szCs w:val="20"/>
                <w:color w:val="auto"/>
              </w:rPr>
            </w:pPr>
            <w:r>
              <w:rPr>
                <w:rFonts w:ascii="Arial" w:cs="Arial" w:eastAsia="Arial" w:hAnsi="Arial"/>
                <w:sz w:val="11"/>
                <w:szCs w:val="11"/>
                <w:b w:val="1"/>
                <w:bCs w:val="1"/>
                <w:color w:val="auto"/>
              </w:rPr>
              <w:t>Other</w:t>
            </w:r>
          </w:p>
        </w:tc>
        <w:tc>
          <w:tcPr>
            <w:tcW w:w="2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tcPr>
          <w:p>
            <w:pPr>
              <w:spacing w:after="0" w:line="100" w:lineRule="exact"/>
              <w:rPr>
                <w:sz w:val="20"/>
                <w:szCs w:val="20"/>
                <w:color w:val="auto"/>
              </w:rPr>
            </w:pPr>
            <w:r>
              <w:rPr>
                <w:rFonts w:ascii="Arial" w:cs="Arial" w:eastAsia="Arial" w:hAnsi="Arial"/>
                <w:sz w:val="11"/>
                <w:szCs w:val="11"/>
                <w:b w:val="1"/>
                <w:bCs w:val="1"/>
                <w:color w:val="auto"/>
              </w:rPr>
              <w:t>Other</w:t>
            </w:r>
          </w:p>
        </w:tc>
        <w:tc>
          <w:tcPr>
            <w:tcW w:w="720" w:type="dxa"/>
            <w:vAlign w:val="bottom"/>
            <w:tcBorders>
              <w:top w:val="single" w:sz="8" w:color="auto"/>
            </w:tcBorders>
          </w:tcPr>
          <w:p>
            <w:pPr>
              <w:spacing w:after="0"/>
              <w:rPr>
                <w:sz w:val="8"/>
                <w:szCs w:val="8"/>
                <w:color w:val="auto"/>
              </w:rPr>
            </w:pPr>
          </w:p>
        </w:tc>
      </w:tr>
      <w:tr>
        <w:trPr>
          <w:trHeight w:val="139"/>
        </w:trPr>
        <w:tc>
          <w:tcPr>
            <w:tcW w:w="680" w:type="dxa"/>
            <w:vAlign w:val="bottom"/>
          </w:tcPr>
          <w:p>
            <w:pPr>
              <w:spacing w:after="0"/>
              <w:rPr>
                <w:sz w:val="20"/>
                <w:szCs w:val="20"/>
                <w:color w:val="auto"/>
              </w:rPr>
            </w:pPr>
            <w:r>
              <w:rPr>
                <w:rFonts w:ascii="Arial" w:cs="Arial" w:eastAsia="Arial" w:hAnsi="Arial"/>
                <w:sz w:val="11"/>
                <w:szCs w:val="11"/>
                <w:b w:val="1"/>
                <w:bCs w:val="1"/>
                <w:color w:val="auto"/>
              </w:rPr>
              <w:t>Soles</w:t>
            </w:r>
          </w:p>
        </w:tc>
        <w:tc>
          <w:tcPr>
            <w:tcW w:w="1120" w:type="dxa"/>
            <w:vAlign w:val="bottom"/>
            <w:gridSpan w:val="3"/>
          </w:tcPr>
          <w:p>
            <w:pPr>
              <w:ind w:left="220"/>
              <w:spacing w:after="0"/>
              <w:rPr>
                <w:sz w:val="20"/>
                <w:szCs w:val="20"/>
                <w:color w:val="auto"/>
              </w:rPr>
            </w:pPr>
            <w:r>
              <w:rPr>
                <w:rFonts w:ascii="Arial" w:cs="Arial" w:eastAsia="Arial" w:hAnsi="Arial"/>
                <w:sz w:val="11"/>
                <w:szCs w:val="11"/>
                <w:b w:val="1"/>
                <w:bCs w:val="1"/>
                <w:color w:val="auto"/>
              </w:rPr>
              <w:t>U.S. Dollars</w:t>
            </w:r>
          </w:p>
        </w:tc>
        <w:tc>
          <w:tcPr>
            <w:tcW w:w="680" w:type="dxa"/>
            <w:vAlign w:val="bottom"/>
          </w:tcPr>
          <w:p>
            <w:pPr>
              <w:spacing w:after="0"/>
              <w:rPr>
                <w:sz w:val="20"/>
                <w:szCs w:val="20"/>
                <w:color w:val="auto"/>
              </w:rPr>
            </w:pPr>
            <w:r>
              <w:rPr>
                <w:rFonts w:ascii="Arial" w:cs="Arial" w:eastAsia="Arial" w:hAnsi="Arial"/>
                <w:sz w:val="11"/>
                <w:szCs w:val="11"/>
                <w:b w:val="1"/>
                <w:bCs w:val="1"/>
                <w:color w:val="auto"/>
              </w:rPr>
              <w:t>currencies</w:t>
            </w:r>
          </w:p>
        </w:tc>
        <w:tc>
          <w:tcPr>
            <w:tcW w:w="940" w:type="dxa"/>
            <w:vAlign w:val="bottom"/>
            <w:gridSpan w:val="2"/>
          </w:tcPr>
          <w:p>
            <w:pPr>
              <w:ind w:left="220"/>
              <w:spacing w:after="0"/>
              <w:rPr>
                <w:sz w:val="20"/>
                <w:szCs w:val="20"/>
                <w:color w:val="auto"/>
              </w:rPr>
            </w:pPr>
            <w:r>
              <w:rPr>
                <w:rFonts w:ascii="Arial" w:cs="Arial" w:eastAsia="Arial" w:hAnsi="Arial"/>
                <w:sz w:val="11"/>
                <w:szCs w:val="11"/>
                <w:b w:val="1"/>
                <w:bCs w:val="1"/>
                <w:color w:val="auto"/>
              </w:rPr>
              <w:t>Total</w:t>
            </w:r>
          </w:p>
        </w:tc>
        <w:tc>
          <w:tcPr>
            <w:tcW w:w="1120" w:type="dxa"/>
            <w:vAlign w:val="bottom"/>
            <w:gridSpan w:val="3"/>
          </w:tcPr>
          <w:p>
            <w:pPr>
              <w:ind w:left="220"/>
              <w:spacing w:after="0"/>
              <w:rPr>
                <w:sz w:val="20"/>
                <w:szCs w:val="20"/>
                <w:color w:val="auto"/>
              </w:rPr>
            </w:pPr>
            <w:r>
              <w:rPr>
                <w:rFonts w:ascii="Arial" w:cs="Arial" w:eastAsia="Arial" w:hAnsi="Arial"/>
                <w:sz w:val="11"/>
                <w:szCs w:val="11"/>
                <w:b w:val="1"/>
                <w:bCs w:val="1"/>
                <w:color w:val="auto"/>
              </w:rPr>
              <w:t>Soles</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U.S. Dollars</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currencies</w:t>
            </w:r>
          </w:p>
        </w:tc>
        <w:tc>
          <w:tcPr>
            <w:tcW w:w="720" w:type="dxa"/>
            <w:vAlign w:val="bottom"/>
          </w:tcPr>
          <w:p>
            <w:pPr>
              <w:spacing w:after="0"/>
              <w:rPr>
                <w:sz w:val="20"/>
                <w:szCs w:val="20"/>
                <w:color w:val="auto"/>
              </w:rPr>
            </w:pPr>
            <w:r>
              <w:rPr>
                <w:rFonts w:ascii="Arial" w:cs="Arial" w:eastAsia="Arial" w:hAnsi="Arial"/>
                <w:sz w:val="11"/>
                <w:szCs w:val="11"/>
                <w:b w:val="1"/>
                <w:bCs w:val="1"/>
                <w:color w:val="auto"/>
              </w:rPr>
              <w:t>Total</w:t>
            </w:r>
          </w:p>
        </w:tc>
      </w:tr>
      <w:tr>
        <w:trPr>
          <w:trHeight w:val="111"/>
        </w:trPr>
        <w:tc>
          <w:tcPr>
            <w:tcW w:w="680" w:type="dxa"/>
            <w:vAlign w:val="bottom"/>
            <w:tcBorders>
              <w:top w:val="single" w:sz="8" w:color="auto"/>
            </w:tcBorders>
          </w:tcPr>
          <w:p>
            <w:pPr>
              <w:spacing w:after="0" w:line="112" w:lineRule="exact"/>
              <w:rPr>
                <w:sz w:val="20"/>
                <w:szCs w:val="20"/>
                <w:color w:val="auto"/>
              </w:rPr>
            </w:pPr>
            <w:r>
              <w:rPr>
                <w:rFonts w:ascii="Arial" w:cs="Arial" w:eastAsia="Arial" w:hAnsi="Arial"/>
                <w:sz w:val="11"/>
                <w:szCs w:val="11"/>
                <w:b w:val="1"/>
                <w:bCs w:val="1"/>
                <w:color w:val="auto"/>
              </w:rPr>
              <w:t>S/(000)</w:t>
            </w:r>
          </w:p>
        </w:tc>
        <w:tc>
          <w:tcPr>
            <w:tcW w:w="220" w:type="dxa"/>
            <w:vAlign w:val="bottom"/>
          </w:tcPr>
          <w:p>
            <w:pPr>
              <w:spacing w:after="0"/>
              <w:rPr>
                <w:sz w:val="9"/>
                <w:szCs w:val="9"/>
                <w:color w:val="auto"/>
              </w:rPr>
            </w:pPr>
          </w:p>
        </w:tc>
        <w:tc>
          <w:tcPr>
            <w:tcW w:w="680" w:type="dxa"/>
            <w:vAlign w:val="bottom"/>
            <w:tcBorders>
              <w:top w:val="single" w:sz="8" w:color="auto"/>
            </w:tcBorders>
          </w:tcPr>
          <w:p>
            <w:pPr>
              <w:spacing w:after="0" w:line="112" w:lineRule="exact"/>
              <w:rPr>
                <w:sz w:val="20"/>
                <w:szCs w:val="20"/>
                <w:color w:val="auto"/>
              </w:rPr>
            </w:pPr>
            <w:r>
              <w:rPr>
                <w:rFonts w:ascii="Arial" w:cs="Arial" w:eastAsia="Arial" w:hAnsi="Arial"/>
                <w:sz w:val="11"/>
                <w:szCs w:val="11"/>
                <w:b w:val="1"/>
                <w:bCs w:val="1"/>
                <w:color w:val="auto"/>
              </w:rPr>
              <w:t>S/(000)</w:t>
            </w:r>
          </w:p>
        </w:tc>
        <w:tc>
          <w:tcPr>
            <w:tcW w:w="220" w:type="dxa"/>
            <w:vAlign w:val="bottom"/>
          </w:tcPr>
          <w:p>
            <w:pPr>
              <w:spacing w:after="0"/>
              <w:rPr>
                <w:sz w:val="9"/>
                <w:szCs w:val="9"/>
                <w:color w:val="auto"/>
              </w:rPr>
            </w:pPr>
          </w:p>
        </w:tc>
        <w:tc>
          <w:tcPr>
            <w:tcW w:w="680" w:type="dxa"/>
            <w:vAlign w:val="bottom"/>
            <w:tcBorders>
              <w:top w:val="single" w:sz="8" w:color="auto"/>
            </w:tcBorders>
          </w:tcPr>
          <w:p>
            <w:pPr>
              <w:spacing w:after="0" w:line="112" w:lineRule="exact"/>
              <w:rPr>
                <w:sz w:val="20"/>
                <w:szCs w:val="20"/>
                <w:color w:val="auto"/>
              </w:rPr>
            </w:pPr>
            <w:r>
              <w:rPr>
                <w:rFonts w:ascii="Arial" w:cs="Arial" w:eastAsia="Arial" w:hAnsi="Arial"/>
                <w:sz w:val="11"/>
                <w:szCs w:val="11"/>
                <w:b w:val="1"/>
                <w:bCs w:val="1"/>
                <w:color w:val="auto"/>
              </w:rPr>
              <w:t>S/(000)</w:t>
            </w:r>
          </w:p>
        </w:tc>
        <w:tc>
          <w:tcPr>
            <w:tcW w:w="220" w:type="dxa"/>
            <w:vAlign w:val="bottom"/>
          </w:tcPr>
          <w:p>
            <w:pPr>
              <w:spacing w:after="0"/>
              <w:rPr>
                <w:sz w:val="9"/>
                <w:szCs w:val="9"/>
                <w:color w:val="auto"/>
              </w:rPr>
            </w:pPr>
          </w:p>
        </w:tc>
        <w:tc>
          <w:tcPr>
            <w:tcW w:w="720" w:type="dxa"/>
            <w:vAlign w:val="bottom"/>
            <w:tcBorders>
              <w:top w:val="single" w:sz="8" w:color="auto"/>
            </w:tcBorders>
          </w:tcPr>
          <w:p>
            <w:pPr>
              <w:spacing w:after="0" w:line="112" w:lineRule="exact"/>
              <w:rPr>
                <w:sz w:val="20"/>
                <w:szCs w:val="20"/>
                <w:color w:val="auto"/>
              </w:rPr>
            </w:pPr>
            <w:r>
              <w:rPr>
                <w:rFonts w:ascii="Arial" w:cs="Arial" w:eastAsia="Arial" w:hAnsi="Arial"/>
                <w:sz w:val="11"/>
                <w:szCs w:val="11"/>
                <w:b w:val="1"/>
                <w:bCs w:val="1"/>
                <w:color w:val="auto"/>
              </w:rPr>
              <w:t>S/(000)</w:t>
            </w:r>
          </w:p>
        </w:tc>
        <w:tc>
          <w:tcPr>
            <w:tcW w:w="220" w:type="dxa"/>
            <w:vAlign w:val="bottom"/>
          </w:tcPr>
          <w:p>
            <w:pPr>
              <w:spacing w:after="0"/>
              <w:rPr>
                <w:sz w:val="9"/>
                <w:szCs w:val="9"/>
                <w:color w:val="auto"/>
              </w:rPr>
            </w:pPr>
          </w:p>
        </w:tc>
        <w:tc>
          <w:tcPr>
            <w:tcW w:w="680" w:type="dxa"/>
            <w:vAlign w:val="bottom"/>
            <w:tcBorders>
              <w:top w:val="single" w:sz="8" w:color="auto"/>
            </w:tcBorders>
          </w:tcPr>
          <w:p>
            <w:pPr>
              <w:spacing w:after="0" w:line="112" w:lineRule="exact"/>
              <w:rPr>
                <w:sz w:val="20"/>
                <w:szCs w:val="20"/>
                <w:color w:val="auto"/>
              </w:rPr>
            </w:pPr>
            <w:r>
              <w:rPr>
                <w:rFonts w:ascii="Arial" w:cs="Arial" w:eastAsia="Arial" w:hAnsi="Arial"/>
                <w:sz w:val="11"/>
                <w:szCs w:val="11"/>
                <w:b w:val="1"/>
                <w:bCs w:val="1"/>
                <w:color w:val="auto"/>
              </w:rPr>
              <w:t>S/(000)</w:t>
            </w:r>
          </w:p>
        </w:tc>
        <w:tc>
          <w:tcPr>
            <w:tcW w:w="220" w:type="dxa"/>
            <w:vAlign w:val="bottom"/>
          </w:tcPr>
          <w:p>
            <w:pPr>
              <w:spacing w:after="0"/>
              <w:rPr>
                <w:sz w:val="9"/>
                <w:szCs w:val="9"/>
                <w:color w:val="auto"/>
              </w:rPr>
            </w:pPr>
          </w:p>
        </w:tc>
        <w:tc>
          <w:tcPr>
            <w:tcW w:w="680" w:type="dxa"/>
            <w:vAlign w:val="bottom"/>
            <w:tcBorders>
              <w:top w:val="single" w:sz="8" w:color="auto"/>
            </w:tcBorders>
          </w:tcPr>
          <w:p>
            <w:pPr>
              <w:spacing w:after="0" w:line="112" w:lineRule="exact"/>
              <w:rPr>
                <w:sz w:val="20"/>
                <w:szCs w:val="20"/>
                <w:color w:val="auto"/>
              </w:rPr>
            </w:pPr>
            <w:r>
              <w:rPr>
                <w:rFonts w:ascii="Arial" w:cs="Arial" w:eastAsia="Arial" w:hAnsi="Arial"/>
                <w:sz w:val="11"/>
                <w:szCs w:val="11"/>
                <w:b w:val="1"/>
                <w:bCs w:val="1"/>
                <w:color w:val="auto"/>
              </w:rPr>
              <w:t>S/(000)</w:t>
            </w:r>
          </w:p>
        </w:tc>
        <w:tc>
          <w:tcPr>
            <w:tcW w:w="220" w:type="dxa"/>
            <w:vAlign w:val="bottom"/>
          </w:tcPr>
          <w:p>
            <w:pPr>
              <w:spacing w:after="0"/>
              <w:rPr>
                <w:sz w:val="9"/>
                <w:szCs w:val="9"/>
                <w:color w:val="auto"/>
              </w:rPr>
            </w:pPr>
          </w:p>
        </w:tc>
        <w:tc>
          <w:tcPr>
            <w:tcW w:w="680" w:type="dxa"/>
            <w:vAlign w:val="bottom"/>
            <w:tcBorders>
              <w:top w:val="single" w:sz="8" w:color="auto"/>
            </w:tcBorders>
          </w:tcPr>
          <w:p>
            <w:pPr>
              <w:spacing w:after="0" w:line="112" w:lineRule="exact"/>
              <w:rPr>
                <w:sz w:val="20"/>
                <w:szCs w:val="20"/>
                <w:color w:val="auto"/>
              </w:rPr>
            </w:pPr>
            <w:r>
              <w:rPr>
                <w:rFonts w:ascii="Arial" w:cs="Arial" w:eastAsia="Arial" w:hAnsi="Arial"/>
                <w:sz w:val="11"/>
                <w:szCs w:val="11"/>
                <w:b w:val="1"/>
                <w:bCs w:val="1"/>
                <w:color w:val="auto"/>
              </w:rPr>
              <w:t>S/(000)</w:t>
            </w:r>
          </w:p>
        </w:tc>
        <w:tc>
          <w:tcPr>
            <w:tcW w:w="220" w:type="dxa"/>
            <w:vAlign w:val="bottom"/>
          </w:tcPr>
          <w:p>
            <w:pPr>
              <w:spacing w:after="0"/>
              <w:rPr>
                <w:sz w:val="9"/>
                <w:szCs w:val="9"/>
                <w:color w:val="auto"/>
              </w:rPr>
            </w:pPr>
          </w:p>
        </w:tc>
        <w:tc>
          <w:tcPr>
            <w:tcW w:w="720" w:type="dxa"/>
            <w:vAlign w:val="bottom"/>
            <w:tcBorders>
              <w:top w:val="single" w:sz="8" w:color="auto"/>
            </w:tcBorders>
          </w:tcPr>
          <w:p>
            <w:pPr>
              <w:spacing w:after="0" w:line="112" w:lineRule="exact"/>
              <w:rPr>
                <w:sz w:val="20"/>
                <w:szCs w:val="20"/>
                <w:color w:val="auto"/>
              </w:rPr>
            </w:pPr>
            <w:r>
              <w:rPr>
                <w:rFonts w:ascii="Arial" w:cs="Arial" w:eastAsia="Arial" w:hAnsi="Arial"/>
                <w:sz w:val="11"/>
                <w:szCs w:val="11"/>
                <w:b w:val="1"/>
                <w:bCs w:val="1"/>
                <w:color w:val="auto"/>
              </w:rPr>
              <w:t>S/(000)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Monetary assets</w:t>
            </w: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spacing w:after="0" w:line="123" w:lineRule="exact"/>
              <w:rPr>
                <w:sz w:val="20"/>
                <w:szCs w:val="20"/>
                <w:color w:val="auto"/>
              </w:rPr>
            </w:pPr>
            <w:r>
              <w:rPr>
                <w:rFonts w:ascii="Arial" w:cs="Arial" w:eastAsia="Arial" w:hAnsi="Arial"/>
                <w:sz w:val="11"/>
                <w:szCs w:val="11"/>
                <w:color w:val="auto"/>
              </w:rPr>
              <w:t>Cash and due from banks</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4,268,564</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20,135,678</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1,921,544</w:t>
            </w:r>
          </w:p>
        </w:tc>
        <w:tc>
          <w:tcPr>
            <w:tcW w:w="94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26,325,786</w:t>
            </w: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3,960,190</w:t>
            </w:r>
          </w:p>
        </w:tc>
        <w:tc>
          <w:tcPr>
            <w:tcW w:w="220" w:type="dxa"/>
            <w:vAlign w:val="bottom"/>
          </w:tcPr>
          <w:p>
            <w:pPr>
              <w:spacing w:after="0"/>
              <w:rPr>
                <w:sz w:val="10"/>
                <w:szCs w:val="10"/>
                <w:color w:val="auto"/>
              </w:rPr>
            </w:pP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20,762,648</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1,263,924</w:t>
            </w:r>
          </w:p>
        </w:tc>
        <w:tc>
          <w:tcPr>
            <w:tcW w:w="820" w:type="dxa"/>
            <w:vAlign w:val="bottom"/>
            <w:gridSpan w:val="2"/>
          </w:tcPr>
          <w:p>
            <w:pPr>
              <w:jc w:val="right"/>
              <w:ind w:right="100"/>
              <w:spacing w:after="0" w:line="123" w:lineRule="exact"/>
              <w:rPr>
                <w:sz w:val="20"/>
                <w:szCs w:val="20"/>
                <w:color w:val="auto"/>
              </w:rPr>
            </w:pPr>
            <w:r>
              <w:rPr>
                <w:rFonts w:ascii="Arial" w:cs="Arial" w:eastAsia="Arial" w:hAnsi="Arial"/>
                <w:sz w:val="11"/>
                <w:szCs w:val="11"/>
                <w:color w:val="auto"/>
              </w:rPr>
              <w:t>25,986,762</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Cash collateral, reverse repurchase agreements and securities borrowing</w:t>
            </w:r>
          </w:p>
        </w:tc>
        <w:tc>
          <w:tcPr>
            <w:tcW w:w="9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300,011</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3,491,080</w:t>
            </w:r>
          </w:p>
        </w:tc>
        <w:tc>
          <w:tcPr>
            <w:tcW w:w="2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633,254</w:t>
            </w:r>
          </w:p>
        </w:tc>
        <w:tc>
          <w:tcPr>
            <w:tcW w:w="94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4,424,345</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150,009</w:t>
            </w:r>
          </w:p>
        </w:tc>
        <w:tc>
          <w:tcPr>
            <w:tcW w:w="2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3,389,090</w:t>
            </w:r>
          </w:p>
        </w:tc>
        <w:tc>
          <w:tcPr>
            <w:tcW w:w="9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749,425</w:t>
            </w:r>
          </w:p>
        </w:tc>
        <w:tc>
          <w:tcPr>
            <w:tcW w:w="820" w:type="dxa"/>
            <w:vAlign w:val="bottom"/>
            <w:gridSpan w:val="2"/>
            <w:shd w:val="clear" w:color="auto" w:fill="CCEEFF"/>
          </w:tcPr>
          <w:p>
            <w:pPr>
              <w:jc w:val="right"/>
              <w:ind w:right="100"/>
              <w:spacing w:after="0" w:line="123" w:lineRule="exact"/>
              <w:rPr>
                <w:sz w:val="20"/>
                <w:szCs w:val="20"/>
                <w:color w:val="auto"/>
              </w:rPr>
            </w:pPr>
            <w:r>
              <w:rPr>
                <w:rFonts w:ascii="Arial" w:cs="Arial" w:eastAsia="Arial" w:hAnsi="Arial"/>
                <w:sz w:val="11"/>
                <w:szCs w:val="11"/>
                <w:color w:val="auto"/>
              </w:rPr>
              <w:t>4,288,524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spacing w:after="0" w:line="123" w:lineRule="exact"/>
              <w:rPr>
                <w:sz w:val="20"/>
                <w:szCs w:val="20"/>
                <w:color w:val="auto"/>
              </w:rPr>
            </w:pPr>
            <w:r>
              <w:rPr>
                <w:rFonts w:ascii="Arial" w:cs="Arial" w:eastAsia="Arial" w:hAnsi="Arial"/>
                <w:sz w:val="11"/>
                <w:szCs w:val="11"/>
                <w:color w:val="auto"/>
              </w:rPr>
              <w:t>Investments:</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shd w:val="clear" w:color="auto" w:fill="CCEEFF"/>
          </w:tcPr>
          <w:p>
            <w:pPr>
              <w:ind w:left="80"/>
              <w:spacing w:after="0" w:line="123" w:lineRule="exact"/>
              <w:rPr>
                <w:sz w:val="20"/>
                <w:szCs w:val="20"/>
                <w:color w:val="auto"/>
              </w:rPr>
            </w:pPr>
            <w:r>
              <w:rPr>
                <w:rFonts w:ascii="Arial" w:cs="Arial" w:eastAsia="Arial" w:hAnsi="Arial"/>
                <w:sz w:val="11"/>
                <w:szCs w:val="11"/>
                <w:color w:val="auto"/>
              </w:rPr>
              <w:t>At fair value through profit or loss</w:t>
            </w:r>
          </w:p>
        </w:tc>
        <w:tc>
          <w:tcPr>
            <w:tcW w:w="9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1,353,563</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1,364,827</w:t>
            </w:r>
          </w:p>
        </w:tc>
        <w:tc>
          <w:tcPr>
            <w:tcW w:w="2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1,467,248</w:t>
            </w:r>
          </w:p>
        </w:tc>
        <w:tc>
          <w:tcPr>
            <w:tcW w:w="94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4,185,638</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800,370</w:t>
            </w:r>
          </w:p>
        </w:tc>
        <w:tc>
          <w:tcPr>
            <w:tcW w:w="2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1,053,925</w:t>
            </w:r>
          </w:p>
        </w:tc>
        <w:tc>
          <w:tcPr>
            <w:tcW w:w="9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1,996,467</w:t>
            </w:r>
          </w:p>
        </w:tc>
        <w:tc>
          <w:tcPr>
            <w:tcW w:w="820" w:type="dxa"/>
            <w:vAlign w:val="bottom"/>
            <w:gridSpan w:val="2"/>
            <w:shd w:val="clear" w:color="auto" w:fill="CCEEFF"/>
          </w:tcPr>
          <w:p>
            <w:pPr>
              <w:jc w:val="right"/>
              <w:ind w:right="100"/>
              <w:spacing w:after="0" w:line="123" w:lineRule="exact"/>
              <w:rPr>
                <w:sz w:val="20"/>
                <w:szCs w:val="20"/>
                <w:color w:val="auto"/>
              </w:rPr>
            </w:pPr>
            <w:r>
              <w:rPr>
                <w:rFonts w:ascii="Arial" w:cs="Arial" w:eastAsia="Arial" w:hAnsi="Arial"/>
                <w:sz w:val="11"/>
                <w:szCs w:val="11"/>
                <w:color w:val="auto"/>
              </w:rPr>
              <w:t>3,850,762</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ind w:left="80"/>
              <w:spacing w:after="0" w:line="123" w:lineRule="exact"/>
              <w:rPr>
                <w:sz w:val="20"/>
                <w:szCs w:val="20"/>
                <w:color w:val="auto"/>
              </w:rPr>
            </w:pPr>
            <w:r>
              <w:rPr>
                <w:rFonts w:ascii="Arial" w:cs="Arial" w:eastAsia="Arial" w:hAnsi="Arial"/>
                <w:sz w:val="11"/>
                <w:szCs w:val="11"/>
                <w:color w:val="auto"/>
              </w:rPr>
              <w:t>At fair value through other comprehensive income</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19,247,296</w:t>
            </w: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7,644,031</w:t>
            </w:r>
          </w:p>
        </w:tc>
        <w:tc>
          <w:tcPr>
            <w:tcW w:w="220" w:type="dxa"/>
            <w:vAlign w:val="bottom"/>
          </w:tcPr>
          <w:p>
            <w:pPr>
              <w:spacing w:after="0"/>
              <w:rPr>
                <w:sz w:val="10"/>
                <w:szCs w:val="10"/>
                <w:color w:val="auto"/>
              </w:rPr>
            </w:pP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974,809</w:t>
            </w:r>
          </w:p>
        </w:tc>
        <w:tc>
          <w:tcPr>
            <w:tcW w:w="94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27,866,136</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18,221,102</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6,869,840</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532,582</w:t>
            </w:r>
          </w:p>
        </w:tc>
        <w:tc>
          <w:tcPr>
            <w:tcW w:w="820" w:type="dxa"/>
            <w:vAlign w:val="bottom"/>
            <w:gridSpan w:val="2"/>
          </w:tcPr>
          <w:p>
            <w:pPr>
              <w:jc w:val="right"/>
              <w:ind w:right="100"/>
              <w:spacing w:after="0" w:line="123" w:lineRule="exact"/>
              <w:rPr>
                <w:sz w:val="20"/>
                <w:szCs w:val="20"/>
                <w:color w:val="auto"/>
              </w:rPr>
            </w:pPr>
            <w:r>
              <w:rPr>
                <w:rFonts w:ascii="Arial" w:cs="Arial" w:eastAsia="Arial" w:hAnsi="Arial"/>
                <w:sz w:val="11"/>
                <w:szCs w:val="11"/>
                <w:color w:val="auto"/>
              </w:rPr>
              <w:t>25,623,524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shd w:val="clear" w:color="auto" w:fill="CCEEFF"/>
          </w:tcPr>
          <w:p>
            <w:pPr>
              <w:ind w:left="80"/>
              <w:spacing w:after="0" w:line="123" w:lineRule="exact"/>
              <w:rPr>
                <w:sz w:val="20"/>
                <w:szCs w:val="20"/>
                <w:color w:val="auto"/>
              </w:rPr>
            </w:pPr>
            <w:r>
              <w:rPr>
                <w:rFonts w:ascii="Arial" w:cs="Arial" w:eastAsia="Arial" w:hAnsi="Arial"/>
                <w:sz w:val="11"/>
                <w:szCs w:val="11"/>
                <w:color w:val="auto"/>
              </w:rPr>
              <w:t>At amortized cost</w:t>
            </w:r>
          </w:p>
        </w:tc>
        <w:tc>
          <w:tcPr>
            <w:tcW w:w="9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4,125,015</w:t>
            </w:r>
          </w:p>
        </w:tc>
        <w:tc>
          <w:tcPr>
            <w:tcW w:w="9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99,227</w:t>
            </w:r>
          </w:p>
        </w:tc>
        <w:tc>
          <w:tcPr>
            <w:tcW w:w="9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18,401</w:t>
            </w:r>
          </w:p>
        </w:tc>
        <w:tc>
          <w:tcPr>
            <w:tcW w:w="94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4,242,643</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3,355,579</w:t>
            </w:r>
          </w:p>
        </w:tc>
        <w:tc>
          <w:tcPr>
            <w:tcW w:w="2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100,299</w:t>
            </w:r>
          </w:p>
        </w:tc>
        <w:tc>
          <w:tcPr>
            <w:tcW w:w="9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21,168</w:t>
            </w:r>
          </w:p>
        </w:tc>
        <w:tc>
          <w:tcPr>
            <w:tcW w:w="820" w:type="dxa"/>
            <w:vAlign w:val="bottom"/>
            <w:gridSpan w:val="2"/>
            <w:shd w:val="clear" w:color="auto" w:fill="CCEEFF"/>
          </w:tcPr>
          <w:p>
            <w:pPr>
              <w:jc w:val="right"/>
              <w:ind w:right="100"/>
              <w:spacing w:after="0" w:line="123" w:lineRule="exact"/>
              <w:rPr>
                <w:sz w:val="20"/>
                <w:szCs w:val="20"/>
                <w:color w:val="auto"/>
              </w:rPr>
            </w:pPr>
            <w:r>
              <w:rPr>
                <w:rFonts w:ascii="Arial" w:cs="Arial" w:eastAsia="Arial" w:hAnsi="Arial"/>
                <w:sz w:val="11"/>
                <w:szCs w:val="11"/>
                <w:color w:val="auto"/>
              </w:rPr>
              <w:t>3,477,046</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spacing w:after="0" w:line="123" w:lineRule="exact"/>
              <w:rPr>
                <w:sz w:val="20"/>
                <w:szCs w:val="20"/>
                <w:color w:val="auto"/>
              </w:rPr>
            </w:pPr>
            <w:r>
              <w:rPr>
                <w:rFonts w:ascii="Arial" w:cs="Arial" w:eastAsia="Arial" w:hAnsi="Arial"/>
                <w:sz w:val="11"/>
                <w:szCs w:val="11"/>
                <w:color w:val="auto"/>
              </w:rPr>
              <w:t>Loans, net</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67,391,910</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39,083,898</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8,300,935</w:t>
            </w:r>
          </w:p>
        </w:tc>
        <w:tc>
          <w:tcPr>
            <w:tcW w:w="94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114,776,743</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66,737,870</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35,598,141</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8,149,706</w:t>
            </w:r>
          </w:p>
        </w:tc>
        <w:tc>
          <w:tcPr>
            <w:tcW w:w="820" w:type="dxa"/>
            <w:vAlign w:val="bottom"/>
            <w:gridSpan w:val="2"/>
          </w:tcPr>
          <w:p>
            <w:pPr>
              <w:jc w:val="right"/>
              <w:ind w:right="100"/>
              <w:spacing w:after="0" w:line="123" w:lineRule="exact"/>
              <w:rPr>
                <w:sz w:val="20"/>
                <w:szCs w:val="20"/>
                <w:color w:val="auto"/>
              </w:rPr>
            </w:pPr>
            <w:r>
              <w:rPr>
                <w:rFonts w:ascii="Arial" w:cs="Arial" w:eastAsia="Arial" w:hAnsi="Arial"/>
                <w:sz w:val="11"/>
                <w:szCs w:val="11"/>
                <w:color w:val="auto"/>
              </w:rPr>
              <w:t>110,485,717</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Financial assets designated at fair value through profit or loss</w:t>
            </w:r>
          </w:p>
        </w:tc>
        <w:tc>
          <w:tcPr>
            <w:tcW w:w="9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13,399</w:t>
            </w:r>
          </w:p>
        </w:tc>
        <w:tc>
          <w:tcPr>
            <w:tcW w:w="9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545,922</w:t>
            </w:r>
          </w:p>
        </w:tc>
        <w:tc>
          <w:tcPr>
            <w:tcW w:w="9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559,321</w:t>
            </w:r>
          </w:p>
        </w:tc>
        <w:tc>
          <w:tcPr>
            <w:tcW w:w="9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44,223</w:t>
            </w:r>
          </w:p>
        </w:tc>
        <w:tc>
          <w:tcPr>
            <w:tcW w:w="9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576,321</w:t>
            </w:r>
          </w:p>
        </w:tc>
        <w:tc>
          <w:tcPr>
            <w:tcW w:w="9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00"/>
              <w:spacing w:after="0" w:line="123" w:lineRule="exact"/>
              <w:rPr>
                <w:sz w:val="20"/>
                <w:szCs w:val="20"/>
                <w:color w:val="auto"/>
              </w:rPr>
            </w:pPr>
            <w:r>
              <w:rPr>
                <w:rFonts w:ascii="Arial" w:cs="Arial" w:eastAsia="Arial" w:hAnsi="Arial"/>
                <w:sz w:val="11"/>
                <w:szCs w:val="11"/>
                <w:color w:val="auto"/>
              </w:rPr>
              <w:t>620,544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spacing w:after="0" w:line="123" w:lineRule="exact"/>
              <w:rPr>
                <w:sz w:val="20"/>
                <w:szCs w:val="20"/>
                <w:color w:val="auto"/>
              </w:rPr>
            </w:pPr>
            <w:r>
              <w:rPr>
                <w:rFonts w:ascii="Arial" w:cs="Arial" w:eastAsia="Arial" w:hAnsi="Arial"/>
                <w:sz w:val="11"/>
                <w:szCs w:val="11"/>
                <w:color w:val="auto"/>
              </w:rPr>
              <w:t>Other assets</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2,246,770</w:t>
            </w: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3,618,423</w:t>
            </w:r>
          </w:p>
        </w:tc>
        <w:tc>
          <w:tcPr>
            <w:tcW w:w="220" w:type="dxa"/>
            <w:vAlign w:val="bottom"/>
          </w:tcPr>
          <w:p>
            <w:pPr>
              <w:spacing w:after="0"/>
              <w:rPr>
                <w:sz w:val="10"/>
                <w:szCs w:val="10"/>
                <w:color w:val="auto"/>
              </w:rPr>
            </w:pP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842,207</w:t>
            </w:r>
          </w:p>
        </w:tc>
        <w:tc>
          <w:tcPr>
            <w:tcW w:w="94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6,707,400</w:t>
            </w: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2,072,867</w:t>
            </w:r>
          </w:p>
        </w:tc>
        <w:tc>
          <w:tcPr>
            <w:tcW w:w="220" w:type="dxa"/>
            <w:vAlign w:val="bottom"/>
          </w:tcPr>
          <w:p>
            <w:pPr>
              <w:spacing w:after="0"/>
              <w:rPr>
                <w:sz w:val="10"/>
                <w:szCs w:val="10"/>
                <w:color w:val="auto"/>
              </w:rPr>
            </w:pP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2,142,237</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678,111</w:t>
            </w:r>
          </w:p>
        </w:tc>
        <w:tc>
          <w:tcPr>
            <w:tcW w:w="820" w:type="dxa"/>
            <w:vAlign w:val="bottom"/>
            <w:gridSpan w:val="2"/>
          </w:tcPr>
          <w:p>
            <w:pPr>
              <w:jc w:val="right"/>
              <w:ind w:right="100"/>
              <w:spacing w:after="0" w:line="123" w:lineRule="exact"/>
              <w:rPr>
                <w:sz w:val="20"/>
                <w:szCs w:val="20"/>
                <w:color w:val="auto"/>
              </w:rPr>
            </w:pPr>
            <w:r>
              <w:rPr>
                <w:rFonts w:ascii="Arial" w:cs="Arial" w:eastAsia="Arial" w:hAnsi="Arial"/>
                <w:sz w:val="11"/>
                <w:szCs w:val="11"/>
                <w:color w:val="auto"/>
              </w:rPr>
              <w:t>4,893,215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Total monetary assets</w:t>
            </w: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98,946,528</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75,983,086</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14,158,398</w:t>
            </w:r>
          </w:p>
        </w:tc>
        <w:tc>
          <w:tcPr>
            <w:tcW w:w="2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189,088,012</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95,342,210</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70,492,501</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13,391,383</w:t>
            </w:r>
          </w:p>
        </w:tc>
        <w:tc>
          <w:tcPr>
            <w:tcW w:w="2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179,226,094</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406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Monetary liabilities</w:t>
            </w: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spacing w:after="0" w:line="123" w:lineRule="exact"/>
              <w:rPr>
                <w:sz w:val="20"/>
                <w:szCs w:val="20"/>
                <w:color w:val="auto"/>
              </w:rPr>
            </w:pPr>
            <w:r>
              <w:rPr>
                <w:rFonts w:ascii="Arial" w:cs="Arial" w:eastAsia="Arial" w:hAnsi="Arial"/>
                <w:sz w:val="11"/>
                <w:szCs w:val="11"/>
                <w:color w:val="auto"/>
              </w:rPr>
              <w:t>Deposits and obligations</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(60,565,799)</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(49,512,600)</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(9,485,146)</w:t>
            </w:r>
          </w:p>
        </w:tc>
        <w:tc>
          <w:tcPr>
            <w:tcW w:w="94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(119,563,545)</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(56,769,748)</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(46,319,179)</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(8,916,458)</w:t>
            </w:r>
          </w:p>
        </w:tc>
        <w:tc>
          <w:tcPr>
            <w:tcW w:w="820" w:type="dxa"/>
            <w:vAlign w:val="bottom"/>
            <w:gridSpan w:val="2"/>
          </w:tcPr>
          <w:p>
            <w:pPr>
              <w:jc w:val="right"/>
              <w:ind w:right="60"/>
              <w:spacing w:after="0" w:line="123" w:lineRule="exact"/>
              <w:rPr>
                <w:sz w:val="20"/>
                <w:szCs w:val="20"/>
                <w:color w:val="auto"/>
              </w:rPr>
            </w:pPr>
            <w:r>
              <w:rPr>
                <w:rFonts w:ascii="Arial" w:cs="Arial" w:eastAsia="Arial" w:hAnsi="Arial"/>
                <w:sz w:val="11"/>
                <w:szCs w:val="11"/>
                <w:color w:val="auto"/>
              </w:rPr>
              <w:t>(112,005,385)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Payables from repurchase agreements and securities lending</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(6,022,646)</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(759,021)</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(1,473,059)</w:t>
            </w:r>
          </w:p>
        </w:tc>
        <w:tc>
          <w:tcPr>
            <w:tcW w:w="94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(8,254,726)</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(5,068,896)</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(734,441)</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(1,874,679)</w:t>
            </w:r>
          </w:p>
        </w:tc>
        <w:tc>
          <w:tcPr>
            <w:tcW w:w="820" w:type="dxa"/>
            <w:vAlign w:val="bottom"/>
            <w:gridSpan w:val="2"/>
            <w:shd w:val="clear" w:color="auto" w:fill="CCEEFF"/>
          </w:tcPr>
          <w:p>
            <w:pPr>
              <w:jc w:val="right"/>
              <w:ind w:right="60"/>
              <w:spacing w:after="0" w:line="123" w:lineRule="exact"/>
              <w:rPr>
                <w:sz w:val="20"/>
                <w:szCs w:val="20"/>
                <w:color w:val="auto"/>
              </w:rPr>
            </w:pPr>
            <w:r>
              <w:rPr>
                <w:rFonts w:ascii="Arial" w:cs="Arial" w:eastAsia="Arial" w:hAnsi="Arial"/>
                <w:sz w:val="11"/>
                <w:szCs w:val="11"/>
                <w:color w:val="auto"/>
              </w:rPr>
              <w:t>(7,678,016)</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spacing w:after="0" w:line="123" w:lineRule="exact"/>
              <w:rPr>
                <w:sz w:val="20"/>
                <w:szCs w:val="20"/>
                <w:color w:val="auto"/>
              </w:rPr>
            </w:pPr>
            <w:r>
              <w:rPr>
                <w:rFonts w:ascii="Arial" w:cs="Arial" w:eastAsia="Arial" w:hAnsi="Arial"/>
                <w:sz w:val="11"/>
                <w:szCs w:val="11"/>
                <w:color w:val="auto"/>
              </w:rPr>
              <w:t>Due to bank and correspondents</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(3,839,029)</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(5,622,718)</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(392,883)</w:t>
            </w:r>
          </w:p>
        </w:tc>
        <w:tc>
          <w:tcPr>
            <w:tcW w:w="94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(9,854,630)</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(3,798,717)</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(4,709,610)</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(333,405)</w:t>
            </w:r>
          </w:p>
        </w:tc>
        <w:tc>
          <w:tcPr>
            <w:tcW w:w="820" w:type="dxa"/>
            <w:vAlign w:val="bottom"/>
            <w:gridSpan w:val="2"/>
          </w:tcPr>
          <w:p>
            <w:pPr>
              <w:jc w:val="right"/>
              <w:ind w:right="60"/>
              <w:spacing w:after="0" w:line="123" w:lineRule="exact"/>
              <w:rPr>
                <w:sz w:val="20"/>
                <w:szCs w:val="20"/>
                <w:color w:val="auto"/>
              </w:rPr>
            </w:pPr>
            <w:r>
              <w:rPr>
                <w:rFonts w:ascii="Arial" w:cs="Arial" w:eastAsia="Arial" w:hAnsi="Arial"/>
                <w:sz w:val="11"/>
                <w:szCs w:val="11"/>
                <w:color w:val="auto"/>
              </w:rPr>
              <w:t>(8,841,732)</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Lease liabilities</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(153,145)</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(634,193)</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(50,910)</w:t>
            </w:r>
          </w:p>
        </w:tc>
        <w:tc>
          <w:tcPr>
            <w:tcW w:w="94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(838,248)</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(162,103)</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(605,036)</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(80,365)</w:t>
            </w:r>
          </w:p>
        </w:tc>
        <w:tc>
          <w:tcPr>
            <w:tcW w:w="820" w:type="dxa"/>
            <w:vAlign w:val="bottom"/>
            <w:gridSpan w:val="2"/>
            <w:shd w:val="clear" w:color="auto" w:fill="CCEEFF"/>
          </w:tcPr>
          <w:p>
            <w:pPr>
              <w:jc w:val="right"/>
              <w:ind w:right="60"/>
              <w:spacing w:after="0" w:line="123" w:lineRule="exact"/>
              <w:rPr>
                <w:sz w:val="20"/>
                <w:szCs w:val="20"/>
                <w:color w:val="auto"/>
              </w:rPr>
            </w:pPr>
            <w:r>
              <w:rPr>
                <w:rFonts w:ascii="Arial" w:cs="Arial" w:eastAsia="Arial" w:hAnsi="Arial"/>
                <w:sz w:val="11"/>
                <w:szCs w:val="11"/>
                <w:color w:val="auto"/>
              </w:rPr>
              <w:t>(847,504)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spacing w:after="0" w:line="123" w:lineRule="exact"/>
              <w:rPr>
                <w:sz w:val="20"/>
                <w:szCs w:val="20"/>
                <w:color w:val="auto"/>
              </w:rPr>
            </w:pPr>
            <w:r>
              <w:rPr>
                <w:rFonts w:ascii="Arial" w:cs="Arial" w:eastAsia="Arial" w:hAnsi="Arial"/>
                <w:sz w:val="11"/>
                <w:szCs w:val="11"/>
                <w:color w:val="auto"/>
              </w:rPr>
              <w:t>Financial liabilities at fair value through profit or loss</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(210,530)</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(322,616)</w:t>
            </w:r>
          </w:p>
        </w:tc>
        <w:tc>
          <w:tcPr>
            <w:tcW w:w="94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(533,146)</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(94,475)</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(399,225)</w:t>
            </w:r>
          </w:p>
        </w:tc>
        <w:tc>
          <w:tcPr>
            <w:tcW w:w="820" w:type="dxa"/>
            <w:vAlign w:val="bottom"/>
            <w:gridSpan w:val="2"/>
          </w:tcPr>
          <w:p>
            <w:pPr>
              <w:jc w:val="right"/>
              <w:ind w:right="60"/>
              <w:spacing w:after="0" w:line="123" w:lineRule="exact"/>
              <w:rPr>
                <w:sz w:val="20"/>
                <w:szCs w:val="20"/>
                <w:color w:val="auto"/>
              </w:rPr>
            </w:pPr>
            <w:r>
              <w:rPr>
                <w:rFonts w:ascii="Arial" w:cs="Arial" w:eastAsia="Arial" w:hAnsi="Arial"/>
                <w:sz w:val="11"/>
                <w:szCs w:val="11"/>
                <w:color w:val="auto"/>
              </w:rPr>
              <w:t>(493,700)</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Technical reserves for claims and insurance</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(5,378,623)</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(4,590,650)</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(6,672)</w:t>
            </w:r>
          </w:p>
        </w:tc>
        <w:tc>
          <w:tcPr>
            <w:tcW w:w="94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(9,975,945)</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(5,642,772)</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(4,301,468)</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(5,993)</w:t>
            </w:r>
          </w:p>
        </w:tc>
        <w:tc>
          <w:tcPr>
            <w:tcW w:w="820" w:type="dxa"/>
            <w:vAlign w:val="bottom"/>
            <w:gridSpan w:val="2"/>
            <w:shd w:val="clear" w:color="auto" w:fill="CCEEFF"/>
          </w:tcPr>
          <w:p>
            <w:pPr>
              <w:jc w:val="right"/>
              <w:ind w:right="60"/>
              <w:spacing w:after="0" w:line="123" w:lineRule="exact"/>
              <w:rPr>
                <w:sz w:val="20"/>
                <w:szCs w:val="20"/>
                <w:color w:val="auto"/>
              </w:rPr>
            </w:pPr>
            <w:r>
              <w:rPr>
                <w:rFonts w:ascii="Arial" w:cs="Arial" w:eastAsia="Arial" w:hAnsi="Arial"/>
                <w:sz w:val="11"/>
                <w:szCs w:val="11"/>
                <w:color w:val="auto"/>
              </w:rPr>
              <w:t>(9,950,233)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spacing w:after="0" w:line="123" w:lineRule="exact"/>
              <w:rPr>
                <w:sz w:val="20"/>
                <w:szCs w:val="20"/>
                <w:color w:val="auto"/>
              </w:rPr>
            </w:pPr>
            <w:r>
              <w:rPr>
                <w:rFonts w:ascii="Arial" w:cs="Arial" w:eastAsia="Arial" w:hAnsi="Arial"/>
                <w:sz w:val="11"/>
                <w:szCs w:val="11"/>
                <w:color w:val="auto"/>
              </w:rPr>
              <w:t>Bonds and notes issued</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(3,824,085)</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(11,087,837)</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(266,226)</w:t>
            </w:r>
          </w:p>
        </w:tc>
        <w:tc>
          <w:tcPr>
            <w:tcW w:w="94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(15,178,148)</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(4,028,893)</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(10,660,989)</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(256,481)</w:t>
            </w:r>
          </w:p>
        </w:tc>
        <w:tc>
          <w:tcPr>
            <w:tcW w:w="820" w:type="dxa"/>
            <w:vAlign w:val="bottom"/>
            <w:gridSpan w:val="2"/>
          </w:tcPr>
          <w:p>
            <w:pPr>
              <w:jc w:val="right"/>
              <w:ind w:right="60"/>
              <w:spacing w:after="0" w:line="123" w:lineRule="exact"/>
              <w:rPr>
                <w:sz w:val="20"/>
                <w:szCs w:val="20"/>
                <w:color w:val="auto"/>
              </w:rPr>
            </w:pPr>
            <w:r>
              <w:rPr>
                <w:rFonts w:ascii="Arial" w:cs="Arial" w:eastAsia="Arial" w:hAnsi="Arial"/>
                <w:sz w:val="11"/>
                <w:szCs w:val="11"/>
                <w:color w:val="auto"/>
              </w:rPr>
              <w:t>(14,946,363)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Other liabilities</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(5,630,568)</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(3,213,874)</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(1,056,248)</w:t>
            </w:r>
          </w:p>
        </w:tc>
        <w:tc>
          <w:tcPr>
            <w:tcW w:w="94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(9,900,690)</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(3,541,350)</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(1,951,682)</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(874,416)</w:t>
            </w:r>
          </w:p>
        </w:tc>
        <w:tc>
          <w:tcPr>
            <w:tcW w:w="820" w:type="dxa"/>
            <w:vAlign w:val="bottom"/>
            <w:gridSpan w:val="2"/>
            <w:shd w:val="clear" w:color="auto" w:fill="CCEEFF"/>
          </w:tcPr>
          <w:p>
            <w:pPr>
              <w:jc w:val="right"/>
              <w:ind w:right="60"/>
              <w:spacing w:after="0" w:line="123" w:lineRule="exact"/>
              <w:rPr>
                <w:sz w:val="20"/>
                <w:szCs w:val="20"/>
                <w:color w:val="auto"/>
              </w:rPr>
            </w:pPr>
            <w:r>
              <w:rPr>
                <w:rFonts w:ascii="Arial" w:cs="Arial" w:eastAsia="Arial" w:hAnsi="Arial"/>
                <w:sz w:val="11"/>
                <w:szCs w:val="11"/>
                <w:color w:val="auto"/>
              </w:rPr>
              <w:t>(6,367,448)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6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b w:val="1"/>
                <w:bCs w:val="1"/>
                <w:color w:val="auto"/>
              </w:rPr>
              <w:t>Total monetary liabilities</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(85,413,895)</w:t>
            </w: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(75,631,423)</w:t>
            </w: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(13,053,760)</w:t>
            </w:r>
          </w:p>
        </w:tc>
        <w:tc>
          <w:tcPr>
            <w:tcW w:w="22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(174,099,078)</w:t>
            </w: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(79,012,479)</w:t>
            </w: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(69,376,880)</w:t>
            </w: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(12,741,022)</w:t>
            </w:r>
          </w:p>
        </w:tc>
        <w:tc>
          <w:tcPr>
            <w:tcW w:w="22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(161,130,381)</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6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13,532,633</w:t>
            </w:r>
          </w:p>
        </w:tc>
        <w:tc>
          <w:tcPr>
            <w:tcW w:w="22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351,663</w:t>
            </w:r>
          </w:p>
        </w:tc>
        <w:tc>
          <w:tcPr>
            <w:tcW w:w="22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1,104,638</w:t>
            </w:r>
          </w:p>
        </w:tc>
        <w:tc>
          <w:tcPr>
            <w:tcW w:w="22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14,988,934</w:t>
            </w:r>
          </w:p>
        </w:tc>
        <w:tc>
          <w:tcPr>
            <w:tcW w:w="22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16,329,731</w:t>
            </w:r>
          </w:p>
        </w:tc>
        <w:tc>
          <w:tcPr>
            <w:tcW w:w="22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1,115,621</w:t>
            </w:r>
          </w:p>
        </w:tc>
        <w:tc>
          <w:tcPr>
            <w:tcW w:w="22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650,361</w:t>
            </w:r>
          </w:p>
        </w:tc>
        <w:tc>
          <w:tcPr>
            <w:tcW w:w="22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18,095,713</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40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Forwards position, net</w:t>
            </w:r>
          </w:p>
        </w:tc>
        <w:tc>
          <w:tcPr>
            <w:tcW w:w="9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1,368,178</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(823,070)</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(469,265)</w:t>
            </w:r>
          </w:p>
        </w:tc>
        <w:tc>
          <w:tcPr>
            <w:tcW w:w="94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75,843</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1,534,948</w:t>
            </w:r>
          </w:p>
        </w:tc>
        <w:tc>
          <w:tcPr>
            <w:tcW w:w="2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(1,351,414)</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(116,899)</w:t>
            </w:r>
          </w:p>
        </w:tc>
        <w:tc>
          <w:tcPr>
            <w:tcW w:w="820" w:type="dxa"/>
            <w:vAlign w:val="bottom"/>
            <w:gridSpan w:val="2"/>
            <w:shd w:val="clear" w:color="auto" w:fill="CCEEFF"/>
          </w:tcPr>
          <w:p>
            <w:pPr>
              <w:jc w:val="right"/>
              <w:ind w:right="100"/>
              <w:spacing w:after="0" w:line="123" w:lineRule="exact"/>
              <w:rPr>
                <w:sz w:val="20"/>
                <w:szCs w:val="20"/>
                <w:color w:val="auto"/>
              </w:rPr>
            </w:pPr>
            <w:r>
              <w:rPr>
                <w:rFonts w:ascii="Arial" w:cs="Arial" w:eastAsia="Arial" w:hAnsi="Arial"/>
                <w:sz w:val="11"/>
                <w:szCs w:val="11"/>
                <w:color w:val="auto"/>
              </w:rPr>
              <w:t>66,635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spacing w:after="0" w:line="123" w:lineRule="exact"/>
              <w:rPr>
                <w:sz w:val="20"/>
                <w:szCs w:val="20"/>
                <w:color w:val="auto"/>
              </w:rPr>
            </w:pPr>
            <w:r>
              <w:rPr>
                <w:rFonts w:ascii="Arial" w:cs="Arial" w:eastAsia="Arial" w:hAnsi="Arial"/>
                <w:sz w:val="11"/>
                <w:szCs w:val="11"/>
                <w:color w:val="auto"/>
              </w:rPr>
              <w:t>Currency swaps position, net</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(311,660)</w:t>
            </w: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311,660</w:t>
            </w:r>
          </w:p>
        </w:tc>
        <w:tc>
          <w:tcPr>
            <w:tcW w:w="220" w:type="dxa"/>
            <w:vAlign w:val="bottom"/>
          </w:tcPr>
          <w:p>
            <w:pPr>
              <w:spacing w:after="0"/>
              <w:rPr>
                <w:sz w:val="10"/>
                <w:szCs w:val="10"/>
                <w:color w:val="auto"/>
              </w:rPr>
            </w:pP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281,672</w:t>
            </w:r>
          </w:p>
        </w:tc>
        <w:tc>
          <w:tcPr>
            <w:tcW w:w="220" w:type="dxa"/>
            <w:vAlign w:val="bottom"/>
          </w:tcPr>
          <w:p>
            <w:pPr>
              <w:spacing w:after="0"/>
              <w:rPr>
                <w:sz w:val="10"/>
                <w:szCs w:val="10"/>
                <w:color w:val="auto"/>
              </w:rPr>
            </w:pP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(281,672)</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0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Cross currency swaps position, net</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(808,229)</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1,044,793</w:t>
            </w:r>
          </w:p>
        </w:tc>
        <w:tc>
          <w:tcPr>
            <w:tcW w:w="2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(396,194)</w:t>
            </w:r>
          </w:p>
        </w:tc>
        <w:tc>
          <w:tcPr>
            <w:tcW w:w="94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(159,630)</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(787,355)</w:t>
            </w:r>
          </w:p>
        </w:tc>
        <w:tc>
          <w:tcPr>
            <w:tcW w:w="9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692,525</w:t>
            </w:r>
          </w:p>
        </w:tc>
        <w:tc>
          <w:tcPr>
            <w:tcW w:w="90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(57,715)</w:t>
            </w:r>
          </w:p>
        </w:tc>
        <w:tc>
          <w:tcPr>
            <w:tcW w:w="820" w:type="dxa"/>
            <w:vAlign w:val="bottom"/>
            <w:gridSpan w:val="2"/>
            <w:shd w:val="clear" w:color="auto" w:fill="CCEEFF"/>
          </w:tcPr>
          <w:p>
            <w:pPr>
              <w:jc w:val="right"/>
              <w:ind w:right="60"/>
              <w:spacing w:after="0" w:line="123" w:lineRule="exact"/>
              <w:rPr>
                <w:sz w:val="20"/>
                <w:szCs w:val="20"/>
                <w:color w:val="auto"/>
              </w:rPr>
            </w:pPr>
            <w:r>
              <w:rPr>
                <w:rFonts w:ascii="Arial" w:cs="Arial" w:eastAsia="Arial" w:hAnsi="Arial"/>
                <w:sz w:val="11"/>
                <w:szCs w:val="11"/>
                <w:color w:val="auto"/>
              </w:rPr>
              <w:t>(152,545)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spacing w:after="0" w:line="123" w:lineRule="exact"/>
              <w:rPr>
                <w:sz w:val="20"/>
                <w:szCs w:val="20"/>
                <w:color w:val="auto"/>
              </w:rPr>
            </w:pPr>
            <w:r>
              <w:rPr>
                <w:rFonts w:ascii="Arial" w:cs="Arial" w:eastAsia="Arial" w:hAnsi="Arial"/>
                <w:sz w:val="11"/>
                <w:szCs w:val="11"/>
                <w:color w:val="auto"/>
              </w:rPr>
              <w:t>Options, net</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282,420</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(282,420)</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25,071</w:t>
            </w:r>
          </w:p>
        </w:tc>
        <w:tc>
          <w:tcPr>
            <w:tcW w:w="90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(25,071)</w:t>
            </w:r>
          </w:p>
        </w:tc>
        <w:tc>
          <w:tcPr>
            <w:tcW w:w="9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00"/>
              <w:spacing w:after="0" w:line="12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shd w:val="clear" w:color="auto" w:fill="CCEEFF"/>
          </w:tcPr>
          <w:p>
            <w:pPr>
              <w:spacing w:after="0"/>
              <w:rPr>
                <w:sz w:val="20"/>
                <w:szCs w:val="20"/>
                <w:color w:val="auto"/>
              </w:rPr>
            </w:pPr>
            <w:r>
              <w:rPr>
                <w:rFonts w:ascii="Arial" w:cs="Arial" w:eastAsia="Arial" w:hAnsi="Arial"/>
                <w:sz w:val="11"/>
                <w:szCs w:val="11"/>
                <w:b w:val="1"/>
                <w:bCs w:val="1"/>
                <w:color w:val="auto"/>
              </w:rPr>
              <w:t>Net monetary position</w:t>
            </w: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060" w:type="dxa"/>
            <w:vAlign w:val="bottom"/>
            <w:vMerge w:val="continue"/>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14,063,342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602,626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239,179</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14,905,147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17,384,067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149,989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475,747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18,009,803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99" w:name="page100"/>
    <w:bookmarkEnd w:id="99"/>
    <w:p>
      <w:pPr>
        <w:ind w:right="200"/>
        <w:spacing w:after="0" w:line="283" w:lineRule="auto"/>
        <w:rPr>
          <w:sz w:val="20"/>
          <w:szCs w:val="20"/>
          <w:color w:val="auto"/>
        </w:rPr>
      </w:pPr>
      <w:r>
        <w:rPr>
          <w:rFonts w:ascii="Arial" w:cs="Arial" w:eastAsia="Arial" w:hAnsi="Arial"/>
          <w:sz w:val="15"/>
          <w:szCs w:val="15"/>
          <w:color w:val="auto"/>
        </w:rPr>
        <w:t>The Group manages foreign exchange risk by monitoring and controlling the currency position values exposed to changes in exchange rates. The Group measures its performance in soles. (since 2014 considering its change in functional currency, it was measured in U.S. Dollars before), so if the net foreign currency exchange position (U.S. Dollar) is positive, any depreciation of soles would positively affect the Group’s interim condensed consolidated statement of financial position.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appreciation/depreciation of the foreign exchange would affect the interim condensed consolidated statement of income.</w:t>
      </w:r>
    </w:p>
    <w:p>
      <w:pPr>
        <w:spacing w:after="0" w:line="155" w:lineRule="exact"/>
        <w:rPr>
          <w:sz w:val="20"/>
          <w:szCs w:val="20"/>
          <w:color w:val="auto"/>
        </w:rPr>
      </w:pPr>
    </w:p>
    <w:p>
      <w:pPr>
        <w:spacing w:after="0" w:line="327" w:lineRule="auto"/>
        <w:rPr>
          <w:sz w:val="20"/>
          <w:szCs w:val="20"/>
          <w:color w:val="auto"/>
        </w:rPr>
      </w:pPr>
      <w:r>
        <w:rPr>
          <w:rFonts w:ascii="Arial" w:cs="Arial" w:eastAsia="Arial" w:hAnsi="Arial"/>
          <w:sz w:val="14"/>
          <w:szCs w:val="14"/>
          <w:color w:val="auto"/>
        </w:rPr>
        <w:t>The Group’s net foreign exchange position is the sum of its positive open non-soles positions (net long position) less the sum of its negative open non-soles positions (net short position). Any depreciation/appreciation of the foreign exchange position would affect the interim condensed consolidated statement of income. A currency mismatch would leave the Group’s interim condensed consolidated statement of financial position vulnerable to a fluctuation of foreign currency (exchange rate shock).</w:t>
      </w:r>
    </w:p>
    <w:p>
      <w:pPr>
        <w:spacing w:after="0" w:line="325"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15875</wp:posOffset>
            </wp:positionV>
            <wp:extent cx="714438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000"/>
          </w:cols>
          <w:pgMar w:left="560" w:top="839" w:right="339" w:bottom="1440" w:gutter="0" w:footer="0" w:header="0"/>
        </w:sectPr>
      </w:pPr>
    </w:p>
    <w:bookmarkStart w:id="100" w:name="page101"/>
    <w:bookmarkEnd w:id="100"/>
    <w:p>
      <w:pPr>
        <w:ind w:left="580"/>
        <w:spacing w:after="0" w:line="289" w:lineRule="auto"/>
        <w:rPr>
          <w:sz w:val="20"/>
          <w:szCs w:val="20"/>
          <w:color w:val="auto"/>
        </w:rPr>
      </w:pPr>
      <w:r>
        <w:rPr>
          <w:rFonts w:ascii="Arial" w:cs="Arial" w:eastAsia="Arial" w:hAnsi="Arial"/>
          <w:sz w:val="15"/>
          <w:szCs w:val="15"/>
          <w:color w:val="auto"/>
        </w:rPr>
        <w:t>The table below shows the sensitivity analysis of the U.S. Dollar, the currency to which the Group had significant exposure as of March 31, 2020 and December 31, 2019 in its monetary assets and liabilities and its forecast cash flows. The analysis determines the effect of a reasonably possible variation of the exchange rate against Soles with all other variables held constant on the interim condensed consolidated statement of income, before income tax. A negative amount in the table reflects a potential net reduction in the interim condensed consolidated statement of income, while a positive amount reflects a net potential increase: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Change in</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As of March</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0"/>
              </w:rPr>
              <w:t>As of December</w:t>
            </w: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6580" w:type="dxa"/>
            <w:vAlign w:val="bottom"/>
            <w:gridSpan w:val="3"/>
          </w:tcPr>
          <w:p>
            <w:pPr>
              <w:ind w:left="140"/>
              <w:spacing w:after="0"/>
              <w:rPr>
                <w:sz w:val="20"/>
                <w:szCs w:val="20"/>
                <w:color w:val="auto"/>
              </w:rPr>
            </w:pPr>
            <w:r>
              <w:rPr>
                <w:rFonts w:ascii="Arial" w:cs="Arial" w:eastAsia="Arial" w:hAnsi="Arial"/>
                <w:sz w:val="16"/>
                <w:szCs w:val="16"/>
                <w:b w:val="1"/>
                <w:bCs w:val="1"/>
                <w:color w:val="auto"/>
              </w:rPr>
              <w:t>Currency rate sensitivity</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currency rates</w:t>
            </w:r>
          </w:p>
        </w:tc>
        <w:tc>
          <w:tcPr>
            <w:tcW w:w="1120" w:type="dxa"/>
            <w:vAlign w:val="bottom"/>
          </w:tcPr>
          <w:p>
            <w:pPr>
              <w:jc w:val="right"/>
              <w:ind w:right="198"/>
              <w:spacing w:after="0"/>
              <w:rPr>
                <w:sz w:val="20"/>
                <w:szCs w:val="20"/>
                <w:color w:val="auto"/>
              </w:rPr>
            </w:pPr>
            <w:r>
              <w:rPr>
                <w:rFonts w:ascii="Arial" w:cs="Arial" w:eastAsia="Arial" w:hAnsi="Arial"/>
                <w:sz w:val="16"/>
                <w:szCs w:val="16"/>
                <w:b w:val="1"/>
                <w:bCs w:val="1"/>
                <w:color w:val="auto"/>
              </w:rPr>
              <w:t>31, 2020</w:t>
            </w:r>
          </w:p>
        </w:tc>
        <w:tc>
          <w:tcPr>
            <w:tcW w:w="200" w:type="dxa"/>
            <w:vAlign w:val="bottom"/>
          </w:tcPr>
          <w:p>
            <w:pPr>
              <w:spacing w:after="0"/>
              <w:rPr>
                <w:sz w:val="18"/>
                <w:szCs w:val="18"/>
                <w:color w:val="auto"/>
              </w:rPr>
            </w:pPr>
          </w:p>
        </w:tc>
        <w:tc>
          <w:tcPr>
            <w:tcW w:w="1140" w:type="dxa"/>
            <w:vAlign w:val="bottom"/>
          </w:tcPr>
          <w:p>
            <w:pPr>
              <w:jc w:val="right"/>
              <w:ind w:right="198"/>
              <w:spacing w:after="0"/>
              <w:rPr>
                <w:sz w:val="20"/>
                <w:szCs w:val="20"/>
                <w:color w:val="auto"/>
              </w:rPr>
            </w:pPr>
            <w:r>
              <w:rPr>
                <w:rFonts w:ascii="Arial" w:cs="Arial" w:eastAsia="Arial" w:hAnsi="Arial"/>
                <w:sz w:val="16"/>
                <w:szCs w:val="16"/>
                <w:b w:val="1"/>
                <w:bCs w:val="1"/>
                <w:color w:val="auto"/>
              </w:rPr>
              <w:t>31, 2019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200" w:type="dxa"/>
            <w:vAlign w:val="bottom"/>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Arial" w:cs="Arial" w:eastAsia="Arial" w:hAnsi="Arial"/>
                <w:sz w:val="16"/>
                <w:szCs w:val="16"/>
                <w:color w:val="auto"/>
              </w:rPr>
              <w:t>Soles in relation to U.S. Dollar</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5</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28,696</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7,142</w:t>
            </w:r>
          </w:p>
        </w:tc>
        <w:tc>
          <w:tcPr>
            <w:tcW w:w="0" w:type="dxa"/>
            <w:vAlign w:val="bottom"/>
          </w:tcPr>
          <w:p>
            <w:pPr>
              <w:spacing w:after="0"/>
              <w:rPr>
                <w:sz w:val="1"/>
                <w:szCs w:val="1"/>
                <w:color w:val="auto"/>
              </w:rPr>
            </w:pPr>
          </w:p>
        </w:tc>
      </w:tr>
      <w:tr>
        <w:trPr>
          <w:trHeight w:val="197"/>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Soles in relation to U.S. Dollar</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54,784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13,635</w:t>
            </w:r>
          </w:p>
        </w:tc>
        <w:tc>
          <w:tcPr>
            <w:tcW w:w="0" w:type="dxa"/>
            <w:vAlign w:val="bottom"/>
          </w:tcPr>
          <w:p>
            <w:pPr>
              <w:spacing w:after="0"/>
              <w:rPr>
                <w:sz w:val="1"/>
                <w:szCs w:val="1"/>
                <w:color w:val="auto"/>
              </w:rPr>
            </w:pPr>
          </w:p>
        </w:tc>
      </w:tr>
      <w:tr>
        <w:trPr>
          <w:trHeight w:val="197"/>
        </w:trPr>
        <w:tc>
          <w:tcPr>
            <w:tcW w:w="440" w:type="dxa"/>
            <w:vAlign w:val="bottom"/>
          </w:tcPr>
          <w:p>
            <w:pPr>
              <w:spacing w:after="0"/>
              <w:rPr>
                <w:sz w:val="17"/>
                <w:szCs w:val="17"/>
                <w:color w:val="auto"/>
              </w:rPr>
            </w:pPr>
          </w:p>
        </w:tc>
        <w:tc>
          <w:tcPr>
            <w:tcW w:w="140" w:type="dxa"/>
            <w:vAlign w:val="bottom"/>
            <w:vMerge w:val="restart"/>
          </w:tcPr>
          <w:p>
            <w:pPr>
              <w:spacing w:after="0"/>
              <w:rPr>
                <w:sz w:val="17"/>
                <w:szCs w:val="17"/>
                <w:color w:val="auto"/>
              </w:rPr>
            </w:pPr>
          </w:p>
        </w:tc>
        <w:tc>
          <w:tcPr>
            <w:tcW w:w="6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Appreciation -</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Arial" w:cs="Arial" w:eastAsia="Arial" w:hAnsi="Arial"/>
                <w:sz w:val="16"/>
                <w:szCs w:val="16"/>
                <w:color w:val="auto"/>
              </w:rPr>
              <w:t>Soles in relation to U.S. Dollar</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5</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(31,717)</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(7,894)</w:t>
            </w:r>
          </w:p>
        </w:tc>
        <w:tc>
          <w:tcPr>
            <w:tcW w:w="0" w:type="dxa"/>
            <w:vAlign w:val="bottom"/>
          </w:tcPr>
          <w:p>
            <w:pPr>
              <w:spacing w:after="0"/>
              <w:rPr>
                <w:sz w:val="1"/>
                <w:szCs w:val="1"/>
                <w:color w:val="auto"/>
              </w:rPr>
            </w:pPr>
          </w:p>
        </w:tc>
      </w:tr>
      <w:tr>
        <w:trPr>
          <w:trHeight w:val="197"/>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Soles in relation to U.S. Dollar</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(66,958)</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(16,665)</w:t>
            </w:r>
          </w:p>
        </w:tc>
        <w:tc>
          <w:tcPr>
            <w:tcW w:w="0" w:type="dxa"/>
            <w:vAlign w:val="bottom"/>
          </w:tcPr>
          <w:p>
            <w:pPr>
              <w:spacing w:after="0"/>
              <w:rPr>
                <w:sz w:val="1"/>
                <w:szCs w:val="1"/>
                <w:color w:val="auto"/>
              </w:rPr>
            </w:pPr>
          </w:p>
        </w:tc>
      </w:tr>
      <w:tr>
        <w:trPr>
          <w:trHeight w:val="392"/>
        </w:trPr>
        <w:tc>
          <w:tcPr>
            <w:tcW w:w="440" w:type="dxa"/>
            <w:vAlign w:val="bottom"/>
          </w:tcPr>
          <w:p>
            <w:pPr>
              <w:jc w:val="right"/>
              <w:ind w:right="78"/>
              <w:spacing w:after="0"/>
              <w:rPr>
                <w:sz w:val="20"/>
                <w:szCs w:val="20"/>
                <w:color w:val="auto"/>
              </w:rPr>
            </w:pPr>
            <w:r>
              <w:rPr>
                <w:rFonts w:ascii="Arial" w:cs="Arial" w:eastAsia="Arial" w:hAnsi="Arial"/>
                <w:sz w:val="16"/>
                <w:szCs w:val="16"/>
                <w:b w:val="1"/>
                <w:bCs w:val="1"/>
                <w:color w:val="auto"/>
                <w:w w:val="83"/>
              </w:rPr>
              <w:t>34.3</w:t>
            </w:r>
          </w:p>
        </w:tc>
        <w:tc>
          <w:tcPr>
            <w:tcW w:w="6580" w:type="dxa"/>
            <w:vAlign w:val="bottom"/>
            <w:gridSpan w:val="3"/>
          </w:tcPr>
          <w:p>
            <w:pPr>
              <w:ind w:left="140"/>
              <w:spacing w:after="0"/>
              <w:rPr>
                <w:sz w:val="20"/>
                <w:szCs w:val="20"/>
                <w:color w:val="auto"/>
              </w:rPr>
            </w:pPr>
            <w:r>
              <w:rPr>
                <w:rFonts w:ascii="Arial" w:cs="Arial" w:eastAsia="Arial" w:hAnsi="Arial"/>
                <w:sz w:val="16"/>
                <w:szCs w:val="16"/>
                <w:b w:val="1"/>
                <w:bCs w:val="1"/>
                <w:color w:val="auto"/>
              </w:rPr>
              <w:t>Liquidity risk</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580" w:right="420"/>
        <w:spacing w:after="0" w:line="271" w:lineRule="auto"/>
        <w:rPr>
          <w:sz w:val="20"/>
          <w:szCs w:val="20"/>
          <w:color w:val="auto"/>
        </w:rPr>
      </w:pPr>
      <w:r>
        <w:rPr>
          <w:rFonts w:ascii="Arial" w:cs="Arial" w:eastAsia="Arial" w:hAnsi="Arial"/>
          <w:sz w:val="16"/>
          <w:szCs w:val="16"/>
          <w:color w:val="auto"/>
        </w:rPr>
        <w:t>Liquidity risk is the risk that the Group is unable to meet its short-term payment obligations associated with its financial liabilities when they fall due and to replace funds when they are withdrawn. In this sense, the company that is facing a liquidity crisis would be failing to comply with the obligations to pay depositors and with commitments to lend or satisfy other operational cash needs.</w:t>
      </w:r>
    </w:p>
    <w:p>
      <w:pPr>
        <w:spacing w:after="0" w:line="163" w:lineRule="exact"/>
        <w:rPr>
          <w:sz w:val="20"/>
          <w:szCs w:val="20"/>
          <w:color w:val="auto"/>
        </w:rPr>
      </w:pPr>
    </w:p>
    <w:p>
      <w:pPr>
        <w:ind w:left="580" w:right="60"/>
        <w:spacing w:after="0" w:line="289" w:lineRule="auto"/>
        <w:rPr>
          <w:sz w:val="20"/>
          <w:szCs w:val="20"/>
          <w:color w:val="auto"/>
        </w:rPr>
      </w:pPr>
      <w:r>
        <w:rPr>
          <w:rFonts w:ascii="Arial" w:cs="Arial" w:eastAsia="Arial" w:hAnsi="Arial"/>
          <w:sz w:val="15"/>
          <w:szCs w:val="15"/>
          <w:color w:val="auto"/>
        </w:rPr>
        <w:t>The Group is exposed to daily cash requirements, interbank deposits, current accounts, time deposits, use of loans, guarantees and other requirements. The Management of the Group's subsidiaries establishes limits for the minimum funds amount available to cover such cash withdrawals and on the minimum level of inter-bank and other borrowing facilities that should be in place to cover withdrawals at unexpected levels of demand. Sources of liquidity are regularly reviewed by the corresponding risk teams to maintain a wide diversification by currency, geography, type of funding, provider, producer and term.</w:t>
      </w:r>
    </w:p>
    <w:p>
      <w:pPr>
        <w:spacing w:after="0" w:line="152" w:lineRule="exact"/>
        <w:rPr>
          <w:sz w:val="20"/>
          <w:szCs w:val="20"/>
          <w:color w:val="auto"/>
        </w:rPr>
      </w:pPr>
    </w:p>
    <w:p>
      <w:pPr>
        <w:ind w:left="580" w:right="40"/>
        <w:spacing w:after="0" w:line="271" w:lineRule="auto"/>
        <w:rPr>
          <w:sz w:val="20"/>
          <w:szCs w:val="20"/>
          <w:color w:val="auto"/>
        </w:rPr>
      </w:pPr>
      <w:r>
        <w:rPr>
          <w:rFonts w:ascii="Arial" w:cs="Arial" w:eastAsia="Arial" w:hAnsi="Arial"/>
          <w:sz w:val="16"/>
          <w:szCs w:val="16"/>
          <w:color w:val="auto"/>
        </w:rPr>
        <w:t>The procedure to control the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liquidity risk, which generates exposure to potential losses.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Maturities of assets and liabilities and the ability to replace them, at an acceptable cost are important factors in assessing the liquidity of the Group.</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101" w:name="page102"/>
    <w:bookmarkEnd w:id="101"/>
    <w:p>
      <w:pPr>
        <w:ind w:right="20"/>
        <w:spacing w:after="0" w:line="289" w:lineRule="auto"/>
        <w:rPr>
          <w:sz w:val="20"/>
          <w:szCs w:val="20"/>
          <w:color w:val="auto"/>
        </w:rPr>
      </w:pPr>
      <w:r>
        <w:rPr>
          <w:rFonts w:ascii="Arial" w:cs="Arial" w:eastAsia="Arial" w:hAnsi="Arial"/>
          <w:sz w:val="15"/>
          <w:szCs w:val="15"/>
          <w:color w:val="auto"/>
        </w:rPr>
        <w:t>A mismatch, in maturity of long-term illiquid assets against short-term liabilities, exposes the interim condensed consolidated statement of financial position to risks related both to rollover and to interest rates. If liquid assets do not cover maturing debts, an interim condensed consolidated statement of financial position is vulnerable to a rollover risk. Furthermore, a sharp increase in interest rates can dramatically increase the cost of rolling over short-term liabilities, leading to a rapid increase in debt cost. The contractual-maturity gap report is useful in showing liquidity characteristics.</w:t>
      </w:r>
    </w:p>
    <w:p>
      <w:pPr>
        <w:spacing w:after="0" w:line="15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Corporate policies have been implemented for liquidity risk management by the Group. These policies are consistent with the particular characteristics of each operating segment in which each of the Group companies operate. Risk Management heads set up limits and autonomy models to determine the adequate liquidity indicators to be managed.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banking and Microfinance:</w:t>
      </w:r>
    </w:p>
    <w:p>
      <w:pPr>
        <w:spacing w:after="0" w:line="21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Liquidity risk exposure in BCP Peru, BCP Bolivia, Mibanco and Atlantic Security Bank is based on indicators such as the Internal Liquidity Coverage Ratio (RCLI, the Spanish acronym) which measures the amount of liquid assets available to meet cash outflows needs within a given stress scenario for a period of 30 days and the Internal Ratio of Stable Net Funding (RFNEI, the Spanish acronym), which is intended to guarantee that long-term assets are financed at least with a minimum number of stable liabilities within a prolonged liquidity crisis scenario and works as a minimum compliance mechanism that supplements the RCLI. The core limits of these indicators are 100% and any excess is presented in the Credicorp Treasury Risk Committee, Credicorp Risk Committee and the Assets Liabilities Committee (ALCO) of the respective subsidiary.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Insurances and Pensions:</w:t>
      </w:r>
    </w:p>
    <w:p>
      <w:pPr>
        <w:spacing w:after="0" w:line="209"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u w:val="single" w:color="auto"/>
          <w:color w:val="auto"/>
        </w:rPr>
        <w:t>Insurances</w:t>
      </w:r>
      <w:r>
        <w:rPr>
          <w:rFonts w:ascii="Arial" w:cs="Arial" w:eastAsia="Arial" w:hAnsi="Arial"/>
          <w:sz w:val="16"/>
          <w:szCs w:val="16"/>
          <w:b w:val="1"/>
          <w:bCs w:val="1"/>
          <w:color w:val="auto"/>
        </w:rPr>
        <w:t>:</w:t>
      </w:r>
      <w:r>
        <w:rPr>
          <w:rFonts w:ascii="Arial" w:cs="Arial" w:eastAsia="Arial" w:hAnsi="Arial"/>
          <w:sz w:val="16"/>
          <w:szCs w:val="16"/>
          <w:color w:val="auto"/>
        </w:rPr>
        <w:t xml:space="preserve"> Liquidity risk management in Pacífico Grupo Asegurador follows a particular approach given the nature of the business. For annually renewable businesses, mainly general insurance, the emphasis of liquidity is focused on the quick availability of resources in the event of a systemic event (e.g. earthquake); for this purpose, there are minimum investment indicators in place relating to local cash/time deposits and foreign fixed-income instruments of high quality and liquidity.</w:t>
      </w:r>
    </w:p>
    <w:p>
      <w:pPr>
        <w:spacing w:after="0" w:line="165"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For long-term businesses such as Pacífico Seguros, given the nature of the products offered and the contractual relationship with customers (the liquidity risk is not material); the emphasis is on maintaining sufficient flow of assets and matching their maturities with maturities of obligations (mathematical technical reserves); for this purpose there are indicators that measure the asset/liability sufficiency and adequacy as well as calculations or economic capital subject to interest rate risk, this last under the methodology of Credicorp.</w:t>
      </w:r>
    </w:p>
    <w:p>
      <w:pPr>
        <w:spacing w:after="0" w:line="163"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u w:val="single" w:color="auto"/>
          <w:color w:val="auto"/>
        </w:rPr>
        <w:t>Pensions</w:t>
      </w:r>
      <w:r>
        <w:rPr>
          <w:rFonts w:ascii="Arial" w:cs="Arial" w:eastAsia="Arial" w:hAnsi="Arial"/>
          <w:sz w:val="16"/>
          <w:szCs w:val="16"/>
          <w:b w:val="1"/>
          <w:bCs w:val="1"/>
          <w:color w:val="auto"/>
        </w:rPr>
        <w:t>:</w:t>
      </w:r>
      <w:r>
        <w:rPr>
          <w:rFonts w:ascii="Arial" w:cs="Arial" w:eastAsia="Arial" w:hAnsi="Arial"/>
          <w:sz w:val="16"/>
          <w:szCs w:val="16"/>
          <w:color w:val="auto"/>
        </w:rPr>
        <w:t xml:space="preserve"> Liquidity risk management in AFP Prima is carried out in a differentiated manner between the fund administrator and the funds being managed. Liquidity management regarding the fund administrator is focused on hedge meeting periodic operating expense needs, which are supported with the collection of commissions. The fund administering entity does not record unexpected outflows of liquidity.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banking:</w:t>
      </w:r>
    </w:p>
    <w:p>
      <w:pPr>
        <w:spacing w:after="0" w:line="21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Liquidity risk in the Grupo Credicorp Capital principally affects the security brokerage. In managing this risk, limits of use of liquidity have been established as well as mismatching by dealing desk; follow-up on liquidity is performed on a daily basis for a short-term horizon covering the coming settlements. If short-term unmatched maturities are identified, repos are used. On the other hand, structural liquidity risk of Credicorp Capital is not significant given the low levels of debt, which is monitored regularly using financial planning tools.</w:t>
      </w:r>
    </w:p>
    <w:p>
      <w:pPr>
        <w:spacing w:after="0" w:line="364"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15875</wp:posOffset>
            </wp:positionV>
            <wp:extent cx="714438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640"/>
          </w:cols>
          <w:pgMar w:left="900" w:top="839" w:right="359" w:bottom="1440" w:gutter="0" w:footer="0" w:header="0"/>
        </w:sectPr>
      </w:pPr>
    </w:p>
    <w:bookmarkStart w:id="102" w:name="page103"/>
    <w:bookmarkEnd w:id="102"/>
    <w:p>
      <w:pPr>
        <w:ind w:left="580" w:right="140"/>
        <w:spacing w:after="0" w:line="298" w:lineRule="auto"/>
        <w:rPr>
          <w:sz w:val="20"/>
          <w:szCs w:val="20"/>
          <w:color w:val="auto"/>
        </w:rPr>
      </w:pPr>
      <w:r>
        <w:rPr>
          <w:rFonts w:ascii="Arial" w:cs="Arial" w:eastAsia="Arial" w:hAnsi="Arial"/>
          <w:sz w:val="15"/>
          <w:szCs w:val="15"/>
          <w:color w:val="auto"/>
        </w:rPr>
        <w:t>In the case of Atlantic Security Bank, the risk liquidity management performs through indicators such as Internal Liquidity Coverage Ratio (RCLI, the Spanish acronym) and the Internal Ratio of Stable Net Funding (RFNEI, the Spanish acronym) with the core limits of 100% and any excess is presented in the Credicorp Treasury Risk Committee, Credicorp Risk Committee and the Assets Liabilities Committee (ALCO) of the respective subsidiary.</w:t>
      </w:r>
    </w:p>
    <w:p>
      <w:pPr>
        <w:spacing w:after="0" w:line="144" w:lineRule="exact"/>
        <w:rPr>
          <w:sz w:val="20"/>
          <w:szCs w:val="20"/>
          <w:color w:val="auto"/>
        </w:rPr>
      </w:pPr>
    </w:p>
    <w:p>
      <w:pPr>
        <w:ind w:left="580" w:right="420"/>
        <w:spacing w:after="0" w:line="287" w:lineRule="auto"/>
        <w:rPr>
          <w:sz w:val="20"/>
          <w:szCs w:val="20"/>
          <w:color w:val="auto"/>
        </w:rPr>
      </w:pPr>
      <w:r>
        <w:rPr>
          <w:rFonts w:ascii="Arial" w:cs="Arial" w:eastAsia="Arial" w:hAnsi="Arial"/>
          <w:sz w:val="16"/>
          <w:szCs w:val="16"/>
          <w:color w:val="auto"/>
        </w:rPr>
        <w:t>During the first quarter of 2020, the Group maintained a comfortable position, supported by a robust high-quality liquid assets buffer, with ratios well above limits.</w:t>
      </w:r>
    </w:p>
    <w:p>
      <w:pPr>
        <w:spacing w:after="0" w:line="14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34.4</w:t>
      </w:r>
      <w:r>
        <w:rPr>
          <w:sz w:val="20"/>
          <w:szCs w:val="20"/>
          <w:color w:val="auto"/>
        </w:rPr>
        <w:tab/>
      </w:r>
      <w:r>
        <w:rPr>
          <w:rFonts w:ascii="Arial" w:cs="Arial" w:eastAsia="Arial" w:hAnsi="Arial"/>
          <w:sz w:val="15"/>
          <w:szCs w:val="15"/>
          <w:b w:val="1"/>
          <w:bCs w:val="1"/>
          <w:color w:val="auto"/>
        </w:rPr>
        <w:t>Operational risk -</w:t>
      </w:r>
    </w:p>
    <w:p>
      <w:pPr>
        <w:spacing w:after="0" w:line="213" w:lineRule="exact"/>
        <w:rPr>
          <w:sz w:val="20"/>
          <w:szCs w:val="20"/>
          <w:color w:val="auto"/>
        </w:rPr>
      </w:pPr>
    </w:p>
    <w:p>
      <w:pPr>
        <w:jc w:val="both"/>
        <w:ind w:left="580" w:right="320"/>
        <w:spacing w:after="0" w:line="298" w:lineRule="auto"/>
        <w:rPr>
          <w:sz w:val="20"/>
          <w:szCs w:val="20"/>
          <w:color w:val="auto"/>
        </w:rPr>
      </w:pPr>
      <w:r>
        <w:rPr>
          <w:rFonts w:ascii="Arial" w:cs="Arial" w:eastAsia="Arial" w:hAnsi="Arial"/>
          <w:sz w:val="15"/>
          <w:szCs w:val="15"/>
          <w:color w:val="auto"/>
        </w:rPr>
        <w:t>Operational risk is the possibility of the occurrence of losses arising from inadequate processes, human error, failure of information technology, relations with third parties or external events. Operational risks can, lead to financial losses and have legal or regulatory compliance consequences, but exclude strategic or reputational risk (with the exception of companies under Colombian regulations, where reputational risk is included in operational risk).</w:t>
      </w:r>
    </w:p>
    <w:p>
      <w:pPr>
        <w:spacing w:after="0" w:line="144" w:lineRule="exact"/>
        <w:rPr>
          <w:sz w:val="20"/>
          <w:szCs w:val="20"/>
          <w:color w:val="auto"/>
        </w:rPr>
      </w:pPr>
    </w:p>
    <w:p>
      <w:pPr>
        <w:ind w:left="580" w:right="520"/>
        <w:spacing w:after="0" w:line="322" w:lineRule="auto"/>
        <w:rPr>
          <w:sz w:val="20"/>
          <w:szCs w:val="20"/>
          <w:color w:val="auto"/>
        </w:rPr>
      </w:pPr>
      <w:r>
        <w:rPr>
          <w:rFonts w:ascii="Arial" w:cs="Arial" w:eastAsia="Arial" w:hAnsi="Arial"/>
          <w:sz w:val="15"/>
          <w:szCs w:val="15"/>
          <w:color w:val="auto"/>
        </w:rPr>
        <w:t>Operational risks are grouped into internal fraud, external fraud, labor relations and job security, relations with customers, business products and practices, damages to material assets, business and systems interruption, and failures in process execution, delivery and management of processes.</w:t>
      </w:r>
    </w:p>
    <w:p>
      <w:pPr>
        <w:spacing w:after="0" w:line="127" w:lineRule="exact"/>
        <w:rPr>
          <w:sz w:val="20"/>
          <w:szCs w:val="20"/>
          <w:color w:val="auto"/>
        </w:rPr>
      </w:pPr>
    </w:p>
    <w:p>
      <w:pPr>
        <w:ind w:left="580"/>
        <w:spacing w:after="0" w:line="271" w:lineRule="auto"/>
        <w:rPr>
          <w:sz w:val="20"/>
          <w:szCs w:val="20"/>
          <w:color w:val="auto"/>
        </w:rPr>
      </w:pPr>
      <w:r>
        <w:rPr>
          <w:rFonts w:ascii="Arial" w:cs="Arial" w:eastAsia="Arial" w:hAnsi="Arial"/>
          <w:sz w:val="16"/>
          <w:szCs w:val="16"/>
          <w:color w:val="auto"/>
        </w:rPr>
        <w:t>One of the Group’s pillars is to develop an efficient risk culture, and to achieve this, it records operational risks and their respective process controls. The risk map permits their monitoring, prioritization and proposed treatment according to established governance. Likewise carries out an active cybersecurity and fraud prevention management, aligned with the best international practices.</w:t>
      </w:r>
    </w:p>
    <w:p>
      <w:pPr>
        <w:spacing w:after="0" w:line="163" w:lineRule="exact"/>
        <w:rPr>
          <w:sz w:val="20"/>
          <w:szCs w:val="20"/>
          <w:color w:val="auto"/>
        </w:rPr>
      </w:pPr>
    </w:p>
    <w:p>
      <w:pPr>
        <w:jc w:val="both"/>
        <w:ind w:left="580" w:right="180"/>
        <w:spacing w:after="0" w:line="271" w:lineRule="auto"/>
        <w:rPr>
          <w:sz w:val="20"/>
          <w:szCs w:val="20"/>
          <w:color w:val="auto"/>
        </w:rPr>
      </w:pPr>
      <w:r>
        <w:rPr>
          <w:rFonts w:ascii="Arial" w:cs="Arial" w:eastAsia="Arial" w:hAnsi="Arial"/>
          <w:sz w:val="16"/>
          <w:szCs w:val="16"/>
          <w:color w:val="auto"/>
        </w:rPr>
        <w:t>The business continuity management system enables the establishing, implementing, operating, monitoring, reviewing, maintaining and improving of business continuity based on best practices and regulatory requirements. The Group implements recovery strategies for the resources that support important products and services of the organization, which will be periodically tested to measure the effectiveness of the strategy.</w:t>
      </w:r>
    </w:p>
    <w:p>
      <w:pPr>
        <w:spacing w:after="0" w:line="163" w:lineRule="exact"/>
        <w:rPr>
          <w:sz w:val="20"/>
          <w:szCs w:val="20"/>
          <w:color w:val="auto"/>
        </w:rPr>
      </w:pPr>
    </w:p>
    <w:p>
      <w:pPr>
        <w:ind w:left="580" w:right="560"/>
        <w:spacing w:after="0" w:line="287" w:lineRule="auto"/>
        <w:rPr>
          <w:sz w:val="20"/>
          <w:szCs w:val="20"/>
          <w:color w:val="auto"/>
        </w:rPr>
      </w:pPr>
      <w:r>
        <w:rPr>
          <w:rFonts w:ascii="Arial" w:cs="Arial" w:eastAsia="Arial" w:hAnsi="Arial"/>
          <w:sz w:val="16"/>
          <w:szCs w:val="16"/>
          <w:color w:val="auto"/>
        </w:rPr>
        <w:t>In the management of operational risk, cybersecurity, fraud prevention and business continuity, corporate guidelines are used, and methodologies and best practices are shared among the Group's companies.</w:t>
      </w:r>
    </w:p>
    <w:p>
      <w:pPr>
        <w:spacing w:after="0" w:line="150" w:lineRule="exact"/>
        <w:rPr>
          <w:sz w:val="20"/>
          <w:szCs w:val="20"/>
          <w:color w:val="auto"/>
        </w:rPr>
      </w:pPr>
    </w:p>
    <w:p>
      <w:pPr>
        <w:ind w:left="580" w:right="40"/>
        <w:spacing w:after="0" w:line="271" w:lineRule="auto"/>
        <w:rPr>
          <w:sz w:val="20"/>
          <w:szCs w:val="20"/>
          <w:color w:val="auto"/>
        </w:rPr>
      </w:pPr>
      <w:r>
        <w:rPr>
          <w:rFonts w:ascii="Arial" w:cs="Arial" w:eastAsia="Arial" w:hAnsi="Arial"/>
          <w:sz w:val="16"/>
          <w:szCs w:val="16"/>
          <w:color w:val="auto"/>
        </w:rPr>
        <w:t>The management of information security is carried out through a systemic process, documented and known by the entire organization under the best practices and regulatory requirements. The Group designs and develops the guidelines described in the policy and procedures to have strategies for availability, privacy and integrity of the information assets of the organization.</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103" w:name="page104"/>
    <w:bookmarkEnd w:id="103"/>
    <w:p>
      <w:pPr>
        <w:spacing w:after="0"/>
        <w:tabs>
          <w:tab w:leader="none" w:pos="560" w:val="left"/>
        </w:tabs>
        <w:rPr>
          <w:sz w:val="20"/>
          <w:szCs w:val="20"/>
          <w:color w:val="auto"/>
        </w:rPr>
      </w:pPr>
      <w:r>
        <w:rPr>
          <w:rFonts w:ascii="Arial" w:cs="Arial" w:eastAsia="Arial" w:hAnsi="Arial"/>
          <w:sz w:val="16"/>
          <w:szCs w:val="16"/>
          <w:b w:val="1"/>
          <w:bCs w:val="1"/>
          <w:color w:val="auto"/>
        </w:rPr>
        <w:t>34.5</w:t>
      </w:r>
      <w:r>
        <w:rPr>
          <w:sz w:val="20"/>
          <w:szCs w:val="20"/>
          <w:color w:val="auto"/>
        </w:rPr>
        <w:tab/>
      </w:r>
      <w:r>
        <w:rPr>
          <w:rFonts w:ascii="Arial" w:cs="Arial" w:eastAsia="Arial" w:hAnsi="Arial"/>
          <w:sz w:val="14"/>
          <w:szCs w:val="14"/>
          <w:b w:val="1"/>
          <w:bCs w:val="1"/>
          <w:color w:val="auto"/>
        </w:rPr>
        <w:t>Risk of the insurance activity -</w:t>
      </w:r>
    </w:p>
    <w:p>
      <w:pPr>
        <w:spacing w:after="0" w:line="213" w:lineRule="exact"/>
        <w:rPr>
          <w:sz w:val="20"/>
          <w:szCs w:val="20"/>
          <w:color w:val="auto"/>
        </w:rPr>
      </w:pPr>
    </w:p>
    <w:p>
      <w:pPr>
        <w:ind w:left="580" w:right="100"/>
        <w:spacing w:after="0" w:line="271" w:lineRule="auto"/>
        <w:rPr>
          <w:sz w:val="20"/>
          <w:szCs w:val="20"/>
          <w:color w:val="auto"/>
        </w:rPr>
      </w:pPr>
      <w:r>
        <w:rPr>
          <w:rFonts w:ascii="Arial" w:cs="Arial" w:eastAsia="Arial" w:hAnsi="Arial"/>
          <w:sz w:val="16"/>
          <w:szCs w:val="16"/>
          <w:color w:val="auto"/>
        </w:rPr>
        <w:t>The principal risk the Group faces under insurance contracts is that the actual claims and benefit payments or the timing thereof, differ from expectations. This is influenced by the frequency of claims, severity of claims, actual benefits paid and subsequent development of long-term claims. Therefore, the objective of the Group is to ensure that sufficient reserves are available to cover these liabilities.</w:t>
      </w:r>
    </w:p>
    <w:p>
      <w:pPr>
        <w:spacing w:after="0" w:line="163" w:lineRule="exact"/>
        <w:rPr>
          <w:sz w:val="20"/>
          <w:szCs w:val="20"/>
          <w:color w:val="auto"/>
        </w:rPr>
      </w:pPr>
    </w:p>
    <w:p>
      <w:pPr>
        <w:ind w:left="580"/>
        <w:spacing w:after="0" w:line="298" w:lineRule="auto"/>
        <w:rPr>
          <w:sz w:val="20"/>
          <w:szCs w:val="20"/>
          <w:color w:val="auto"/>
        </w:rPr>
      </w:pPr>
      <w:r>
        <w:rPr>
          <w:rFonts w:ascii="Arial" w:cs="Arial" w:eastAsia="Arial" w:hAnsi="Arial"/>
          <w:sz w:val="15"/>
          <w:szCs w:val="15"/>
          <w:color w:val="auto"/>
        </w:rPr>
        <w:t>The above risk exposure is mitigated by diversification across a large portfolio of insurance contracts. The variability of risks is also improved by careful selection and implementation of underwriting strategy guidelines, as well as the use of reinsurance arrangements. The Group’s placement of reinsurance is diversified so that it is neither dependent on a single reinsurer nor are the operations of the Group substantially dependent upon any single reinsurance contract.</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Life insurance contracts -</w:t>
      </w:r>
    </w:p>
    <w:p>
      <w:pPr>
        <w:spacing w:after="0" w:line="209" w:lineRule="exact"/>
        <w:rPr>
          <w:sz w:val="20"/>
          <w:szCs w:val="20"/>
          <w:color w:val="auto"/>
        </w:rPr>
      </w:pPr>
    </w:p>
    <w:p>
      <w:pPr>
        <w:ind w:left="580" w:right="40"/>
        <w:spacing w:after="0" w:line="271" w:lineRule="auto"/>
        <w:rPr>
          <w:sz w:val="20"/>
          <w:szCs w:val="20"/>
          <w:color w:val="auto"/>
        </w:rPr>
      </w:pPr>
      <w:r>
        <w:rPr>
          <w:rFonts w:ascii="Arial" w:cs="Arial" w:eastAsia="Arial" w:hAnsi="Arial"/>
          <w:sz w:val="16"/>
          <w:szCs w:val="16"/>
          <w:color w:val="auto"/>
        </w:rPr>
        <w:t>The main risks that the Group is exposed to are mortality, morbidity, longevity, investment yield and flow, losses arising from policies due to the expense incurred being different than expected, and the policyholder decision; all of which, do not vary significantly in relation to the location of the risk insured by the Group, type of risk insured or industry.</w:t>
      </w:r>
    </w:p>
    <w:p>
      <w:pPr>
        <w:spacing w:after="0" w:line="163" w:lineRule="exact"/>
        <w:rPr>
          <w:sz w:val="20"/>
          <w:szCs w:val="20"/>
          <w:color w:val="auto"/>
        </w:rPr>
      </w:pPr>
    </w:p>
    <w:p>
      <w:pPr>
        <w:ind w:left="580"/>
        <w:spacing w:after="0" w:line="264" w:lineRule="auto"/>
        <w:rPr>
          <w:sz w:val="20"/>
          <w:szCs w:val="20"/>
          <w:color w:val="auto"/>
        </w:rPr>
      </w:pPr>
      <w:r>
        <w:rPr>
          <w:rFonts w:ascii="Arial" w:cs="Arial" w:eastAsia="Arial" w:hAnsi="Arial"/>
          <w:sz w:val="16"/>
          <w:szCs w:val="16"/>
          <w:color w:val="auto"/>
        </w:rPr>
        <w:t>The Group’s underwriting strategy is designed to ensure that risks are well diversified in terms of type of risk and level of insured benefits. This is achieved through diversification across insurable risks, the use of medical screening in order to ensure that pricing takes account of current health conditions and family medical history, regular review of actual claims experience and product pricing, as well as detailed claims handling procedures. Underwriting limits are in place to enforce appropriate risk selection criteria. For example, the Group has the right not to renew individual policies, it can impose deductibles and it has the right to reject the payment of fraudulent claims.</w:t>
      </w:r>
    </w:p>
    <w:p>
      <w:pPr>
        <w:spacing w:after="0" w:line="167" w:lineRule="exact"/>
        <w:rPr>
          <w:sz w:val="20"/>
          <w:szCs w:val="20"/>
          <w:color w:val="auto"/>
        </w:rPr>
      </w:pPr>
    </w:p>
    <w:p>
      <w:pPr>
        <w:ind w:left="580" w:right="360"/>
        <w:spacing w:after="0" w:line="287" w:lineRule="auto"/>
        <w:rPr>
          <w:sz w:val="20"/>
          <w:szCs w:val="20"/>
          <w:color w:val="auto"/>
        </w:rPr>
      </w:pPr>
      <w:r>
        <w:rPr>
          <w:rFonts w:ascii="Arial" w:cs="Arial" w:eastAsia="Arial" w:hAnsi="Arial"/>
          <w:sz w:val="16"/>
          <w:szCs w:val="16"/>
          <w:color w:val="auto"/>
        </w:rPr>
        <w:t>For contracts when death or disability is the insured risk, the significant factors that could increase the overall frequency of claims are epidemics, widespread changes in lifestyle and natural disasters, resulting in more claims than expected.</w:t>
      </w:r>
    </w:p>
    <w:p>
      <w:pPr>
        <w:spacing w:after="0" w:line="150" w:lineRule="exact"/>
        <w:rPr>
          <w:sz w:val="20"/>
          <w:szCs w:val="20"/>
          <w:color w:val="auto"/>
        </w:rPr>
      </w:pPr>
    </w:p>
    <w:p>
      <w:pPr>
        <w:ind w:left="580" w:right="340"/>
        <w:spacing w:after="0" w:line="287" w:lineRule="auto"/>
        <w:rPr>
          <w:sz w:val="20"/>
          <w:szCs w:val="20"/>
          <w:color w:val="auto"/>
        </w:rPr>
      </w:pPr>
      <w:r>
        <w:rPr>
          <w:rFonts w:ascii="Arial" w:cs="Arial" w:eastAsia="Arial" w:hAnsi="Arial"/>
          <w:sz w:val="16"/>
          <w:szCs w:val="16"/>
          <w:color w:val="auto"/>
        </w:rPr>
        <w:t>For retirement, survival and disability annuities contracts, the most significant factor is continuing improvement in medical science and social conditions that increase longevity.</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Management has performed a sensitivity analysis of the technical reserve estimates, Note 16(c).</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Non-life insurance contracts (general insurance and healthcare) -</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Group mainly issues the following types of non-life general insurance contracts: automobile, technical branches, business and healthcare insurances.</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Healthcare contracts provide medical expense cover to policyholders. Risks under non-life insurance policies usually cover 12 months.</w:t>
      </w:r>
    </w:p>
    <w:p>
      <w:pPr>
        <w:spacing w:after="0" w:line="198" w:lineRule="exact"/>
        <w:rPr>
          <w:sz w:val="20"/>
          <w:szCs w:val="20"/>
          <w:color w:val="auto"/>
        </w:rPr>
      </w:pPr>
    </w:p>
    <w:p>
      <w:pPr>
        <w:ind w:left="580" w:right="320"/>
        <w:spacing w:after="0" w:line="287" w:lineRule="auto"/>
        <w:rPr>
          <w:sz w:val="20"/>
          <w:szCs w:val="20"/>
          <w:color w:val="auto"/>
        </w:rPr>
      </w:pPr>
      <w:r>
        <w:rPr>
          <w:rFonts w:ascii="Arial" w:cs="Arial" w:eastAsia="Arial" w:hAnsi="Arial"/>
          <w:sz w:val="16"/>
          <w:szCs w:val="16"/>
          <w:color w:val="auto"/>
        </w:rPr>
        <w:t>For general insurance contracts the most significant risks arise from climate changes, natural disasters and other type of damages. For healthcare contracts the most significant risks arise from lifestyle changes, epidemics and medical science and technology improvements.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Most of these risks do not vary significantly in relation to the location of the risk insured by the Group, type of risk insured or industry.</w:t>
      </w:r>
    </w:p>
    <w:p>
      <w:pPr>
        <w:spacing w:after="0" w:line="209" w:lineRule="exact"/>
        <w:rPr>
          <w:sz w:val="20"/>
          <w:szCs w:val="20"/>
          <w:color w:val="auto"/>
        </w:rPr>
      </w:pPr>
    </w:p>
    <w:p>
      <w:pPr>
        <w:ind w:left="580"/>
        <w:spacing w:after="0" w:line="261" w:lineRule="auto"/>
        <w:rPr>
          <w:sz w:val="20"/>
          <w:szCs w:val="20"/>
          <w:color w:val="auto"/>
        </w:rPr>
      </w:pPr>
      <w:r>
        <w:rPr>
          <w:rFonts w:ascii="Arial" w:cs="Arial" w:eastAsia="Arial" w:hAnsi="Arial"/>
          <w:sz w:val="16"/>
          <w:szCs w:val="16"/>
          <w:color w:val="auto"/>
        </w:rPr>
        <w:t>The above risk exposures are mitigated by diversification across a large portfolio of insurance contracts. The variability of risk is improved by careful selection and implementation of underwriting strategies, which are designed to ensure that risks are diversified in terms of type of risks and level of insured benefits. This is achieved, in various cases, through diversification across industry sectors and geography. Furthermore, strict claim review policies to assess all new and ongoing claims and in process of settlement, regular detailed review of claims handling procedures and frequent investigation of possible fraudulent claims are all policies and procedures put in place to reduce the Group’s risk exposure. Insurance contracts also entitle the Group to pursue third parties for payment of some or all costs. Also, the Group actively manages and promptly pursues claims, in order to reduce its exposure to unpredictable future developments that can negatively impact the Group.</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04" w:name="page105"/>
    <w:bookmarkEnd w:id="104"/>
    <w:p>
      <w:pPr>
        <w:ind w:left="287"/>
        <w:spacing w:after="0" w:line="287" w:lineRule="auto"/>
        <w:rPr>
          <w:sz w:val="20"/>
          <w:szCs w:val="20"/>
          <w:color w:val="auto"/>
        </w:rPr>
      </w:pPr>
      <w:r>
        <w:rPr>
          <w:rFonts w:ascii="Arial" w:cs="Arial" w:eastAsia="Arial" w:hAnsi="Arial"/>
          <w:sz w:val="16"/>
          <w:szCs w:val="16"/>
          <w:color w:val="auto"/>
        </w:rPr>
        <w:t>The Group has also limited its exposure by imposing maximum claim amounts on certain contracts as well as the use of reinsurance arrangements in order to limit its exposure to catastrophic events.</w:t>
      </w:r>
    </w:p>
    <w:p>
      <w:pPr>
        <w:spacing w:after="0" w:line="150" w:lineRule="exact"/>
        <w:rPr>
          <w:sz w:val="20"/>
          <w:szCs w:val="20"/>
          <w:color w:val="auto"/>
        </w:rPr>
      </w:pPr>
    </w:p>
    <w:p>
      <w:pPr>
        <w:ind w:left="287"/>
        <w:spacing w:after="0"/>
        <w:rPr>
          <w:sz w:val="20"/>
          <w:szCs w:val="20"/>
          <w:color w:val="auto"/>
        </w:rPr>
      </w:pPr>
      <w:r>
        <w:rPr>
          <w:rFonts w:ascii="Arial" w:cs="Arial" w:eastAsia="Arial" w:hAnsi="Arial"/>
          <w:sz w:val="16"/>
          <w:szCs w:val="16"/>
          <w:color w:val="auto"/>
        </w:rPr>
        <w:t>Credit risk of the insurance activity –</w:t>
      </w:r>
    </w:p>
    <w:p>
      <w:pPr>
        <w:spacing w:after="0" w:line="209" w:lineRule="exact"/>
        <w:rPr>
          <w:sz w:val="20"/>
          <w:szCs w:val="20"/>
          <w:color w:val="auto"/>
        </w:rPr>
      </w:pPr>
    </w:p>
    <w:p>
      <w:pPr>
        <w:ind w:left="287"/>
        <w:spacing w:after="0"/>
        <w:rPr>
          <w:sz w:val="20"/>
          <w:szCs w:val="20"/>
          <w:color w:val="auto"/>
        </w:rPr>
      </w:pPr>
      <w:r>
        <w:rPr>
          <w:rFonts w:ascii="Arial" w:cs="Arial" w:eastAsia="Arial" w:hAnsi="Arial"/>
          <w:sz w:val="15"/>
          <w:szCs w:val="15"/>
          <w:color w:val="auto"/>
        </w:rPr>
        <w:t>Credit risk is the risk that one party to a financial instrument will cause a financial loss to the other party by failing to discharge the total obligation at maturity.</w:t>
      </w:r>
    </w:p>
    <w:p>
      <w:pPr>
        <w:spacing w:after="0" w:line="221" w:lineRule="exact"/>
        <w:rPr>
          <w:sz w:val="20"/>
          <w:szCs w:val="20"/>
          <w:color w:val="auto"/>
        </w:rPr>
      </w:pPr>
    </w:p>
    <w:p>
      <w:pPr>
        <w:ind w:left="287"/>
        <w:spacing w:after="0"/>
        <w:rPr>
          <w:sz w:val="20"/>
          <w:szCs w:val="20"/>
          <w:color w:val="auto"/>
        </w:rPr>
      </w:pPr>
      <w:r>
        <w:rPr>
          <w:rFonts w:ascii="Arial" w:cs="Arial" w:eastAsia="Arial" w:hAnsi="Arial"/>
          <w:sz w:val="16"/>
          <w:szCs w:val="16"/>
          <w:color w:val="auto"/>
        </w:rPr>
        <w:t>The following policies and procedures are in place to mitigate the Group’s exposure to credit risk:</w:t>
      </w:r>
    </w:p>
    <w:p>
      <w:pPr>
        <w:spacing w:after="0" w:line="209" w:lineRule="exact"/>
        <w:rPr>
          <w:sz w:val="20"/>
          <w:szCs w:val="20"/>
          <w:color w:val="auto"/>
        </w:rPr>
      </w:pPr>
    </w:p>
    <w:p>
      <w:pPr>
        <w:ind w:left="287" w:hanging="287"/>
        <w:spacing w:after="0"/>
        <w:tabs>
          <w:tab w:leader="none" w:pos="28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Group sets the maximum amounts and limits that may be granted to corporate counterparties according to their long- term credit ratings.</w:t>
      </w:r>
    </w:p>
    <w:p>
      <w:pPr>
        <w:spacing w:after="0" w:line="209" w:lineRule="exact"/>
        <w:rPr>
          <w:rFonts w:ascii="Arial" w:cs="Arial" w:eastAsia="Arial" w:hAnsi="Arial"/>
          <w:sz w:val="16"/>
          <w:szCs w:val="16"/>
          <w:color w:val="auto"/>
        </w:rPr>
      </w:pPr>
    </w:p>
    <w:p>
      <w:pPr>
        <w:ind w:left="287" w:right="60" w:hanging="287"/>
        <w:spacing w:after="0" w:line="271" w:lineRule="auto"/>
        <w:tabs>
          <w:tab w:leader="none" w:pos="28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Credit risk from customer balances related to non-payment of premiums or contributions, will only persist during the grace period specified in the policy document or trust deed until the policy is paid up or terminated. Commissions paid to intermediaries are netted off against amounts receivable from them in order to reduce the risk of doubtful accounts.</w:t>
      </w:r>
    </w:p>
    <w:p>
      <w:pPr>
        <w:spacing w:after="0" w:line="162" w:lineRule="exact"/>
        <w:rPr>
          <w:rFonts w:ascii="Arial" w:cs="Arial" w:eastAsia="Arial" w:hAnsi="Arial"/>
          <w:sz w:val="16"/>
          <w:szCs w:val="16"/>
          <w:color w:val="auto"/>
        </w:rPr>
      </w:pPr>
    </w:p>
    <w:p>
      <w:pPr>
        <w:ind w:left="287" w:right="100" w:hanging="287"/>
        <w:spacing w:after="0" w:line="327" w:lineRule="auto"/>
        <w:tabs>
          <w:tab w:leader="none" w:pos="287" w:val="left"/>
        </w:tabs>
        <w:numPr>
          <w:ilvl w:val="0"/>
          <w:numId w:val="116"/>
        </w:numPr>
        <w:rPr>
          <w:rFonts w:ascii="Arial" w:cs="Arial" w:eastAsia="Arial" w:hAnsi="Arial"/>
          <w:sz w:val="14"/>
          <w:szCs w:val="14"/>
          <w:color w:val="auto"/>
        </w:rPr>
      </w:pPr>
      <w:r>
        <w:rPr>
          <w:rFonts w:ascii="Arial" w:cs="Arial" w:eastAsia="Arial" w:hAnsi="Arial"/>
          <w:sz w:val="14"/>
          <w:szCs w:val="14"/>
          <w:color w:val="auto"/>
        </w:rPr>
        <w:t>Reinsurance is placed with counterparties that have a good credit rating and concentration of risk is avoided by following guidelines in respect of counterparties’ limits which are set each year by the Board of Directors and are subject to regular reviews. At each reporting date, Management performs an assessment of creditworthiness of reinsurers and updates the reinsurance contracts strategy, determining whether the need exists to establish an allowance for impairment.</w:t>
      </w:r>
    </w:p>
    <w:p>
      <w:pPr>
        <w:spacing w:after="0" w:line="128" w:lineRule="exact"/>
        <w:rPr>
          <w:rFonts w:ascii="Arial" w:cs="Arial" w:eastAsia="Arial" w:hAnsi="Arial"/>
          <w:sz w:val="14"/>
          <w:szCs w:val="14"/>
          <w:color w:val="auto"/>
        </w:rPr>
      </w:pPr>
    </w:p>
    <w:p>
      <w:pPr>
        <w:ind w:left="267" w:right="140" w:hanging="218"/>
        <w:spacing w:after="0" w:line="322" w:lineRule="auto"/>
        <w:tabs>
          <w:tab w:leader="none" w:pos="267" w:val="left"/>
        </w:tabs>
        <w:numPr>
          <w:ilvl w:val="1"/>
          <w:numId w:val="116"/>
        </w:numPr>
        <w:rPr>
          <w:rFonts w:ascii="Arial" w:cs="Arial" w:eastAsia="Arial" w:hAnsi="Arial"/>
          <w:sz w:val="15"/>
          <w:szCs w:val="15"/>
          <w:color w:val="auto"/>
        </w:rPr>
      </w:pPr>
      <w:r>
        <w:rPr>
          <w:rFonts w:ascii="Arial" w:cs="Arial" w:eastAsia="Arial" w:hAnsi="Arial"/>
          <w:sz w:val="15"/>
          <w:szCs w:val="15"/>
          <w:color w:val="auto"/>
        </w:rPr>
        <w:t>A Group policy setting out the assessment and determination of what constitutes credit risk for the Group is in place, its compliance is monitored, and exposures and breaches are reported to the Group risk committee. The policy is regularly reviewed for pertinence and for changes in the risk environment.</w:t>
      </w:r>
    </w:p>
    <w:p>
      <w:pPr>
        <w:spacing w:after="0" w:line="126" w:lineRule="exact"/>
        <w:rPr>
          <w:rFonts w:ascii="Arial" w:cs="Arial" w:eastAsia="Arial" w:hAnsi="Arial"/>
          <w:sz w:val="15"/>
          <w:szCs w:val="15"/>
          <w:color w:val="auto"/>
        </w:rPr>
      </w:pPr>
    </w:p>
    <w:p>
      <w:pPr>
        <w:ind w:left="287" w:right="420" w:hanging="287"/>
        <w:spacing w:after="0" w:line="271" w:lineRule="auto"/>
        <w:tabs>
          <w:tab w:leader="none" w:pos="28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Group issues Investment Link life insurance contracts whereby the policyholder bears the investment risk on the financial assets held in the Company’s investment portfolio as the policy benefits are directly linked to the value of the assets in the portfolio. Therefore, the Group has no material credit risk on Investment Link financial assets.</w:t>
      </w:r>
    </w:p>
    <w:p>
      <w:pPr>
        <w:spacing w:after="0" w:line="359" w:lineRule="exact"/>
        <w:rPr>
          <w:rFonts w:ascii="Arial" w:cs="Arial" w:eastAsia="Arial" w:hAnsi="Arial"/>
          <w:sz w:val="16"/>
          <w:szCs w:val="16"/>
          <w:color w:val="auto"/>
        </w:rPr>
      </w:pPr>
    </w:p>
    <w:p>
      <w:pPr>
        <w:ind w:left="5247" w:hanging="93"/>
        <w:spacing w:after="0"/>
        <w:tabs>
          <w:tab w:leader="none" w:pos="5247" w:val="left"/>
        </w:tabs>
        <w:numPr>
          <w:ilvl w:val="2"/>
          <w:numId w:val="116"/>
        </w:numPr>
        <w:rPr>
          <w:rFonts w:ascii="Arial" w:cs="Arial" w:eastAsia="Arial" w:hAnsi="Arial"/>
          <w:sz w:val="16"/>
          <w:szCs w:val="16"/>
          <w:color w:val="auto"/>
        </w:rPr>
      </w:pPr>
      <w:r>
        <w:rPr>
          <w:rFonts w:ascii="Arial" w:cs="Arial" w:eastAsia="Arial" w:hAnsi="Arial"/>
          <w:sz w:val="16"/>
          <w:szCs w:val="16"/>
          <w:color w:val="auto"/>
        </w:rPr>
        <w:t>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15875</wp:posOffset>
            </wp:positionV>
            <wp:extent cx="714438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927"/>
          </w:cols>
          <w:pgMar w:left="613" w:top="839" w:right="359" w:bottom="1440" w:gutter="0" w:footer="0" w:header="0"/>
        </w:sectPr>
      </w:pPr>
    </w:p>
    <w:bookmarkStart w:id="105" w:name="page106"/>
    <w:bookmarkEnd w:id="105"/>
    <w:p>
      <w:pPr>
        <w:spacing w:after="0"/>
        <w:tabs>
          <w:tab w:leader="none" w:pos="560" w:val="left"/>
        </w:tabs>
        <w:rPr>
          <w:sz w:val="20"/>
          <w:szCs w:val="20"/>
          <w:color w:val="auto"/>
        </w:rPr>
      </w:pPr>
      <w:r>
        <w:rPr>
          <w:rFonts w:ascii="Arial" w:cs="Arial" w:eastAsia="Arial" w:hAnsi="Arial"/>
          <w:sz w:val="16"/>
          <w:szCs w:val="16"/>
          <w:b w:val="1"/>
          <w:bCs w:val="1"/>
          <w:color w:val="auto"/>
        </w:rPr>
        <w:t>34.6</w:t>
      </w:r>
      <w:r>
        <w:rPr>
          <w:sz w:val="20"/>
          <w:szCs w:val="20"/>
          <w:color w:val="auto"/>
        </w:rPr>
        <w:tab/>
      </w:r>
      <w:r>
        <w:rPr>
          <w:rFonts w:ascii="Arial" w:cs="Arial" w:eastAsia="Arial" w:hAnsi="Arial"/>
          <w:sz w:val="15"/>
          <w:szCs w:val="15"/>
          <w:b w:val="1"/>
          <w:bCs w:val="1"/>
          <w:color w:val="auto"/>
        </w:rPr>
        <w:t>Capital management -</w:t>
      </w:r>
    </w:p>
    <w:p>
      <w:pPr>
        <w:spacing w:after="0" w:line="213" w:lineRule="exact"/>
        <w:rPr>
          <w:sz w:val="20"/>
          <w:szCs w:val="20"/>
          <w:color w:val="auto"/>
        </w:rPr>
      </w:pPr>
    </w:p>
    <w:p>
      <w:pPr>
        <w:ind w:left="580"/>
        <w:spacing w:after="0" w:line="289" w:lineRule="auto"/>
        <w:rPr>
          <w:sz w:val="20"/>
          <w:szCs w:val="20"/>
          <w:color w:val="auto"/>
        </w:rPr>
      </w:pPr>
      <w:r>
        <w:rPr>
          <w:rFonts w:ascii="Arial" w:cs="Arial" w:eastAsia="Arial" w:hAnsi="Arial"/>
          <w:sz w:val="15"/>
          <w:szCs w:val="15"/>
          <w:color w:val="auto"/>
        </w:rPr>
        <w:t>The Group maintains an actively managed capital base to cover risks inherent in its business. The adequacy of the Group’s capital is monitored using, among other measures, the rules and ratios established by the SBS, the supervising authority of its major subsidiaries and for consolidation purposes. Furthermore, capital management responds to market expectations in relation to the solvency of the Group and to support the growth of the businesses considered in the strategic planning. In this way, the capital maintained by the Group enables it to assume unexpected losses in normal conditions and conditions of severe stress.</w:t>
      </w:r>
    </w:p>
    <w:p>
      <w:pPr>
        <w:spacing w:after="0" w:line="152" w:lineRule="exact"/>
        <w:rPr>
          <w:sz w:val="20"/>
          <w:szCs w:val="20"/>
          <w:color w:val="auto"/>
        </w:rPr>
      </w:pPr>
    </w:p>
    <w:p>
      <w:pPr>
        <w:ind w:left="580" w:right="40"/>
        <w:spacing w:after="0" w:line="266" w:lineRule="auto"/>
        <w:rPr>
          <w:sz w:val="20"/>
          <w:szCs w:val="20"/>
          <w:color w:val="auto"/>
        </w:rPr>
      </w:pPr>
      <w:r>
        <w:rPr>
          <w:rFonts w:ascii="Arial" w:cs="Arial" w:eastAsia="Arial" w:hAnsi="Arial"/>
          <w:sz w:val="16"/>
          <w:szCs w:val="16"/>
          <w:color w:val="auto"/>
        </w:rPr>
        <w:t>The Group’s objectives when managing capital are: (i) to comply with the capital requirements set by the regulators of the markets where the entities within the Group operate; (ii) to safeguard the Group’s ability to continue as a going concern so that it can continue to provide returns for shareholders and benefits for other stakeholders; and (iii) to maintain a strong capital base to support the development of its business, in line with the limits and tolerances established in the declaration of Risk Appetite.</w:t>
      </w:r>
    </w:p>
    <w:p>
      <w:pPr>
        <w:spacing w:after="0" w:line="167" w:lineRule="exact"/>
        <w:rPr>
          <w:sz w:val="20"/>
          <w:szCs w:val="20"/>
          <w:color w:val="auto"/>
        </w:rPr>
      </w:pPr>
    </w:p>
    <w:p>
      <w:pPr>
        <w:ind w:left="580" w:right="40"/>
        <w:spacing w:after="0" w:line="266" w:lineRule="auto"/>
        <w:rPr>
          <w:sz w:val="20"/>
          <w:szCs w:val="20"/>
          <w:color w:val="auto"/>
        </w:rPr>
      </w:pPr>
      <w:r>
        <w:rPr>
          <w:rFonts w:ascii="Arial" w:cs="Arial" w:eastAsia="Arial" w:hAnsi="Arial"/>
          <w:sz w:val="16"/>
          <w:szCs w:val="16"/>
          <w:color w:val="auto"/>
        </w:rPr>
        <w:t>As of March 31, 2020 and December 31, 2019, the regulatory capital for the Subsidiaries engaged in financial and insurance activities amounted to approximately S/27,868.3 million and S/25,732 million, respectively. The regulatory capital has been determined in accordance with SBS regulations in force as of said dates. Under the SBS regulations, the Group’s regulatory capital exceeds by approximately S/7,202.4 million the minimum regulatory capital required as of March 31, 2020 (approximately S/4,151.6 million as of December 31, 2019).</w:t>
      </w:r>
    </w:p>
    <w:p>
      <w:pPr>
        <w:spacing w:after="0" w:line="163"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34.7</w:t>
      </w:r>
      <w:r>
        <w:rPr>
          <w:sz w:val="20"/>
          <w:szCs w:val="20"/>
          <w:color w:val="auto"/>
        </w:rPr>
        <w:tab/>
      </w:r>
      <w:r>
        <w:rPr>
          <w:rFonts w:ascii="Arial" w:cs="Arial" w:eastAsia="Arial" w:hAnsi="Arial"/>
          <w:sz w:val="14"/>
          <w:szCs w:val="14"/>
          <w:b w:val="1"/>
          <w:bCs w:val="1"/>
          <w:color w:val="auto"/>
        </w:rPr>
        <w:t>Fair values –</w:t>
      </w:r>
    </w:p>
    <w:p>
      <w:pPr>
        <w:spacing w:after="0" w:line="213" w:lineRule="exact"/>
        <w:rPr>
          <w:sz w:val="20"/>
          <w:szCs w:val="20"/>
          <w:color w:val="auto"/>
        </w:rPr>
      </w:pPr>
    </w:p>
    <w:p>
      <w:pPr>
        <w:ind w:left="880" w:hanging="292"/>
        <w:spacing w:after="0"/>
        <w:tabs>
          <w:tab w:leader="none" w:pos="8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Financial instruments recorded at fair value and fair value hierarchy –</w:t>
      </w:r>
    </w:p>
    <w:p>
      <w:pPr>
        <w:spacing w:after="0" w:line="209" w:lineRule="exact"/>
        <w:rPr>
          <w:sz w:val="20"/>
          <w:szCs w:val="20"/>
          <w:color w:val="auto"/>
        </w:rPr>
      </w:pPr>
    </w:p>
    <w:p>
      <w:pPr>
        <w:ind w:left="580" w:right="100"/>
        <w:spacing w:after="0" w:line="298" w:lineRule="auto"/>
        <w:rPr>
          <w:sz w:val="20"/>
          <w:szCs w:val="20"/>
          <w:color w:val="auto"/>
        </w:rPr>
      </w:pPr>
      <w:r>
        <w:rPr>
          <w:rFonts w:ascii="Arial" w:cs="Arial" w:eastAsia="Arial" w:hAnsi="Arial"/>
          <w:sz w:val="15"/>
          <w:szCs w:val="15"/>
          <w:color w:val="auto"/>
        </w:rPr>
        <w:t>Financial instruments included in the Level 1 category are those that are measured on the basis of quotations obtained in an active market. A financial instrument is regarded as quoted in an active market if quoted prices are readily and regularly available from an exchange, dealer, broker, industry group, pricing service or regulatory agency and those prices represent actual and regularly occurring market transactions on an arm’s length basis.</w:t>
      </w:r>
    </w:p>
    <w:p>
      <w:pPr>
        <w:spacing w:after="0" w:line="144" w:lineRule="exact"/>
        <w:rPr>
          <w:sz w:val="20"/>
          <w:szCs w:val="20"/>
          <w:color w:val="auto"/>
        </w:rPr>
      </w:pPr>
    </w:p>
    <w:p>
      <w:pPr>
        <w:ind w:left="580" w:right="80"/>
        <w:spacing w:after="0" w:line="271" w:lineRule="auto"/>
        <w:rPr>
          <w:sz w:val="20"/>
          <w:szCs w:val="20"/>
          <w:color w:val="auto"/>
        </w:rPr>
      </w:pPr>
      <w:r>
        <w:rPr>
          <w:rFonts w:ascii="Arial" w:cs="Arial" w:eastAsia="Arial" w:hAnsi="Arial"/>
          <w:sz w:val="16"/>
          <w:szCs w:val="16"/>
          <w:color w:val="auto"/>
        </w:rPr>
        <w:t>Financial instruments included in the Level 2 category are those that are measured on the basis of observable market factors. This category includes instruments valued using: quoted prices for similar instruments, either in active or less active markets and other valuation techniques (models) where all significant inputs are directly or indirectly observable based on market data.</w:t>
      </w:r>
    </w:p>
    <w:p>
      <w:pPr>
        <w:spacing w:after="0" w:line="163" w:lineRule="exact"/>
        <w:rPr>
          <w:sz w:val="20"/>
          <w:szCs w:val="20"/>
          <w:color w:val="auto"/>
        </w:rPr>
      </w:pPr>
    </w:p>
    <w:p>
      <w:pPr>
        <w:ind w:left="580" w:right="100"/>
        <w:spacing w:after="0" w:line="322" w:lineRule="auto"/>
        <w:rPr>
          <w:sz w:val="20"/>
          <w:szCs w:val="20"/>
          <w:color w:val="auto"/>
        </w:rPr>
      </w:pPr>
      <w:r>
        <w:rPr>
          <w:rFonts w:ascii="Arial" w:cs="Arial" w:eastAsia="Arial" w:hAnsi="Arial"/>
          <w:sz w:val="15"/>
          <w:szCs w:val="15"/>
          <w:color w:val="auto"/>
        </w:rPr>
        <w:t>Following is a description of how fair value is determined for the main Group’s financial instruments where valuation techniques were used with inputs based on market data which incorporate Credicorp’s estimates on the assumptions that market participants would use for measuring these financial instruments:</w:t>
      </w:r>
    </w:p>
    <w:p>
      <w:pPr>
        <w:spacing w:after="0" w:line="127" w:lineRule="exact"/>
        <w:rPr>
          <w:sz w:val="20"/>
          <w:szCs w:val="20"/>
          <w:color w:val="auto"/>
        </w:rPr>
      </w:pPr>
    </w:p>
    <w:p>
      <w:pPr>
        <w:ind w:left="300"/>
        <w:spacing w:after="0"/>
        <w:tabs>
          <w:tab w:leader="none" w:pos="560" w:val="left"/>
        </w:tabs>
        <w:rPr>
          <w:sz w:val="20"/>
          <w:szCs w:val="20"/>
          <w:color w:val="auto"/>
        </w:rPr>
      </w:pPr>
      <w:r>
        <w:rPr>
          <w:rFonts w:ascii="Arial" w:cs="Arial" w:eastAsia="Arial" w:hAnsi="Arial"/>
          <w:sz w:val="16"/>
          <w:szCs w:val="16"/>
          <w:color w:val="auto"/>
        </w:rPr>
        <w:t>-</w:t>
        <w:tab/>
        <w:t>Valuation of derivative financial instruments -</w:t>
      </w:r>
    </w:p>
    <w:p>
      <w:pPr>
        <w:spacing w:after="0" w:line="209" w:lineRule="exact"/>
        <w:rPr>
          <w:sz w:val="20"/>
          <w:szCs w:val="20"/>
          <w:color w:val="auto"/>
        </w:rPr>
      </w:pPr>
    </w:p>
    <w:p>
      <w:pPr>
        <w:ind w:left="580" w:right="60"/>
        <w:spacing w:after="0" w:line="266" w:lineRule="auto"/>
        <w:rPr>
          <w:sz w:val="20"/>
          <w:szCs w:val="20"/>
          <w:color w:val="auto"/>
        </w:rPr>
      </w:pPr>
      <w:r>
        <w:rPr>
          <w:rFonts w:ascii="Arial" w:cs="Arial" w:eastAsia="Arial" w:hAnsi="Arial"/>
          <w:sz w:val="16"/>
          <w:szCs w:val="16"/>
          <w:color w:val="auto"/>
        </w:rPr>
        <w:t>Interest rate swaps, currency swaps and forward exchange contracts are measured by using valuation techniques where inputs are based on market data. The most frequently applied valuation techniques include forward pricing and swap models, using present value calculations. The models incorporate various inputs, including the credit quality of counterparties, spot exchange rates, forward rates and interest rate curves. Options are valued using well-known, widely accepted valuation models.</w:t>
      </w:r>
    </w:p>
    <w:p>
      <w:pPr>
        <w:spacing w:after="0" w:line="167" w:lineRule="exact"/>
        <w:rPr>
          <w:sz w:val="20"/>
          <w:szCs w:val="20"/>
          <w:color w:val="auto"/>
        </w:rPr>
      </w:pPr>
    </w:p>
    <w:p>
      <w:pPr>
        <w:ind w:left="580"/>
        <w:spacing w:after="0" w:line="298" w:lineRule="auto"/>
        <w:rPr>
          <w:sz w:val="20"/>
          <w:szCs w:val="20"/>
          <w:color w:val="auto"/>
        </w:rPr>
      </w:pPr>
      <w:r>
        <w:rPr>
          <w:rFonts w:ascii="Arial" w:cs="Arial" w:eastAsia="Arial" w:hAnsi="Arial"/>
          <w:sz w:val="15"/>
          <w:szCs w:val="15"/>
          <w:color w:val="auto"/>
        </w:rPr>
        <w:t>A credit valuation adjustment (CVA) is applied to the “Over-The-Counter” derivative exposures to take into account the counterparty’s risk of default when measuring the fair value of the derivative. CVA is the mark-to market cost of protection required to hedge credit risk from counterparties in this type of derivatives portfolio. CVA is calculated by multiplying the probability of default (PD), the loss given default (LGD) and the expected exposure (EE) at the time of default.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06" w:name="page107"/>
    <w:bookmarkEnd w:id="106"/>
    <w:p>
      <w:pPr>
        <w:ind w:left="280" w:right="140"/>
        <w:spacing w:after="0" w:line="287" w:lineRule="auto"/>
        <w:rPr>
          <w:sz w:val="20"/>
          <w:szCs w:val="20"/>
          <w:color w:val="auto"/>
        </w:rPr>
      </w:pPr>
      <w:r>
        <w:rPr>
          <w:rFonts w:ascii="Arial" w:cs="Arial" w:eastAsia="Arial" w:hAnsi="Arial"/>
          <w:sz w:val="16"/>
          <w:szCs w:val="16"/>
          <w:color w:val="auto"/>
        </w:rPr>
        <w:t>A debit valuation adjustment (DVA) is applied to include the Group’s own credit risk in the fair value of derivatives (that is the risk that the Group might default on its contractual obligations), using the same methodology as for CVA.</w:t>
      </w:r>
    </w:p>
    <w:p>
      <w:pPr>
        <w:spacing w:after="0" w:line="150" w:lineRule="exact"/>
        <w:rPr>
          <w:sz w:val="20"/>
          <w:szCs w:val="20"/>
          <w:color w:val="auto"/>
        </w:rPr>
      </w:pPr>
    </w:p>
    <w:p>
      <w:pPr>
        <w:ind w:left="280"/>
        <w:spacing w:after="0" w:line="264" w:lineRule="auto"/>
        <w:rPr>
          <w:sz w:val="20"/>
          <w:szCs w:val="20"/>
          <w:color w:val="auto"/>
        </w:rPr>
      </w:pPr>
      <w:r>
        <w:rPr>
          <w:rFonts w:ascii="Arial" w:cs="Arial" w:eastAsia="Arial" w:hAnsi="Arial"/>
          <w:sz w:val="16"/>
          <w:szCs w:val="16"/>
          <w:color w:val="auto"/>
        </w:rPr>
        <w:t>As of March 31, 2020, the balance of receivables and payables corresponding to derivatives amounted to S/1,790.8 million and S/1,751.7 million respectively, See Note 13(b), generating DVA and CVA immaterial adjustments that have not changed significantly compared to the period 2019. As of December 31, 2019, the balance of receivables and payables corresponding to derivatives amounted to S/1,092.1 million and S/1,040.3 million, respectively, See Note 13(b), generating DVA and CVA adjustments for approximately S/12.6 million and S/14.0 million, respectively. Also, the net impact of both items in the interim condensed consolidated statement of income amounted to S/3.2 million.</w:t>
      </w:r>
    </w:p>
    <w:p>
      <w:pPr>
        <w:spacing w:after="0" w:line="167"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w:t>
        <w:tab/>
        <w:t>Valuation of debt securities classified in the category “at fair value through other comprehensive income” and included in level 2 -</w:t>
      </w:r>
    </w:p>
    <w:p>
      <w:pPr>
        <w:spacing w:after="0" w:line="209" w:lineRule="exact"/>
        <w:rPr>
          <w:sz w:val="20"/>
          <w:szCs w:val="20"/>
          <w:color w:val="auto"/>
        </w:rPr>
      </w:pPr>
    </w:p>
    <w:p>
      <w:pPr>
        <w:ind w:left="280" w:right="400"/>
        <w:spacing w:after="0" w:line="271" w:lineRule="auto"/>
        <w:rPr>
          <w:sz w:val="20"/>
          <w:szCs w:val="20"/>
          <w:color w:val="auto"/>
        </w:rPr>
      </w:pPr>
      <w:r>
        <w:rPr>
          <w:rFonts w:ascii="Arial" w:cs="Arial" w:eastAsia="Arial" w:hAnsi="Arial"/>
          <w:sz w:val="16"/>
          <w:szCs w:val="16"/>
          <w:color w:val="auto"/>
        </w:rPr>
        <w:t>Valuation of certificates of deposit BCRP, corporate, leasing, subordinated bonds and Government treasury bonds are measured calculating their Net Present Values (NPV) through discounted cash flows, using appropriate and relevant zero coupon rate curves to discount cash flows in the respective currency and considering observable current market transactions.</w:t>
      </w:r>
    </w:p>
    <w:p>
      <w:pPr>
        <w:spacing w:after="0" w:line="163" w:lineRule="exact"/>
        <w:rPr>
          <w:sz w:val="20"/>
          <w:szCs w:val="20"/>
          <w:color w:val="auto"/>
        </w:rPr>
      </w:pPr>
    </w:p>
    <w:p>
      <w:pPr>
        <w:ind w:left="280" w:right="200"/>
        <w:spacing w:after="0" w:line="271" w:lineRule="auto"/>
        <w:rPr>
          <w:sz w:val="20"/>
          <w:szCs w:val="20"/>
          <w:color w:val="auto"/>
        </w:rPr>
      </w:pPr>
      <w:r>
        <w:rPr>
          <w:rFonts w:ascii="Arial" w:cs="Arial" w:eastAsia="Arial" w:hAnsi="Arial"/>
          <w:sz w:val="16"/>
          <w:szCs w:val="16"/>
          <w:color w:val="auto"/>
        </w:rPr>
        <w:t>Certificates of deposit BCRP (CD BCRP) are securities issued at a discount in order to regulate the liquidity of the financial system. They are placed mainly through public auction or direct placement, are freely negotiable by their holders in the Peruvian secondary market and may be used as collateral in Repurchase Agreement Transactions of Securities with the BCRP.</w:t>
      </w:r>
    </w:p>
    <w:p>
      <w:pPr>
        <w:spacing w:after="0" w:line="163" w:lineRule="exact"/>
        <w:rPr>
          <w:sz w:val="20"/>
          <w:szCs w:val="20"/>
          <w:color w:val="auto"/>
        </w:rPr>
      </w:pPr>
    </w:p>
    <w:p>
      <w:pPr>
        <w:ind w:left="280" w:right="80"/>
        <w:spacing w:after="0" w:line="271" w:lineRule="auto"/>
        <w:rPr>
          <w:sz w:val="20"/>
          <w:szCs w:val="20"/>
          <w:color w:val="auto"/>
        </w:rPr>
      </w:pPr>
      <w:r>
        <w:rPr>
          <w:rFonts w:ascii="Arial" w:cs="Arial" w:eastAsia="Arial" w:hAnsi="Arial"/>
          <w:sz w:val="16"/>
          <w:szCs w:val="16"/>
          <w:color w:val="auto"/>
        </w:rPr>
        <w:t>Other debt instruments are measured using valuation techniques based on assumptions supported by prices from observable current market transactions, obtained via pricing services. Nevertheless, when prices have not been determined in an active market, fair values are based on broker quotes and assets that are valued using models whereby the majority of assumptions are market observable.</w:t>
      </w:r>
    </w:p>
    <w:p>
      <w:pPr>
        <w:spacing w:after="0" w:line="163"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w:t>
        <w:tab/>
        <w:t>Valuation of financial instruments included in level 3 -</w:t>
      </w:r>
    </w:p>
    <w:p>
      <w:pPr>
        <w:spacing w:after="0" w:line="209" w:lineRule="exact"/>
        <w:rPr>
          <w:sz w:val="20"/>
          <w:szCs w:val="20"/>
          <w:color w:val="auto"/>
        </w:rPr>
      </w:pPr>
    </w:p>
    <w:p>
      <w:pPr>
        <w:ind w:left="280" w:right="140"/>
        <w:spacing w:after="0" w:line="287" w:lineRule="auto"/>
        <w:rPr>
          <w:sz w:val="20"/>
          <w:szCs w:val="20"/>
          <w:color w:val="auto"/>
        </w:rPr>
      </w:pPr>
      <w:r>
        <w:rPr>
          <w:rFonts w:ascii="Arial" w:cs="Arial" w:eastAsia="Arial" w:hAnsi="Arial"/>
          <w:sz w:val="16"/>
          <w:szCs w:val="16"/>
          <w:color w:val="auto"/>
        </w:rPr>
        <w:t>These are measured using valuation techniques (internal models), based on assumptions that are not supported by transaction prices observable in the market for the same instrument, nor based on available market data.</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this regard, no significant differences were noted between the estimated fair values and the respective carrying amounts.</w:t>
      </w:r>
    </w:p>
    <w:p>
      <w:pPr>
        <w:spacing w:after="0" w:line="209" w:lineRule="exact"/>
        <w:rPr>
          <w:sz w:val="20"/>
          <w:szCs w:val="20"/>
          <w:color w:val="auto"/>
        </w:rPr>
      </w:pPr>
    </w:p>
    <w:p>
      <w:pPr>
        <w:jc w:val="both"/>
        <w:ind w:left="280" w:right="100"/>
        <w:spacing w:after="0" w:line="271" w:lineRule="auto"/>
        <w:rPr>
          <w:sz w:val="20"/>
          <w:szCs w:val="20"/>
          <w:color w:val="auto"/>
        </w:rPr>
      </w:pPr>
      <w:r>
        <w:rPr>
          <w:rFonts w:ascii="Arial" w:cs="Arial" w:eastAsia="Arial" w:hAnsi="Arial"/>
          <w:sz w:val="16"/>
          <w:szCs w:val="16"/>
          <w:color w:val="auto"/>
        </w:rPr>
        <w:t>As of March 31, 2020 and December 31, 2019, the net unrealized loss of Level 3 financial instruments amounted to S/1.6 million and S/1.9 million, respectively. At said dates, changes in the carrying amount of Level 3 financial instruments have not been significant since there were no purchases, issuances, settlements or any other significant movements or transfers from level 3 to Level 1 or Level 2 or vice versa.</w:t>
      </w:r>
    </w:p>
    <w:p>
      <w:pPr>
        <w:spacing w:after="0" w:line="359"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15875</wp:posOffset>
            </wp:positionV>
            <wp:extent cx="714438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940"/>
          </w:cols>
          <w:pgMar w:left="620" w:top="839" w:right="339" w:bottom="1440" w:gutter="0" w:footer="0" w:header="0"/>
        </w:sectPr>
      </w:pPr>
    </w:p>
    <w:bookmarkStart w:id="107" w:name="page108"/>
    <w:bookmarkEnd w:id="107"/>
    <w:p>
      <w:pPr>
        <w:ind w:left="580"/>
        <w:spacing w:after="0"/>
        <w:tabs>
          <w:tab w:leader="none" w:pos="86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Financial instruments not measured at fair value -</w:t>
      </w:r>
    </w:p>
    <w:p>
      <w:pPr>
        <w:spacing w:after="0" w:line="209" w:lineRule="exact"/>
        <w:rPr>
          <w:sz w:val="20"/>
          <w:szCs w:val="20"/>
          <w:color w:val="auto"/>
        </w:rPr>
      </w:pPr>
    </w:p>
    <w:p>
      <w:pPr>
        <w:ind w:left="580" w:right="160"/>
        <w:spacing w:after="0" w:line="287" w:lineRule="auto"/>
        <w:rPr>
          <w:sz w:val="20"/>
          <w:szCs w:val="20"/>
          <w:color w:val="auto"/>
        </w:rPr>
      </w:pPr>
      <w:r>
        <w:rPr>
          <w:rFonts w:ascii="Arial" w:cs="Arial" w:eastAsia="Arial" w:hAnsi="Arial"/>
          <w:sz w:val="16"/>
          <w:szCs w:val="16"/>
          <w:color w:val="auto"/>
        </w:rPr>
        <w:t>The methodologies and assumptions used by the Group to determine fair values depend on the terms and risk characteristics of the various financial instruments and include the following:</w:t>
      </w:r>
    </w:p>
    <w:p>
      <w:pPr>
        <w:spacing w:after="0" w:line="150" w:lineRule="exact"/>
        <w:rPr>
          <w:sz w:val="20"/>
          <w:szCs w:val="20"/>
          <w:color w:val="auto"/>
        </w:rPr>
      </w:pPr>
    </w:p>
    <w:p>
      <w:pPr>
        <w:ind w:left="880" w:hanging="292"/>
        <w:spacing w:after="0" w:line="266" w:lineRule="auto"/>
        <w:tabs>
          <w:tab w:leader="none" w:pos="8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Long-term fixed-rate and variable-rate loans are evaluated by the Group based on parameters such as interest rates, specific country risk factors, and individual creditworthiness of the customer and the risk characteristics of the financed project. Based on this evaluation, allowances are taken into account for the incurred losses of these loans. As of March 31, 2020 and December 31, 2019, the carrying amounts of loans, net of allowances, were not materially different from their calculated fair values.</w:t>
      </w:r>
    </w:p>
    <w:p>
      <w:pPr>
        <w:spacing w:after="0" w:line="166" w:lineRule="exact"/>
        <w:rPr>
          <w:rFonts w:ascii="Arial" w:cs="Arial" w:eastAsia="Arial" w:hAnsi="Arial"/>
          <w:sz w:val="16"/>
          <w:szCs w:val="16"/>
          <w:color w:val="auto"/>
        </w:rPr>
      </w:pPr>
    </w:p>
    <w:p>
      <w:pPr>
        <w:ind w:left="880" w:right="160" w:hanging="292"/>
        <w:spacing w:after="0" w:line="271" w:lineRule="auto"/>
        <w:tabs>
          <w:tab w:leader="none" w:pos="8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Assets for which fair values approximate their carrying value - For financial assets and financial liabilities that are liquid or have a short-term maturity (less than three months) it is assumed that the carrying amounts approximate to their fair values. This assumption is also applied to demand deposits, savings accounts without a specific maturity and variable rate financial instruments.</w:t>
      </w:r>
    </w:p>
    <w:p>
      <w:pPr>
        <w:spacing w:after="0" w:line="162" w:lineRule="exact"/>
        <w:rPr>
          <w:rFonts w:ascii="Arial" w:cs="Arial" w:eastAsia="Arial" w:hAnsi="Arial"/>
          <w:sz w:val="16"/>
          <w:szCs w:val="16"/>
          <w:color w:val="auto"/>
        </w:rPr>
      </w:pPr>
    </w:p>
    <w:p>
      <w:pPr>
        <w:ind w:left="880" w:hanging="292"/>
        <w:spacing w:after="0" w:line="264" w:lineRule="auto"/>
        <w:tabs>
          <w:tab w:leader="none" w:pos="8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Fixed rate financial instruments - The fair value of fixed rate financial assets and liabilities carried at amortized cost are estimated by comparing market interest rates when they were first recognized with current market rates offered for similar financial instruments. The estimated fair value of fixed interest-bearing deposits is based on discounted cash flows using prevailing market interest rates for financial instruments with similar credit risk and maturity. For quoted debt issued the fair values are calculated based on quoted market prices. When quoted market prices are not available, a discounted cash flow model is used based on a current interest rate yield curve appropriate for the remaining term to maturity.</w:t>
      </w:r>
    </w:p>
    <w:p>
      <w:pPr>
        <w:spacing w:after="0" w:line="163"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34.8</w:t>
      </w:r>
      <w:r>
        <w:rPr>
          <w:sz w:val="20"/>
          <w:szCs w:val="20"/>
          <w:color w:val="auto"/>
        </w:rPr>
        <w:tab/>
      </w:r>
      <w:r>
        <w:rPr>
          <w:rFonts w:ascii="Arial" w:cs="Arial" w:eastAsia="Arial" w:hAnsi="Arial"/>
          <w:sz w:val="14"/>
          <w:szCs w:val="14"/>
          <w:b w:val="1"/>
          <w:bCs w:val="1"/>
          <w:color w:val="auto"/>
        </w:rPr>
        <w:t>Fiduciary activities, management of funds and pension funds -</w:t>
      </w:r>
    </w:p>
    <w:p>
      <w:pPr>
        <w:spacing w:after="0" w:line="213" w:lineRule="exact"/>
        <w:rPr>
          <w:sz w:val="20"/>
          <w:szCs w:val="20"/>
          <w:color w:val="auto"/>
        </w:rPr>
      </w:pPr>
    </w:p>
    <w:p>
      <w:pPr>
        <w:ind w:left="580" w:right="60"/>
        <w:spacing w:after="0" w:line="271" w:lineRule="auto"/>
        <w:rPr>
          <w:sz w:val="20"/>
          <w:szCs w:val="20"/>
          <w:color w:val="auto"/>
        </w:rPr>
      </w:pPr>
      <w:r>
        <w:rPr>
          <w:rFonts w:ascii="Arial" w:cs="Arial" w:eastAsia="Arial" w:hAnsi="Arial"/>
          <w:sz w:val="16"/>
          <w:szCs w:val="16"/>
          <w:color w:val="auto"/>
        </w:rPr>
        <w:t>The Group provides custody, trustee, investment management and advisory services to third parties; therefore, the Group makes allocations and purchase and sale decisions in relation to a wide range of financial instruments. Assets that are held in a fiduciary capacity are not included in these consolidated financial statements. These services give rise to the risk that the Group will be accused of mismanagement or under-performance.</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As of March 31, 2020 and December 31, 2019, the value of the net assets under administration off the balance sheet (in millions of soles)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As of</w:t>
            </w:r>
          </w:p>
        </w:tc>
        <w:tc>
          <w:tcPr>
            <w:tcW w:w="1660" w:type="dxa"/>
            <w:vAlign w:val="bottom"/>
          </w:tcPr>
          <w:p>
            <w:pPr>
              <w:spacing w:after="0"/>
              <w:rPr>
                <w:sz w:val="17"/>
                <w:szCs w:val="17"/>
                <w:color w:val="auto"/>
              </w:rPr>
            </w:pPr>
          </w:p>
        </w:tc>
      </w:tr>
      <w:tr>
        <w:trPr>
          <w:trHeight w:val="197"/>
        </w:trPr>
        <w:tc>
          <w:tcPr>
            <w:tcW w:w="5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As of March</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December</w:t>
            </w:r>
          </w:p>
        </w:tc>
        <w:tc>
          <w:tcPr>
            <w:tcW w:w="1660" w:type="dxa"/>
            <w:vAlign w:val="bottom"/>
          </w:tcPr>
          <w:p>
            <w:pPr>
              <w:spacing w:after="0"/>
              <w:rPr>
                <w:sz w:val="17"/>
                <w:szCs w:val="17"/>
                <w:color w:val="auto"/>
              </w:rPr>
            </w:pPr>
          </w:p>
        </w:tc>
      </w:tr>
      <w:tr>
        <w:trPr>
          <w:trHeight w:val="212"/>
        </w:trPr>
        <w:tc>
          <w:tcPr>
            <w:tcW w:w="5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180" w:type="dxa"/>
            <w:vAlign w:val="bottom"/>
            <w:gridSpan w:val="2"/>
          </w:tcPr>
          <w:p>
            <w:pPr>
              <w:jc w:val="right"/>
              <w:ind w:right="138"/>
              <w:spacing w:after="0"/>
              <w:rPr>
                <w:sz w:val="20"/>
                <w:szCs w:val="20"/>
                <w:color w:val="auto"/>
              </w:rPr>
            </w:pPr>
            <w:r>
              <w:rPr>
                <w:rFonts w:ascii="Arial" w:cs="Arial" w:eastAsia="Arial" w:hAnsi="Arial"/>
                <w:sz w:val="16"/>
                <w:szCs w:val="16"/>
                <w:b w:val="1"/>
                <w:bCs w:val="1"/>
                <w:color w:val="auto"/>
              </w:rPr>
              <w:t>31, 2020</w:t>
            </w:r>
          </w:p>
        </w:tc>
        <w:tc>
          <w:tcPr>
            <w:tcW w:w="180" w:type="dxa"/>
            <w:vAlign w:val="bottom"/>
          </w:tcPr>
          <w:p>
            <w:pPr>
              <w:spacing w:after="0"/>
              <w:rPr>
                <w:sz w:val="18"/>
                <w:szCs w:val="18"/>
                <w:color w:val="auto"/>
              </w:rPr>
            </w:pPr>
          </w:p>
        </w:tc>
        <w:tc>
          <w:tcPr>
            <w:tcW w:w="980" w:type="dxa"/>
            <w:vAlign w:val="bottom"/>
          </w:tcPr>
          <w:p>
            <w:pPr>
              <w:jc w:val="right"/>
              <w:ind w:right="138"/>
              <w:spacing w:after="0"/>
              <w:rPr>
                <w:sz w:val="20"/>
                <w:szCs w:val="20"/>
                <w:color w:val="auto"/>
              </w:rPr>
            </w:pPr>
            <w:r>
              <w:rPr>
                <w:rFonts w:ascii="Arial" w:cs="Arial" w:eastAsia="Arial" w:hAnsi="Arial"/>
                <w:sz w:val="16"/>
                <w:szCs w:val="16"/>
                <w:b w:val="1"/>
                <w:bCs w:val="1"/>
                <w:color w:val="auto"/>
              </w:rPr>
              <w:t>31, 2019</w:t>
            </w: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90"/>
        </w:trPr>
        <w:tc>
          <w:tcPr>
            <w:tcW w:w="5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6"/>
                <w:szCs w:val="16"/>
                <w:color w:val="auto"/>
              </w:rPr>
            </w:pPr>
          </w:p>
        </w:tc>
        <w:tc>
          <w:tcPr>
            <w:tcW w:w="98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97"/>
        </w:trPr>
        <w:tc>
          <w:tcPr>
            <w:tcW w:w="58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Pension funds</w:t>
            </w:r>
          </w:p>
        </w:tc>
        <w:tc>
          <w:tcPr>
            <w:tcW w:w="43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46,607</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53,912</w:t>
            </w:r>
          </w:p>
        </w:tc>
        <w:tc>
          <w:tcPr>
            <w:tcW w:w="1660" w:type="dxa"/>
            <w:vAlign w:val="bottom"/>
          </w:tcPr>
          <w:p>
            <w:pPr>
              <w:spacing w:after="0"/>
              <w:rPr>
                <w:sz w:val="17"/>
                <w:szCs w:val="17"/>
                <w:color w:val="auto"/>
              </w:rPr>
            </w:pPr>
          </w:p>
        </w:tc>
      </w:tr>
      <w:tr>
        <w:trPr>
          <w:trHeight w:val="197"/>
        </w:trPr>
        <w:tc>
          <w:tcPr>
            <w:tcW w:w="58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Investment funds and mutual funds</w:t>
            </w:r>
          </w:p>
        </w:tc>
        <w:tc>
          <w:tcPr>
            <w:tcW w:w="4360" w:type="dxa"/>
            <w:vAlign w:val="bottom"/>
            <w:gridSpan w:val="3"/>
          </w:tcPr>
          <w:p>
            <w:pPr>
              <w:jc w:val="right"/>
              <w:ind w:right="180"/>
              <w:spacing w:after="0"/>
              <w:rPr>
                <w:sz w:val="20"/>
                <w:szCs w:val="20"/>
                <w:color w:val="auto"/>
              </w:rPr>
            </w:pPr>
            <w:r>
              <w:rPr>
                <w:rFonts w:ascii="Arial" w:cs="Arial" w:eastAsia="Arial" w:hAnsi="Arial"/>
                <w:sz w:val="16"/>
                <w:szCs w:val="16"/>
                <w:color w:val="auto"/>
              </w:rPr>
              <w:t>39,469</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43,635</w:t>
            </w:r>
          </w:p>
        </w:tc>
        <w:tc>
          <w:tcPr>
            <w:tcW w:w="1660" w:type="dxa"/>
            <w:vAlign w:val="bottom"/>
          </w:tcPr>
          <w:p>
            <w:pPr>
              <w:spacing w:after="0"/>
              <w:rPr>
                <w:sz w:val="17"/>
                <w:szCs w:val="17"/>
                <w:color w:val="auto"/>
              </w:rPr>
            </w:pPr>
          </w:p>
        </w:tc>
      </w:tr>
      <w:tr>
        <w:trPr>
          <w:trHeight w:val="197"/>
        </w:trPr>
        <w:tc>
          <w:tcPr>
            <w:tcW w:w="58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Equity managed</w:t>
            </w:r>
          </w:p>
        </w:tc>
        <w:tc>
          <w:tcPr>
            <w:tcW w:w="43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17,792</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18,387</w:t>
            </w:r>
          </w:p>
        </w:tc>
        <w:tc>
          <w:tcPr>
            <w:tcW w:w="1660" w:type="dxa"/>
            <w:vAlign w:val="bottom"/>
          </w:tcPr>
          <w:p>
            <w:pPr>
              <w:spacing w:after="0"/>
              <w:rPr>
                <w:sz w:val="17"/>
                <w:szCs w:val="17"/>
                <w:color w:val="auto"/>
              </w:rPr>
            </w:pPr>
          </w:p>
        </w:tc>
      </w:tr>
      <w:tr>
        <w:trPr>
          <w:trHeight w:val="208"/>
        </w:trPr>
        <w:tc>
          <w:tcPr>
            <w:tcW w:w="5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Bank trusts</w:t>
            </w:r>
          </w:p>
        </w:tc>
        <w:tc>
          <w:tcPr>
            <w:tcW w:w="4180" w:type="dxa"/>
            <w:vAlign w:val="bottom"/>
            <w:gridSpan w:val="2"/>
          </w:tcPr>
          <w:p>
            <w:pPr>
              <w:jc w:val="right"/>
              <w:spacing w:after="0"/>
              <w:rPr>
                <w:sz w:val="20"/>
                <w:szCs w:val="20"/>
                <w:color w:val="auto"/>
              </w:rPr>
            </w:pPr>
            <w:r>
              <w:rPr>
                <w:rFonts w:ascii="Arial" w:cs="Arial" w:eastAsia="Arial" w:hAnsi="Arial"/>
                <w:sz w:val="16"/>
                <w:szCs w:val="16"/>
                <w:color w:val="auto"/>
              </w:rPr>
              <w:t>4,753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4,834</w:t>
            </w: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90"/>
        </w:trPr>
        <w:tc>
          <w:tcPr>
            <w:tcW w:w="580" w:type="dxa"/>
            <w:vAlign w:val="bottom"/>
          </w:tcPr>
          <w:p>
            <w:pPr>
              <w:spacing w:after="0"/>
              <w:rPr>
                <w:sz w:val="16"/>
                <w:szCs w:val="16"/>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1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108,621</w:t>
            </w:r>
          </w:p>
        </w:tc>
        <w:tc>
          <w:tcPr>
            <w:tcW w:w="1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120,768</w:t>
            </w:r>
          </w:p>
        </w:tc>
        <w:tc>
          <w:tcPr>
            <w:tcW w:w="80" w:type="dxa"/>
            <w:vAlign w:val="bottom"/>
            <w:tcBorders>
              <w:top w:val="single" w:sz="8" w:color="CCEEFF"/>
            </w:tcBorders>
            <w:shd w:val="clear" w:color="auto" w:fill="CCEEFF"/>
          </w:tcPr>
          <w:p>
            <w:pPr>
              <w:spacing w:after="0"/>
              <w:rPr>
                <w:sz w:val="16"/>
                <w:szCs w:val="16"/>
                <w:color w:val="auto"/>
              </w:rPr>
            </w:pPr>
          </w:p>
        </w:tc>
        <w:tc>
          <w:tcPr>
            <w:tcW w:w="1660" w:type="dxa"/>
            <w:vAlign w:val="bottom"/>
          </w:tcPr>
          <w:p>
            <w:pPr>
              <w:spacing w:after="0"/>
              <w:rPr>
                <w:sz w:val="16"/>
                <w:szCs w:val="16"/>
                <w:color w:val="auto"/>
              </w:rPr>
            </w:pPr>
          </w:p>
        </w:tc>
      </w:tr>
      <w:tr>
        <w:trPr>
          <w:trHeight w:val="581"/>
        </w:trPr>
        <w:tc>
          <w:tcPr>
            <w:tcW w:w="5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right"/>
              <w:ind w:right="1418"/>
              <w:spacing w:after="0"/>
              <w:rPr>
                <w:sz w:val="20"/>
                <w:szCs w:val="20"/>
                <w:color w:val="auto"/>
              </w:rPr>
            </w:pPr>
            <w:r>
              <w:rPr>
                <w:rFonts w:ascii="Arial" w:cs="Arial" w:eastAsia="Arial" w:hAnsi="Arial"/>
                <w:sz w:val="16"/>
                <w:szCs w:val="16"/>
                <w:color w:val="auto"/>
              </w:rPr>
              <w:t>-102-</w:t>
            </w: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9" w:right="339" w:bottom="1440" w:gutter="0" w:footer="0" w:header="0"/>
        </w:sectPr>
      </w:pPr>
    </w:p>
    <w:bookmarkStart w:id="108" w:name="page109"/>
    <w:bookmarkEnd w:id="108"/>
    <w:p>
      <w:pPr>
        <w:ind w:left="582" w:right="7500" w:hanging="582"/>
        <w:spacing w:after="0" w:line="515" w:lineRule="auto"/>
        <w:tabs>
          <w:tab w:leader="none" w:pos="582"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color w:val="auto"/>
        </w:rPr>
        <w:t>Legal claim contingencies –</w:t>
      </w:r>
    </w:p>
    <w:p>
      <w:pPr>
        <w:ind w:left="882" w:hanging="292"/>
        <w:spacing w:after="0"/>
        <w:tabs>
          <w:tab w:leader="none" w:pos="882" w:val="left"/>
        </w:tabs>
        <w:numPr>
          <w:ilvl w:val="1"/>
          <w:numId w:val="119"/>
        </w:numPr>
        <w:rPr>
          <w:rFonts w:ascii="Arial" w:cs="Arial" w:eastAsia="Arial" w:hAnsi="Arial"/>
          <w:sz w:val="16"/>
          <w:szCs w:val="16"/>
          <w:color w:val="auto"/>
        </w:rPr>
      </w:pPr>
      <w:r>
        <w:rPr>
          <w:rFonts w:ascii="Arial" w:cs="Arial" w:eastAsia="Arial" w:hAnsi="Arial"/>
          <w:sz w:val="16"/>
          <w:szCs w:val="16"/>
          <w:color w:val="auto"/>
        </w:rPr>
        <w:t>Madoff Trustee Litigation -</w:t>
      </w:r>
    </w:p>
    <w:p>
      <w:pPr>
        <w:spacing w:after="0" w:line="209" w:lineRule="exact"/>
        <w:rPr>
          <w:rFonts w:ascii="Arial" w:cs="Arial" w:eastAsia="Arial" w:hAnsi="Arial"/>
          <w:sz w:val="16"/>
          <w:szCs w:val="16"/>
          <w:color w:val="auto"/>
        </w:rPr>
      </w:pPr>
    </w:p>
    <w:p>
      <w:pPr>
        <w:ind w:left="882"/>
        <w:spacing w:after="0" w:line="260" w:lineRule="auto"/>
        <w:rPr>
          <w:rFonts w:ascii="Arial" w:cs="Arial" w:eastAsia="Arial" w:hAnsi="Arial"/>
          <w:sz w:val="16"/>
          <w:szCs w:val="16"/>
          <w:color w:val="auto"/>
        </w:rPr>
      </w:pPr>
      <w:r>
        <w:rPr>
          <w:rFonts w:ascii="Arial" w:cs="Arial" w:eastAsia="Arial" w:hAnsi="Arial"/>
          <w:sz w:val="16"/>
          <w:szCs w:val="16"/>
          <w:color w:val="auto"/>
        </w:rPr>
        <w:t>In September 2011, the Trustee for the liquidation of Bernard L. Madoff Investment Securities LLC (BLMIS) and the substantively consolidated estate of Bernard L. Madoff (the Madoff Trustee) filed a complaint (the Madoff Complaint) against Credicorp’s subsidiary ASB in the U.S. Bankruptcy Court for the Southern District of New York (the Bankruptcy Court). The Madoff Complaint seeks recovery of approximately US$120 million, which is alleged to be equal to the amount of redemptions between the end of 2004 and the beginning of 2005 of ASB-managed Atlantic U.S. Blue Chip Fund assets invested in Fairfield Sentry Limited (Fairfield Sentry). The Madoff Complaint seeks the recovery of these redemptions from ASB as “subsequent transfers” or “avoided transfers” from BLMIS to Fairfield Sentry that Fairfield Sentry in turn subsequently transferred to ASB. The Madoff Trustee has filed similar “clawback” actions against numerous other alleged “subsequent transferees” that invested in Fairfield Sentry and its sister entities, which, in turn, invested in and redeemed funds from BLMIS.</w:t>
      </w:r>
    </w:p>
    <w:p>
      <w:pPr>
        <w:spacing w:after="0" w:line="174" w:lineRule="exact"/>
        <w:rPr>
          <w:rFonts w:ascii="Arial" w:cs="Arial" w:eastAsia="Arial" w:hAnsi="Arial"/>
          <w:sz w:val="16"/>
          <w:szCs w:val="16"/>
          <w:color w:val="auto"/>
        </w:rPr>
      </w:pPr>
    </w:p>
    <w:p>
      <w:pPr>
        <w:ind w:left="882"/>
        <w:spacing w:after="0" w:line="300" w:lineRule="auto"/>
        <w:rPr>
          <w:rFonts w:ascii="Arial" w:cs="Arial" w:eastAsia="Arial" w:hAnsi="Arial"/>
          <w:sz w:val="16"/>
          <w:szCs w:val="16"/>
          <w:color w:val="auto"/>
        </w:rPr>
      </w:pPr>
      <w:r>
        <w:rPr>
          <w:rFonts w:ascii="Arial" w:cs="Arial" w:eastAsia="Arial" w:hAnsi="Arial"/>
          <w:sz w:val="14"/>
          <w:szCs w:val="14"/>
          <w:color w:val="auto"/>
        </w:rPr>
        <w:t>There has been significant briefing on issues related to these Madoff Trustee actions, and these cases have been pending for many years. In November 2016, the Bankruptcy Court issued a Memorandum Decision Regarding Claims to Recover Foreign Subsequent Transfers (the Memorandum Decision) holding that the recovery of certain subsequent foreign transfers is barred under the doctrine of comity and/or extraterritoriality, and it dismissed the claims brought by the Madoff Trustee against a number of parties, including ASB. In March 2017, the Madoff Trustee filed an appeal (the Appeal) of the Memorandum Decision to the United States Court of Appeals for the Second Circuit, which reversed the Dismissal Order and remanded the matter to the Bankruptcy Court (the Second Circuit Opinion). In April 2019, the defendant-appellees, including ASB, filed, and the Second Circuit granted, a motion to stay the issuance of the mandate pending the filing of a petition for a writ of certiorari in the United States Supreme Court. The petition for a writ of certiorari was filed in the United States Supreme Court in August 2019. The mentioned petition was denied by the Supreme Court in June 2020. Therefore, the defense counsel will need to coordinate with Madoff Trustee´s counsel on a briefing schedule related to their pending motion to replead and request for limited discovery if that is still the desire of the Trustee. The Group believes that ASB has other defenses against the Madoff Trustee’s claims alleged in the Madoff Complaint.</w:t>
      </w:r>
    </w:p>
    <w:p>
      <w:pPr>
        <w:spacing w:after="0" w:line="149" w:lineRule="exact"/>
        <w:rPr>
          <w:rFonts w:ascii="Arial" w:cs="Arial" w:eastAsia="Arial" w:hAnsi="Arial"/>
          <w:sz w:val="16"/>
          <w:szCs w:val="16"/>
          <w:color w:val="auto"/>
        </w:rPr>
      </w:pPr>
    </w:p>
    <w:p>
      <w:pPr>
        <w:ind w:left="882" w:hanging="292"/>
        <w:spacing w:after="0"/>
        <w:tabs>
          <w:tab w:leader="none" w:pos="882" w:val="left"/>
        </w:tabs>
        <w:numPr>
          <w:ilvl w:val="1"/>
          <w:numId w:val="119"/>
        </w:numPr>
        <w:rPr>
          <w:rFonts w:ascii="Arial" w:cs="Arial" w:eastAsia="Arial" w:hAnsi="Arial"/>
          <w:sz w:val="16"/>
          <w:szCs w:val="16"/>
          <w:color w:val="auto"/>
        </w:rPr>
      </w:pPr>
      <w:r>
        <w:rPr>
          <w:rFonts w:ascii="Arial" w:cs="Arial" w:eastAsia="Arial" w:hAnsi="Arial"/>
          <w:sz w:val="16"/>
          <w:szCs w:val="16"/>
          <w:color w:val="auto"/>
        </w:rPr>
        <w:t>Fairfield Liquidator Litigation -</w:t>
      </w:r>
    </w:p>
    <w:p>
      <w:pPr>
        <w:spacing w:after="0" w:line="209" w:lineRule="exact"/>
        <w:rPr>
          <w:rFonts w:ascii="Arial" w:cs="Arial" w:eastAsia="Arial" w:hAnsi="Arial"/>
          <w:sz w:val="16"/>
          <w:szCs w:val="16"/>
          <w:color w:val="auto"/>
        </w:rPr>
      </w:pPr>
    </w:p>
    <w:p>
      <w:pPr>
        <w:ind w:left="882" w:right="100"/>
        <w:spacing w:after="0" w:line="285" w:lineRule="auto"/>
        <w:rPr>
          <w:rFonts w:ascii="Arial" w:cs="Arial" w:eastAsia="Arial" w:hAnsi="Arial"/>
          <w:sz w:val="16"/>
          <w:szCs w:val="16"/>
          <w:color w:val="auto"/>
        </w:rPr>
      </w:pPr>
      <w:r>
        <w:rPr>
          <w:rFonts w:ascii="Arial" w:cs="Arial" w:eastAsia="Arial" w:hAnsi="Arial"/>
          <w:sz w:val="15"/>
          <w:szCs w:val="15"/>
          <w:color w:val="auto"/>
        </w:rPr>
        <w:t>In April 2012, Fairfield Sentry (In Liquidation) and its representative, Kenneth Krys (the Fairfield Liquidator), filed a complaint against ASB (the Fairfield Complaint) in the Bankruptcy Court (the Fairfield v. ASB Adversary Proceeding). The Fairfield Complaint seeks to recover US$115.2 million from ASB, representing the amount of ASB’s redemptions of certain investments in Fairfield Sentry. These are essentially the same funds that the Madoff Trustee seeks to recover in the Madoff Trustee litigation described above. After the Fairfield Complaint was filed, the Bankruptcy Court procedurally consolidated the Fairfield v. ASB Adversary Proceeding with other adversary actions brought by the Fairfield Liquidator against former investors in Fairfield Sentry.</w:t>
      </w:r>
    </w:p>
    <w:p>
      <w:pPr>
        <w:spacing w:after="0" w:line="155" w:lineRule="exact"/>
        <w:rPr>
          <w:rFonts w:ascii="Arial" w:cs="Arial" w:eastAsia="Arial" w:hAnsi="Arial"/>
          <w:sz w:val="16"/>
          <w:szCs w:val="16"/>
          <w:color w:val="auto"/>
        </w:rPr>
      </w:pPr>
    </w:p>
    <w:p>
      <w:pPr>
        <w:ind w:left="882"/>
        <w:spacing w:after="0" w:line="281" w:lineRule="auto"/>
        <w:rPr>
          <w:rFonts w:ascii="Arial" w:cs="Arial" w:eastAsia="Arial" w:hAnsi="Arial"/>
          <w:sz w:val="16"/>
          <w:szCs w:val="16"/>
          <w:color w:val="auto"/>
        </w:rPr>
      </w:pPr>
      <w:r>
        <w:rPr>
          <w:rFonts w:ascii="Arial" w:cs="Arial" w:eastAsia="Arial" w:hAnsi="Arial"/>
          <w:sz w:val="15"/>
          <w:szCs w:val="15"/>
          <w:color w:val="auto"/>
        </w:rPr>
        <w:t>Similar to the Madoff Trustee litigation described above, the Fairfield v. ASB Adversary Proceeding and related adversary actions have been pending for many years. In October 2016, the Fairfield Liquidator filed a Motion for Leave to Amend (the Motion for Leave) various complaints, including the Fairfield Complaint. Certain defendants, including ASB, filed a motion to dismiss (the Motion to Dismiss) and a consolidated memorandum of law (i) in opposition to the Motion for Leave and (ii) in support of the Motion to Dismiss. In December 2018, the Bankruptcy Court entered a memorandum decision granting in part and denying in part the Motion to Dismiss and the Motion for Leave (the Memorandum Decision). In March 2019, the Fairfield Liquidator submitted a form of a stipulated order dismissing the adversary proceeding against ASB (the Dismissal Order), as directed by the Bankruptcy Court, but filed notices of appeal, including of the dismissal of the claims asserted against ASB and other defendants, in May 2019. The appeal remains pending.</w:t>
      </w:r>
    </w:p>
    <w:p>
      <w:pPr>
        <w:spacing w:after="0" w:line="355" w:lineRule="exact"/>
        <w:rPr>
          <w:rFonts w:ascii="Arial" w:cs="Arial" w:eastAsia="Arial" w:hAnsi="Arial"/>
          <w:sz w:val="16"/>
          <w:szCs w:val="16"/>
          <w:color w:val="auto"/>
        </w:rPr>
      </w:pPr>
    </w:p>
    <w:p>
      <w:pPr>
        <w:ind w:left="5502" w:hanging="94"/>
        <w:spacing w:after="0"/>
        <w:tabs>
          <w:tab w:leader="none" w:pos="5502" w:val="left"/>
        </w:tabs>
        <w:numPr>
          <w:ilvl w:val="2"/>
          <w:numId w:val="119"/>
        </w:numPr>
        <w:rPr>
          <w:rFonts w:ascii="Arial" w:cs="Arial" w:eastAsia="Arial" w:hAnsi="Arial"/>
          <w:sz w:val="16"/>
          <w:szCs w:val="16"/>
          <w:color w:val="auto"/>
        </w:rPr>
      </w:pPr>
      <w:r>
        <w:rPr>
          <w:rFonts w:ascii="Arial" w:cs="Arial" w:eastAsia="Arial" w:hAnsi="Arial"/>
          <w:sz w:val="16"/>
          <w:szCs w:val="16"/>
          <w:color w:val="auto"/>
        </w:rPr>
        <w:t>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2"/>
          </w:cols>
          <w:pgMar w:left="318" w:top="835" w:right="359" w:bottom="1440" w:gutter="0" w:footer="0" w:header="0"/>
        </w:sectPr>
      </w:pPr>
    </w:p>
    <w:bookmarkStart w:id="109" w:name="page110"/>
    <w:bookmarkEnd w:id="109"/>
    <w:p>
      <w:pPr>
        <w:ind w:left="880" w:right="680"/>
        <w:spacing w:after="0" w:line="287" w:lineRule="auto"/>
        <w:rPr>
          <w:sz w:val="20"/>
          <w:szCs w:val="20"/>
          <w:color w:val="auto"/>
        </w:rPr>
      </w:pPr>
      <w:r>
        <w:rPr>
          <w:rFonts w:ascii="Arial" w:cs="Arial" w:eastAsia="Arial" w:hAnsi="Arial"/>
          <w:sz w:val="16"/>
          <w:szCs w:val="16"/>
          <w:color w:val="auto"/>
        </w:rPr>
        <w:t>The Group believes that ASB has substantial defenses against the Fairfield Liquidator’s claims alleged in the Amended Complaint and the Fairfield Liquidator’s appeal.</w:t>
      </w:r>
    </w:p>
    <w:p>
      <w:pPr>
        <w:spacing w:after="0" w:line="14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36</w:t>
      </w:r>
      <w:r>
        <w:rPr>
          <w:sz w:val="20"/>
          <w:szCs w:val="20"/>
          <w:color w:val="auto"/>
        </w:rPr>
        <w:tab/>
      </w:r>
      <w:r>
        <w:rPr>
          <w:rFonts w:ascii="Arial" w:cs="Arial" w:eastAsia="Arial" w:hAnsi="Arial"/>
          <w:sz w:val="16"/>
          <w:szCs w:val="16"/>
          <w:b w:val="1"/>
          <w:bCs w:val="1"/>
          <w:color w:val="auto"/>
        </w:rPr>
        <w:t>EVENTS OCCURRED AFTER THE REPORT PERIOD</w:t>
      </w:r>
    </w:p>
    <w:p>
      <w:pPr>
        <w:spacing w:after="0" w:line="213" w:lineRule="exact"/>
        <w:rPr>
          <w:sz w:val="20"/>
          <w:szCs w:val="20"/>
          <w:color w:val="auto"/>
        </w:rPr>
      </w:pPr>
    </w:p>
    <w:p>
      <w:pPr>
        <w:ind w:left="880" w:right="420"/>
        <w:spacing w:after="0" w:line="287" w:lineRule="auto"/>
        <w:rPr>
          <w:sz w:val="20"/>
          <w:szCs w:val="20"/>
          <w:color w:val="auto"/>
        </w:rPr>
      </w:pPr>
      <w:r>
        <w:rPr>
          <w:rFonts w:ascii="Arial" w:cs="Arial" w:eastAsia="Arial" w:hAnsi="Arial"/>
          <w:sz w:val="16"/>
          <w:szCs w:val="16"/>
          <w:color w:val="auto"/>
        </w:rPr>
        <w:t>From April 1, 2020 until the date of this report, no significant event of a financial-accounting nature has occurred which affects the interpretation of the consolidated financial statements, except for the following paragraphs.</w:t>
      </w:r>
    </w:p>
    <w:p>
      <w:pPr>
        <w:spacing w:after="0" w:line="150" w:lineRule="exact"/>
        <w:rPr>
          <w:sz w:val="20"/>
          <w:szCs w:val="20"/>
          <w:color w:val="auto"/>
        </w:rPr>
      </w:pPr>
    </w:p>
    <w:p>
      <w:pPr>
        <w:ind w:left="880" w:right="20"/>
        <w:spacing w:after="0" w:line="283" w:lineRule="auto"/>
        <w:rPr>
          <w:sz w:val="20"/>
          <w:szCs w:val="20"/>
          <w:color w:val="auto"/>
        </w:rPr>
      </w:pPr>
      <w:r>
        <w:rPr>
          <w:rFonts w:ascii="Arial" w:cs="Arial" w:eastAsia="Arial" w:hAnsi="Arial"/>
          <w:sz w:val="15"/>
          <w:szCs w:val="15"/>
          <w:color w:val="auto"/>
        </w:rPr>
        <w:t>Due COVID-19 Pandemic effects (see Note 2(b)), since April, 2020 Credicorp and subsidiaries have offered its clients in Retail Banking the opportunity to reschedule their loans for 30 or 90 days without incurring in overdue fees and interest on capital during this period, which could generate impairment charges in the short term, according to IFRS9. For this type of loans, IFRS9 require to recalculate the gross carrying amount, and the company shall recognize a modification loss. The gross carrying amount of the loan shall be recalculated as the present value of the new contractual cash flows that are discounted at market effective interest rate. This charge represents a temporal difference which will be amortized over the remaining term of the zero-interest-rate loan. At this time, Management is determining the impacts that could be generated in relation to these rescheduled loans.</w:t>
      </w:r>
    </w:p>
    <w:p>
      <w:pPr>
        <w:spacing w:after="0" w:line="155" w:lineRule="exact"/>
        <w:rPr>
          <w:sz w:val="20"/>
          <w:szCs w:val="20"/>
          <w:color w:val="auto"/>
        </w:rPr>
      </w:pPr>
    </w:p>
    <w:p>
      <w:pPr>
        <w:ind w:left="880"/>
        <w:spacing w:after="0" w:line="287" w:lineRule="auto"/>
        <w:rPr>
          <w:sz w:val="20"/>
          <w:szCs w:val="20"/>
          <w:color w:val="auto"/>
        </w:rPr>
      </w:pPr>
      <w:r>
        <w:rPr>
          <w:rFonts w:ascii="Arial" w:cs="Arial" w:eastAsia="Arial" w:hAnsi="Arial"/>
          <w:sz w:val="16"/>
          <w:szCs w:val="16"/>
          <w:color w:val="auto"/>
        </w:rPr>
        <w:t>Finally, on May 26, 2020 the Peruvian Government was enacted the Supreme Decree 094-2020-PCM to extend the National Emergency period from May 25, 2020 to June 30, 2020.</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839" w:right="35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12"/>
        </w:trPr>
        <w:tc>
          <w:tcPr>
            <w:tcW w:w="4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780" w:type="dxa"/>
            <w:vAlign w:val="bottom"/>
            <w:gridSpan w:val="2"/>
          </w:tcPr>
          <w:p>
            <w:pPr>
              <w:jc w:val="right"/>
              <w:spacing w:after="0"/>
              <w:rPr>
                <w:sz w:val="20"/>
                <w:szCs w:val="20"/>
                <w:color w:val="auto"/>
              </w:rPr>
            </w:pPr>
            <w:r>
              <w:rPr>
                <w:rFonts w:ascii="Arial" w:cs="Arial" w:eastAsia="Arial" w:hAnsi="Arial"/>
                <w:sz w:val="16"/>
                <w:szCs w:val="16"/>
                <w:b w:val="1"/>
                <w:bCs w:val="1"/>
                <w:color w:val="auto"/>
              </w:rPr>
              <w:t>Exhibit 99.2</w:t>
            </w:r>
          </w:p>
        </w:tc>
        <w:tc>
          <w:tcPr>
            <w:tcW w:w="0" w:type="dxa"/>
            <w:vAlign w:val="bottom"/>
          </w:tcPr>
          <w:p>
            <w:pPr>
              <w:spacing w:after="0"/>
              <w:rPr>
                <w:sz w:val="1"/>
                <w:szCs w:val="1"/>
                <w:color w:val="auto"/>
              </w:rPr>
            </w:pPr>
          </w:p>
        </w:tc>
      </w:tr>
      <w:tr>
        <w:trPr>
          <w:trHeight w:val="393"/>
        </w:trPr>
        <w:tc>
          <w:tcPr>
            <w:tcW w:w="8460" w:type="dxa"/>
            <w:vAlign w:val="bottom"/>
            <w:gridSpan w:val="3"/>
          </w:tcPr>
          <w:p>
            <w:pPr>
              <w:ind w:left="4740"/>
              <w:spacing w:after="0"/>
              <w:rPr>
                <w:sz w:val="20"/>
                <w:szCs w:val="20"/>
                <w:color w:val="auto"/>
              </w:rPr>
            </w:pPr>
            <w:r>
              <w:rPr>
                <w:rFonts w:ascii="Arial" w:cs="Arial" w:eastAsia="Arial" w:hAnsi="Arial"/>
                <w:sz w:val="16"/>
                <w:szCs w:val="16"/>
                <w:b w:val="1"/>
                <w:bCs w:val="1"/>
                <w:color w:val="auto"/>
              </w:rPr>
              <w:t>TABLE OF CONTENTS</w:t>
            </w:r>
          </w:p>
        </w:tc>
        <w:tc>
          <w:tcPr>
            <w:tcW w:w="2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4780" w:type="dxa"/>
            <w:vAlign w:val="bottom"/>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980" w:type="dxa"/>
            <w:vAlign w:val="bottom"/>
          </w:tcPr>
          <w:p>
            <w:pPr>
              <w:spacing w:after="0"/>
              <w:rPr>
                <w:sz w:val="4"/>
                <w:szCs w:val="4"/>
                <w:color w:val="auto"/>
              </w:rPr>
            </w:pPr>
          </w:p>
        </w:tc>
        <w:tc>
          <w:tcPr>
            <w:tcW w:w="27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61"/>
        </w:trPr>
        <w:tc>
          <w:tcPr>
            <w:tcW w:w="4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7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460" w:type="dxa"/>
            <w:vAlign w:val="bottom"/>
            <w:gridSpan w:val="3"/>
          </w:tcPr>
          <w:p>
            <w:pPr>
              <w:spacing w:after="0"/>
              <w:rPr>
                <w:sz w:val="20"/>
                <w:szCs w:val="20"/>
                <w:color w:val="auto"/>
              </w:rPr>
            </w:pPr>
            <w:r>
              <w:rPr>
                <w:rFonts w:ascii="Arial" w:cs="Arial" w:eastAsia="Arial" w:hAnsi="Arial"/>
                <w:sz w:val="16"/>
                <w:szCs w:val="16"/>
                <w:color w:val="auto"/>
              </w:rPr>
              <w:t>Summary</w:t>
            </w:r>
          </w:p>
        </w:tc>
        <w:tc>
          <w:tcPr>
            <w:tcW w:w="2460" w:type="dxa"/>
            <w:vAlign w:val="bottom"/>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7"/>
        </w:trPr>
        <w:tc>
          <w:tcPr>
            <w:tcW w:w="8460" w:type="dxa"/>
            <w:vAlign w:val="bottom"/>
            <w:gridSpan w:val="3"/>
          </w:tcPr>
          <w:p>
            <w:pPr>
              <w:spacing w:after="0"/>
              <w:rPr>
                <w:sz w:val="20"/>
                <w:szCs w:val="20"/>
                <w:color w:val="auto"/>
              </w:rPr>
            </w:pPr>
            <w:r>
              <w:rPr>
                <w:rFonts w:ascii="Arial" w:cs="Arial" w:eastAsia="Arial" w:hAnsi="Arial"/>
                <w:sz w:val="16"/>
                <w:szCs w:val="16"/>
                <w:color w:val="auto"/>
              </w:rPr>
              <w:t>Selected Financial Information</w:t>
            </w:r>
          </w:p>
        </w:tc>
        <w:tc>
          <w:tcPr>
            <w:tcW w:w="278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7"/>
        </w:trPr>
        <w:tc>
          <w:tcPr>
            <w:tcW w:w="8460" w:type="dxa"/>
            <w:vAlign w:val="bottom"/>
            <w:gridSpan w:val="3"/>
          </w:tcPr>
          <w:p>
            <w:pPr>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278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7"/>
        </w:trPr>
        <w:tc>
          <w:tcPr>
            <w:tcW w:w="8460" w:type="dxa"/>
            <w:vAlign w:val="bottom"/>
            <w:gridSpan w:val="3"/>
          </w:tcPr>
          <w:p>
            <w:pPr>
              <w:spacing w:after="0"/>
              <w:rPr>
                <w:sz w:val="20"/>
                <w:szCs w:val="20"/>
                <w:color w:val="auto"/>
              </w:rPr>
            </w:pPr>
            <w:r>
              <w:rPr>
                <w:rFonts w:ascii="Arial" w:cs="Arial" w:eastAsia="Arial" w:hAnsi="Arial"/>
                <w:sz w:val="16"/>
                <w:szCs w:val="16"/>
                <w:color w:val="auto"/>
              </w:rPr>
              <w:t>Selected Statistical and Other Information</w:t>
            </w:r>
          </w:p>
        </w:tc>
        <w:tc>
          <w:tcPr>
            <w:tcW w:w="278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7"/>
        </w:trPr>
        <w:tc>
          <w:tcPr>
            <w:tcW w:w="8460" w:type="dxa"/>
            <w:vAlign w:val="bottom"/>
            <w:gridSpan w:val="3"/>
          </w:tcPr>
          <w:p>
            <w:pPr>
              <w:spacing w:after="0"/>
              <w:rPr>
                <w:sz w:val="20"/>
                <w:szCs w:val="20"/>
                <w:color w:val="auto"/>
              </w:rPr>
            </w:pPr>
            <w:r>
              <w:rPr>
                <w:rFonts w:ascii="Arial" w:cs="Arial" w:eastAsia="Arial" w:hAnsi="Arial"/>
                <w:sz w:val="16"/>
                <w:szCs w:val="16"/>
                <w:color w:val="auto"/>
              </w:rPr>
              <w:t>Business and Other Updates</w:t>
            </w:r>
          </w:p>
        </w:tc>
        <w:tc>
          <w:tcPr>
            <w:tcW w:w="2780" w:type="dxa"/>
            <w:vAlign w:val="bottom"/>
            <w:gridSpan w:val="2"/>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8"/>
        </w:trPr>
        <w:tc>
          <w:tcPr>
            <w:tcW w:w="8460" w:type="dxa"/>
            <w:vAlign w:val="bottom"/>
            <w:gridSpan w:val="3"/>
          </w:tcPr>
          <w:p>
            <w:pPr>
              <w:spacing w:after="0"/>
              <w:rPr>
                <w:sz w:val="20"/>
                <w:szCs w:val="20"/>
                <w:color w:val="auto"/>
              </w:rPr>
            </w:pPr>
            <w:r>
              <w:rPr>
                <w:rFonts w:ascii="Arial" w:cs="Arial" w:eastAsia="Arial" w:hAnsi="Arial"/>
                <w:sz w:val="16"/>
                <w:szCs w:val="16"/>
                <w:color w:val="auto"/>
              </w:rPr>
              <w:t>Forward-Looking Statements</w:t>
            </w:r>
          </w:p>
        </w:tc>
        <w:tc>
          <w:tcPr>
            <w:tcW w:w="2780" w:type="dxa"/>
            <w:vAlign w:val="bottom"/>
            <w:gridSpan w:val="2"/>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628"/>
        </w:trPr>
        <w:tc>
          <w:tcPr>
            <w:tcW w:w="47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4" w:right="339" w:bottom="1440" w:gutter="0" w:footer="0" w:header="0"/>
        </w:sectPr>
      </w:pPr>
    </w:p>
    <w:bookmarkStart w:id="111" w:name="page112"/>
    <w:bookmarkEnd w:id="111"/>
    <w:p>
      <w:pPr>
        <w:jc w:val="center"/>
        <w:ind w:right="-1"/>
        <w:spacing w:after="0"/>
        <w:rPr>
          <w:sz w:val="20"/>
          <w:szCs w:val="20"/>
          <w:color w:val="auto"/>
        </w:rPr>
      </w:pPr>
      <w:r>
        <w:rPr>
          <w:rFonts w:ascii="Arial" w:cs="Arial" w:eastAsia="Arial" w:hAnsi="Arial"/>
          <w:sz w:val="16"/>
          <w:szCs w:val="16"/>
          <w:b w:val="1"/>
          <w:bCs w:val="1"/>
          <w:color w:val="auto"/>
        </w:rPr>
        <w:t>SUMMARY</w:t>
      </w:r>
    </w:p>
    <w:p>
      <w:pPr>
        <w:spacing w:after="0" w:line="213" w:lineRule="exact"/>
        <w:rPr>
          <w:sz w:val="20"/>
          <w:szCs w:val="20"/>
          <w:color w:val="auto"/>
        </w:rPr>
      </w:pPr>
    </w:p>
    <w:p>
      <w:pPr>
        <w:ind w:left="2" w:right="280" w:firstLine="295"/>
        <w:spacing w:after="0" w:line="266" w:lineRule="auto"/>
        <w:rPr>
          <w:sz w:val="20"/>
          <w:szCs w:val="20"/>
          <w:color w:val="auto"/>
        </w:rPr>
      </w:pPr>
      <w:r>
        <w:rPr>
          <w:rFonts w:ascii="Arial" w:cs="Arial" w:eastAsia="Arial" w:hAnsi="Arial"/>
          <w:sz w:val="16"/>
          <w:szCs w:val="16"/>
          <w:i w:val="1"/>
          <w:iCs w:val="1"/>
          <w:color w:val="auto"/>
        </w:rPr>
        <w:t>The discussion that follows highlights selected information about Credicorp Ltd. (“Credicorp,” “we,” “us” and “our”) and our business as of and for the three months ended March 31, 2020, together with certain information regarding recent developments since such date, and should be read together with our unaudited condensed consolidated interim financial information as of and for the three months ended March 31, 2020, presented above and our consolidated financial statements included in our 2019 Form 20-F filed on May 29, 2020.</w:t>
      </w:r>
    </w:p>
    <w:p>
      <w:pPr>
        <w:spacing w:after="0" w:line="16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Overview</w:t>
      </w:r>
    </w:p>
    <w:p>
      <w:pPr>
        <w:spacing w:after="0" w:line="213" w:lineRule="exact"/>
        <w:rPr>
          <w:sz w:val="20"/>
          <w:szCs w:val="20"/>
          <w:color w:val="auto"/>
        </w:rPr>
      </w:pPr>
    </w:p>
    <w:p>
      <w:pPr>
        <w:ind w:left="2" w:right="240" w:firstLine="295"/>
        <w:spacing w:after="0" w:line="264" w:lineRule="auto"/>
        <w:rPr>
          <w:sz w:val="20"/>
          <w:szCs w:val="20"/>
          <w:color w:val="auto"/>
        </w:rPr>
      </w:pPr>
      <w:r>
        <w:rPr>
          <w:rFonts w:ascii="Arial" w:cs="Arial" w:eastAsia="Arial" w:hAnsi="Arial"/>
          <w:sz w:val="16"/>
          <w:szCs w:val="16"/>
          <w:color w:val="auto"/>
        </w:rPr>
        <w:t>We are the largest financial services holding company in Peru. We conduct our financial services business through our lines of business as follows: (1) universal banking, (2) microfinance, (3) insurance and pensions and (4) investment banking and wealth management. Each line of business is further broken down into segments. According to IFRS, an operating segment is a component of an entity that engages in business activities from which it may earn revenues and incur expenses, whose operating results are regularly reviewed by the entity’s chief operating decision maker, who makes decisions about resources allocated for the segment and assesses its performance, and for which discrete financial information is available.</w:t>
      </w:r>
    </w:p>
    <w:p>
      <w:pPr>
        <w:spacing w:after="0" w:line="167" w:lineRule="exact"/>
        <w:rPr>
          <w:sz w:val="20"/>
          <w:szCs w:val="20"/>
          <w:color w:val="auto"/>
        </w:rPr>
      </w:pPr>
    </w:p>
    <w:p>
      <w:pPr>
        <w:ind w:left="2" w:right="360" w:firstLine="295"/>
        <w:spacing w:after="0" w:line="271" w:lineRule="auto"/>
        <w:rPr>
          <w:sz w:val="20"/>
          <w:szCs w:val="20"/>
          <w:color w:val="auto"/>
        </w:rPr>
      </w:pPr>
      <w:r>
        <w:rPr>
          <w:rFonts w:ascii="Arial" w:cs="Arial" w:eastAsia="Arial" w:hAnsi="Arial"/>
          <w:sz w:val="16"/>
          <w:szCs w:val="16"/>
          <w:color w:val="auto"/>
        </w:rPr>
        <w:t>The financial information as of and for each of the three months ended March 31, 2019 and 2020 and each of the three years ended December 31, 2017, 2018 and 2019 has been derived from our consolidated financial statements included in our Form 20-F filed on May 29, 2020. The financial statements have been prepared in accordance with IFRS as issued by the IASB.</w:t>
      </w:r>
    </w:p>
    <w:p>
      <w:pPr>
        <w:spacing w:after="0" w:line="163" w:lineRule="exact"/>
        <w:rPr>
          <w:sz w:val="20"/>
          <w:szCs w:val="20"/>
          <w:color w:val="auto"/>
        </w:rPr>
      </w:pPr>
    </w:p>
    <w:p>
      <w:pPr>
        <w:ind w:left="2" w:firstLine="295"/>
        <w:spacing w:after="0" w:line="287" w:lineRule="auto"/>
        <w:rPr>
          <w:sz w:val="20"/>
          <w:szCs w:val="20"/>
          <w:color w:val="auto"/>
        </w:rPr>
      </w:pPr>
      <w:r>
        <w:rPr>
          <w:rFonts w:ascii="Arial" w:cs="Arial" w:eastAsia="Arial" w:hAnsi="Arial"/>
          <w:sz w:val="16"/>
          <w:szCs w:val="16"/>
          <w:color w:val="auto"/>
        </w:rPr>
        <w:t>The following tables provide certain financial information about our lines of business as of and for the three months ended March 31, 2020, as derived from Note 31 to our interim unaudited financial statements:</w:t>
      </w:r>
    </w:p>
    <w:p>
      <w:pPr>
        <w:spacing w:after="0" w:line="158"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32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6"/>
                <w:szCs w:val="16"/>
                <w:b w:val="1"/>
                <w:bCs w:val="1"/>
                <w:color w:val="auto"/>
                <w:w w:val="95"/>
              </w:rPr>
              <w:t>As of and for the Three Months Ended March 31, 2020</w:t>
            </w: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920" w:type="dxa"/>
            <w:vAlign w:val="bottom"/>
            <w:gridSpan w:val="4"/>
            <w:vMerge w:val="restart"/>
          </w:tcPr>
          <w:p>
            <w:pPr>
              <w:jc w:val="right"/>
              <w:ind w:right="340"/>
              <w:spacing w:after="0"/>
              <w:rPr>
                <w:sz w:val="20"/>
                <w:szCs w:val="20"/>
                <w:color w:val="auto"/>
              </w:rPr>
            </w:pPr>
            <w:r>
              <w:rPr>
                <w:rFonts w:ascii="Arial" w:cs="Arial" w:eastAsia="Arial" w:hAnsi="Arial"/>
                <w:sz w:val="16"/>
                <w:szCs w:val="16"/>
                <w:b w:val="1"/>
                <w:bCs w:val="1"/>
                <w:color w:val="auto"/>
              </w:rPr>
              <w:t>External Income</w:t>
            </w:r>
            <w:r>
              <w:rPr>
                <w:rFonts w:ascii="Arial" w:cs="Arial" w:eastAsia="Arial" w:hAnsi="Arial"/>
                <w:sz w:val="27"/>
                <w:szCs w:val="27"/>
                <w:b w:val="1"/>
                <w:bCs w:val="1"/>
                <w:color w:val="auto"/>
                <w:vertAlign w:val="superscript"/>
              </w:rPr>
              <w:t>(1)</w:t>
            </w:r>
          </w:p>
        </w:tc>
        <w:tc>
          <w:tcPr>
            <w:tcW w:w="160" w:type="dxa"/>
            <w:vAlign w:val="bottom"/>
          </w:tcPr>
          <w:p>
            <w:pPr>
              <w:spacing w:after="0"/>
              <w:rPr>
                <w:sz w:val="15"/>
                <w:szCs w:val="15"/>
                <w:color w:val="auto"/>
              </w:rPr>
            </w:pPr>
          </w:p>
        </w:tc>
        <w:tc>
          <w:tcPr>
            <w:tcW w:w="2020" w:type="dxa"/>
            <w:vAlign w:val="bottom"/>
            <w:gridSpan w:val="4"/>
          </w:tcPr>
          <w:p>
            <w:pPr>
              <w:jc w:val="right"/>
              <w:ind w:right="400"/>
              <w:spacing w:after="0" w:line="173" w:lineRule="exact"/>
              <w:rPr>
                <w:sz w:val="20"/>
                <w:szCs w:val="20"/>
                <w:color w:val="auto"/>
              </w:rPr>
            </w:pPr>
            <w:r>
              <w:rPr>
                <w:rFonts w:ascii="Arial" w:cs="Arial" w:eastAsia="Arial" w:hAnsi="Arial"/>
                <w:sz w:val="16"/>
                <w:szCs w:val="16"/>
                <w:b w:val="1"/>
                <w:bCs w:val="1"/>
                <w:color w:val="auto"/>
              </w:rPr>
              <w:t>Net Interest, Similar</w:t>
            </w:r>
          </w:p>
        </w:tc>
        <w:tc>
          <w:tcPr>
            <w:tcW w:w="2000" w:type="dxa"/>
            <w:vAlign w:val="bottom"/>
            <w:gridSpan w:val="4"/>
            <w:vMerge w:val="restart"/>
          </w:tcPr>
          <w:p>
            <w:pPr>
              <w:jc w:val="right"/>
              <w:ind w:right="380"/>
              <w:spacing w:after="0"/>
              <w:rPr>
                <w:sz w:val="20"/>
                <w:szCs w:val="20"/>
                <w:color w:val="auto"/>
              </w:rPr>
            </w:pPr>
            <w:r>
              <w:rPr>
                <w:rFonts w:ascii="Arial" w:cs="Arial" w:eastAsia="Arial" w:hAnsi="Arial"/>
                <w:sz w:val="16"/>
                <w:szCs w:val="16"/>
                <w:b w:val="1"/>
                <w:bCs w:val="1"/>
                <w:color w:val="auto"/>
              </w:rPr>
              <w:t>Other Income, Net</w:t>
            </w:r>
            <w:r>
              <w:rPr>
                <w:rFonts w:ascii="Arial" w:cs="Arial" w:eastAsia="Arial" w:hAnsi="Arial"/>
                <w:sz w:val="27"/>
                <w:szCs w:val="27"/>
                <w:b w:val="1"/>
                <w:bCs w:val="1"/>
                <w:color w:val="auto"/>
                <w:vertAlign w:val="superscript"/>
              </w:rPr>
              <w:t>(2)</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192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w w:val="97"/>
              </w:rPr>
              <w:t>Income and Expenses</w:t>
            </w:r>
          </w:p>
        </w:tc>
        <w:tc>
          <w:tcPr>
            <w:tcW w:w="2000" w:type="dxa"/>
            <w:vAlign w:val="bottom"/>
            <w:gridSpan w:val="4"/>
            <w:vMerge w:val="continue"/>
          </w:tcPr>
          <w:p>
            <w:pPr>
              <w:spacing w:after="0"/>
              <w:rPr>
                <w:sz w:val="18"/>
                <w:szCs w:val="18"/>
                <w:color w:val="auto"/>
              </w:rPr>
            </w:pPr>
          </w:p>
        </w:tc>
        <w:tc>
          <w:tcPr>
            <w:tcW w:w="186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Total Assets</w:t>
            </w:r>
          </w:p>
        </w:tc>
        <w:tc>
          <w:tcPr>
            <w:tcW w:w="0" w:type="dxa"/>
            <w:vAlign w:val="bottom"/>
          </w:tcPr>
          <w:p>
            <w:pPr>
              <w:spacing w:after="0"/>
              <w:rPr>
                <w:sz w:val="1"/>
                <w:szCs w:val="1"/>
                <w:color w:val="auto"/>
              </w:rPr>
            </w:pPr>
          </w:p>
        </w:tc>
      </w:tr>
      <w:tr>
        <w:trPr>
          <w:trHeight w:val="201"/>
        </w:trPr>
        <w:tc>
          <w:tcPr>
            <w:tcW w:w="3280" w:type="dxa"/>
            <w:vAlign w:val="bottom"/>
          </w:tcPr>
          <w:p>
            <w:pPr>
              <w:spacing w:after="0"/>
              <w:rPr>
                <w:sz w:val="17"/>
                <w:szCs w:val="17"/>
                <w:color w:val="auto"/>
              </w:rPr>
            </w:pPr>
          </w:p>
        </w:tc>
        <w:tc>
          <w:tcPr>
            <w:tcW w:w="104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8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 Total</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Amount</w:t>
            </w:r>
          </w:p>
        </w:tc>
        <w:tc>
          <w:tcPr>
            <w:tcW w:w="7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 Total</w:t>
            </w:r>
          </w:p>
        </w:tc>
        <w:tc>
          <w:tcPr>
            <w:tcW w:w="22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Amount</w:t>
            </w:r>
          </w:p>
        </w:tc>
        <w:tc>
          <w:tcPr>
            <w:tcW w:w="7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 Total</w:t>
            </w:r>
          </w:p>
        </w:tc>
        <w:tc>
          <w:tcPr>
            <w:tcW w:w="240" w:type="dxa"/>
            <w:vAlign w:val="bottom"/>
            <w:tcBorders>
              <w:bottom w:val="single" w:sz="8" w:color="auto"/>
            </w:tcBorders>
          </w:tcPr>
          <w:p>
            <w:pPr>
              <w:spacing w:after="0"/>
              <w:rPr>
                <w:sz w:val="17"/>
                <w:szCs w:val="17"/>
                <w:color w:val="auto"/>
              </w:rPr>
            </w:pPr>
          </w:p>
        </w:tc>
        <w:tc>
          <w:tcPr>
            <w:tcW w:w="98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Amount</w:t>
            </w:r>
          </w:p>
        </w:tc>
        <w:tc>
          <w:tcPr>
            <w:tcW w:w="7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 Total</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20" w:type="dxa"/>
            <w:vAlign w:val="bottom"/>
            <w:gridSpan w:val="8"/>
          </w:tcPr>
          <w:p>
            <w:pPr>
              <w:jc w:val="right"/>
              <w:ind w:right="860"/>
              <w:spacing w:after="0"/>
              <w:rPr>
                <w:sz w:val="20"/>
                <w:szCs w:val="20"/>
                <w:color w:val="auto"/>
              </w:rPr>
            </w:pPr>
            <w:r>
              <w:rPr>
                <w:rFonts w:ascii="Arial" w:cs="Arial" w:eastAsia="Arial" w:hAnsi="Arial"/>
                <w:sz w:val="16"/>
                <w:szCs w:val="16"/>
                <w:b w:val="1"/>
                <w:bCs w:val="1"/>
                <w:color w:val="auto"/>
              </w:rPr>
              <w:t>(Soles in millions, except percentages)</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Universal Banking</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tcPr>
          <w:p>
            <w:pPr>
              <w:ind w:left="140"/>
              <w:spacing w:after="0"/>
              <w:rPr>
                <w:sz w:val="20"/>
                <w:szCs w:val="20"/>
                <w:color w:val="auto"/>
              </w:rPr>
            </w:pPr>
            <w:r>
              <w:rPr>
                <w:rFonts w:ascii="Arial" w:cs="Arial" w:eastAsia="Arial" w:hAnsi="Arial"/>
                <w:sz w:val="16"/>
                <w:szCs w:val="16"/>
                <w:color w:val="auto"/>
              </w:rPr>
              <w:t>BCP Stand-alone</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2,820</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59.4</w:t>
            </w: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1,616</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67.9</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762</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69.3</w:t>
            </w:r>
          </w:p>
        </w:tc>
        <w:tc>
          <w:tcPr>
            <w:tcW w:w="760" w:type="dxa"/>
            <w:vAlign w:val="bottom"/>
          </w:tcPr>
          <w:p>
            <w:pPr>
              <w:jc w:val="right"/>
              <w:spacing w:after="0"/>
              <w:rPr>
                <w:sz w:val="20"/>
                <w:szCs w:val="20"/>
                <w:color w:val="auto"/>
              </w:rPr>
            </w:pPr>
            <w:r>
              <w:rPr>
                <w:rFonts w:ascii="Arial" w:cs="Arial" w:eastAsia="Arial" w:hAnsi="Arial"/>
                <w:sz w:val="16"/>
                <w:szCs w:val="16"/>
                <w:color w:val="auto"/>
              </w:rPr>
              <w:t>148,697</w:t>
            </w:r>
          </w:p>
        </w:tc>
        <w:tc>
          <w:tcPr>
            <w:tcW w:w="220" w:type="dxa"/>
            <w:vAlign w:val="bottom"/>
          </w:tcPr>
          <w:p>
            <w:pPr>
              <w:spacing w:after="0"/>
              <w:rPr>
                <w:sz w:val="17"/>
                <w:szCs w:val="17"/>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197"/>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BCP Bolivia</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11,359</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tcPr>
          <w:p>
            <w:pPr>
              <w:spacing w:after="0"/>
              <w:rPr>
                <w:sz w:val="20"/>
                <w:szCs w:val="20"/>
                <w:color w:val="auto"/>
              </w:rPr>
            </w:pPr>
            <w:r>
              <w:rPr>
                <w:rFonts w:ascii="Arial" w:cs="Arial" w:eastAsia="Arial" w:hAnsi="Arial"/>
                <w:sz w:val="16"/>
                <w:szCs w:val="16"/>
                <w:color w:val="auto"/>
              </w:rPr>
              <w:t>Insurance and Pension funds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Grupo Pacifico</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128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62.1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13,740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tcPr>
          <w:p>
            <w:pPr>
              <w:ind w:left="140"/>
              <w:spacing w:after="0"/>
              <w:rPr>
                <w:sz w:val="20"/>
                <w:szCs w:val="20"/>
                <w:color w:val="auto"/>
              </w:rPr>
            </w:pPr>
            <w:r>
              <w:rPr>
                <w:rFonts w:ascii="Arial" w:cs="Arial" w:eastAsia="Arial" w:hAnsi="Arial"/>
                <w:sz w:val="16"/>
                <w:szCs w:val="16"/>
                <w:color w:val="auto"/>
              </w:rPr>
              <w:t>Prima AFP</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41</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0.9</w:t>
            </w:r>
          </w:p>
        </w:tc>
        <w:tc>
          <w:tcPr>
            <w:tcW w:w="1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0.0</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41</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3.7</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974</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Microfinance</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tcPr>
          <w:p>
            <w:pPr>
              <w:ind w:left="140"/>
              <w:spacing w:after="0"/>
              <w:rPr>
                <w:sz w:val="20"/>
                <w:szCs w:val="20"/>
                <w:color w:val="auto"/>
              </w:rPr>
            </w:pPr>
            <w:r>
              <w:rPr>
                <w:rFonts w:ascii="Arial" w:cs="Arial" w:eastAsia="Arial" w:hAnsi="Arial"/>
                <w:sz w:val="16"/>
                <w:szCs w:val="16"/>
                <w:color w:val="auto"/>
              </w:rPr>
              <w:t>Mibanco</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628</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13.2</w:t>
            </w: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485</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20.4</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41</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3.7</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13,529</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Banco Compartir S.A.</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tcPr>
          <w:p>
            <w:pPr>
              <w:ind w:left="140"/>
              <w:spacing w:after="0"/>
              <w:rPr>
                <w:sz w:val="20"/>
                <w:szCs w:val="20"/>
                <w:color w:val="auto"/>
              </w:rPr>
            </w:pPr>
            <w:r>
              <w:rPr>
                <w:rFonts w:ascii="Arial" w:cs="Arial" w:eastAsia="Arial" w:hAnsi="Arial"/>
                <w:sz w:val="16"/>
                <w:szCs w:val="16"/>
                <w:color w:val="auto"/>
              </w:rPr>
              <w:t>Edyficar S.A.S.</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12</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0.3</w:t>
            </w: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11</w:t>
            </w:r>
          </w:p>
        </w:tc>
        <w:tc>
          <w:tcPr>
            <w:tcW w:w="780" w:type="dxa"/>
            <w:vAlign w:val="bottom"/>
          </w:tcPr>
          <w:p>
            <w:pPr>
              <w:jc w:val="right"/>
              <w:spacing w:after="0"/>
              <w:rPr>
                <w:sz w:val="20"/>
                <w:szCs w:val="20"/>
                <w:color w:val="auto"/>
              </w:rPr>
            </w:pPr>
            <w:r>
              <w:rPr>
                <w:rFonts w:ascii="Arial" w:cs="Arial" w:eastAsia="Arial" w:hAnsi="Arial"/>
                <w:sz w:val="16"/>
                <w:szCs w:val="16"/>
                <w:color w:val="auto"/>
              </w:rPr>
              <w:t>0.5</w:t>
            </w:r>
          </w:p>
        </w:tc>
        <w:tc>
          <w:tcPr>
            <w:tcW w:w="2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(104)</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(9.5)</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116</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6"/>
              </w:rPr>
              <w:t>Investment Banking and Wealth Management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146</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10,715</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tcPr>
          <w:p>
            <w:pPr>
              <w:spacing w:after="0"/>
              <w:rPr>
                <w:sz w:val="20"/>
                <w:szCs w:val="20"/>
                <w:color w:val="auto"/>
              </w:rPr>
            </w:pPr>
            <w:r>
              <w:rPr>
                <w:rFonts w:ascii="Arial" w:cs="Arial" w:eastAsia="Arial" w:hAnsi="Arial"/>
                <w:sz w:val="16"/>
                <w:szCs w:val="16"/>
                <w:color w:val="auto"/>
              </w:rPr>
              <w:t>Other segments</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3</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0.1</w:t>
            </w: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443</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18.6</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(8)</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(0.7)</w:t>
            </w:r>
          </w:p>
        </w:tc>
        <w:tc>
          <w:tcPr>
            <w:tcW w:w="760" w:type="dxa"/>
            <w:vAlign w:val="bottom"/>
          </w:tcPr>
          <w:p>
            <w:pPr>
              <w:jc w:val="right"/>
              <w:spacing w:after="0"/>
              <w:rPr>
                <w:sz w:val="20"/>
                <w:szCs w:val="20"/>
                <w:color w:val="auto"/>
              </w:rPr>
            </w:pPr>
            <w:r>
              <w:rPr>
                <w:rFonts w:ascii="Arial" w:cs="Arial" w:eastAsia="Arial" w:hAnsi="Arial"/>
                <w:sz w:val="16"/>
                <w:szCs w:val="16"/>
                <w:color w:val="auto"/>
              </w:rPr>
              <w:t>3,878</w:t>
            </w:r>
          </w:p>
        </w:tc>
        <w:tc>
          <w:tcPr>
            <w:tcW w:w="22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Eliminations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(440)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(492)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(6,022)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6"/>
                <w:szCs w:val="16"/>
                <w:color w:val="auto"/>
              </w:rPr>
              <w:t>Total consolidated</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4,749</w:t>
            </w:r>
          </w:p>
        </w:tc>
        <w:tc>
          <w:tcPr>
            <w:tcW w:w="24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2,379</w:t>
            </w:r>
          </w:p>
        </w:tc>
        <w:tc>
          <w:tcPr>
            <w:tcW w:w="2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1,100</w:t>
            </w:r>
          </w:p>
        </w:tc>
        <w:tc>
          <w:tcPr>
            <w:tcW w:w="22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197,822</w:t>
            </w:r>
          </w:p>
        </w:tc>
        <w:tc>
          <w:tcPr>
            <w:tcW w:w="2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42748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27480" cy="7620"/>
                    </a:xfrm>
                    <a:prstGeom prst="rect">
                      <a:avLst/>
                    </a:prstGeom>
                    <a:noFill/>
                  </pic:spPr>
                </pic:pic>
              </a:graphicData>
            </a:graphic>
          </wp:anchor>
        </w:drawing>
      </w:r>
    </w:p>
    <w:p>
      <w:pPr>
        <w:spacing w:after="0" w:line="189" w:lineRule="exact"/>
        <w:rPr>
          <w:sz w:val="20"/>
          <w:szCs w:val="20"/>
          <w:color w:val="auto"/>
        </w:rPr>
      </w:pPr>
    </w:p>
    <w:p>
      <w:pPr>
        <w:ind w:left="302" w:hanging="302"/>
        <w:spacing w:after="0"/>
        <w:tabs>
          <w:tab w:leader="none" w:pos="302" w:val="left"/>
        </w:tabs>
        <w:numPr>
          <w:ilvl w:val="0"/>
          <w:numId w:val="120"/>
        </w:numPr>
        <w:rPr>
          <w:rFonts w:ascii="Arial" w:cs="Arial" w:eastAsia="Arial" w:hAnsi="Arial"/>
          <w:sz w:val="15"/>
          <w:szCs w:val="15"/>
          <w:color w:val="auto"/>
        </w:rPr>
      </w:pPr>
      <w:r>
        <w:rPr>
          <w:rFonts w:ascii="Arial" w:cs="Arial" w:eastAsia="Arial" w:hAnsi="Arial"/>
          <w:sz w:val="15"/>
          <w:szCs w:val="15"/>
          <w:color w:val="auto"/>
        </w:rPr>
        <w:t>Corresponds to total interest and similar income, other income (includes income and expenses on commissions) and net earned premiums from insurance activities.</w:t>
      </w:r>
    </w:p>
    <w:p>
      <w:pPr>
        <w:spacing w:after="0" w:line="220" w:lineRule="exact"/>
        <w:rPr>
          <w:rFonts w:ascii="Arial" w:cs="Arial" w:eastAsia="Arial" w:hAnsi="Arial"/>
          <w:sz w:val="15"/>
          <w:szCs w:val="15"/>
          <w:color w:val="auto"/>
        </w:rPr>
      </w:pPr>
    </w:p>
    <w:p>
      <w:pPr>
        <w:ind w:left="302" w:hanging="302"/>
        <w:spacing w:after="0"/>
        <w:tabs>
          <w:tab w:leader="none" w:pos="30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Corresponds to total other income (includes income and expenses for commissions) and insurance underwriting result.</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35" w:right="339" w:bottom="1440" w:gutter="0" w:footer="0" w:header="0"/>
        </w:sectPr>
      </w:pPr>
    </w:p>
    <w:bookmarkStart w:id="112" w:name="page113"/>
    <w:bookmarkEnd w:id="112"/>
    <w:p>
      <w:pPr>
        <w:ind w:left="2" w:right="300" w:firstLine="295"/>
        <w:spacing w:after="0" w:line="287" w:lineRule="auto"/>
        <w:rPr>
          <w:sz w:val="20"/>
          <w:szCs w:val="20"/>
          <w:color w:val="auto"/>
        </w:rPr>
      </w:pPr>
      <w:r>
        <w:rPr>
          <w:rFonts w:ascii="Arial" w:cs="Arial" w:eastAsia="Arial" w:hAnsi="Arial"/>
          <w:sz w:val="16"/>
          <w:szCs w:val="16"/>
          <w:color w:val="auto"/>
        </w:rPr>
        <w:t>The following tables provide certain financial information about our lines of business as of December 31, 2019 and for the three months ended March 31, 2019, as derived from Note 31 to our interim unaudited financial statements:</w:t>
      </w:r>
    </w:p>
    <w:p>
      <w:pPr>
        <w:spacing w:after="0" w:line="142" w:lineRule="exact"/>
        <w:rPr>
          <w:sz w:val="20"/>
          <w:szCs w:val="20"/>
          <w:color w:val="auto"/>
        </w:rPr>
      </w:pPr>
    </w:p>
    <w:tbl>
      <w:tblPr>
        <w:tblLayout w:type="fixed"/>
        <w:tblInd w:w="2" w:type="dxa"/>
        <w:tblCellMar>
          <w:top w:w="0" w:type="dxa"/>
          <w:left w:w="0" w:type="dxa"/>
          <w:bottom w:w="0" w:type="dxa"/>
          <w:right w:w="0" w:type="dxa"/>
        </w:tblCellMar>
      </w:tblPr>
      <w:tr>
        <w:trPr>
          <w:trHeight w:val="160"/>
        </w:trPr>
        <w:tc>
          <w:tcPr>
            <w:tcW w:w="32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60" w:type="dxa"/>
            <w:vAlign w:val="bottom"/>
            <w:tcBorders>
              <w:bottom w:val="single" w:sz="8" w:color="auto"/>
            </w:tcBorders>
            <w:gridSpan w:val="10"/>
          </w:tcPr>
          <w:p>
            <w:pPr>
              <w:jc w:val="right"/>
              <w:ind w:right="80"/>
              <w:spacing w:after="0"/>
              <w:rPr>
                <w:sz w:val="20"/>
                <w:szCs w:val="20"/>
                <w:color w:val="auto"/>
              </w:rPr>
            </w:pPr>
            <w:r>
              <w:rPr>
                <w:rFonts w:ascii="Arial" w:cs="Arial" w:eastAsia="Arial" w:hAnsi="Arial"/>
                <w:sz w:val="13"/>
                <w:szCs w:val="13"/>
                <w:b w:val="1"/>
                <w:bCs w:val="1"/>
                <w:color w:val="auto"/>
              </w:rPr>
              <w:t>As of December 31, 2019 and for the Three Months Ended March 31 , 2019</w:t>
            </w: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15"/>
        </w:trPr>
        <w:tc>
          <w:tcPr>
            <w:tcW w:w="3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20" w:type="dxa"/>
            <w:vAlign w:val="bottom"/>
            <w:gridSpan w:val="4"/>
          </w:tcPr>
          <w:p>
            <w:pPr>
              <w:jc w:val="center"/>
              <w:ind w:right="155"/>
              <w:spacing w:after="0" w:line="115" w:lineRule="exact"/>
              <w:rPr>
                <w:sz w:val="20"/>
                <w:szCs w:val="20"/>
                <w:color w:val="auto"/>
              </w:rPr>
            </w:pPr>
            <w:r>
              <w:rPr>
                <w:rFonts w:ascii="Arial" w:cs="Arial" w:eastAsia="Arial" w:hAnsi="Arial"/>
                <w:sz w:val="13"/>
                <w:szCs w:val="13"/>
                <w:b w:val="1"/>
                <w:bCs w:val="1"/>
                <w:color w:val="auto"/>
                <w:w w:val="93"/>
              </w:rPr>
              <w:t>Net Interest, Similar Income</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5"/>
        </w:trPr>
        <w:tc>
          <w:tcPr>
            <w:tcW w:w="3280" w:type="dxa"/>
            <w:vAlign w:val="bottom"/>
          </w:tcPr>
          <w:p>
            <w:pPr>
              <w:spacing w:after="0"/>
              <w:rPr>
                <w:sz w:val="13"/>
                <w:szCs w:val="13"/>
                <w:color w:val="auto"/>
              </w:rPr>
            </w:pPr>
          </w:p>
        </w:tc>
        <w:tc>
          <w:tcPr>
            <w:tcW w:w="2080" w:type="dxa"/>
            <w:vAlign w:val="bottom"/>
            <w:gridSpan w:val="4"/>
          </w:tcPr>
          <w:p>
            <w:pPr>
              <w:jc w:val="right"/>
              <w:ind w:right="620"/>
              <w:spacing w:after="0"/>
              <w:rPr>
                <w:sz w:val="20"/>
                <w:szCs w:val="20"/>
                <w:color w:val="auto"/>
              </w:rPr>
            </w:pPr>
            <w:r>
              <w:rPr>
                <w:rFonts w:ascii="Arial" w:cs="Arial" w:eastAsia="Arial" w:hAnsi="Arial"/>
                <w:sz w:val="13"/>
                <w:szCs w:val="13"/>
                <w:b w:val="1"/>
                <w:bCs w:val="1"/>
                <w:color w:val="auto"/>
              </w:rPr>
              <w:t>External Income(1)</w:t>
            </w:r>
          </w:p>
        </w:tc>
        <w:tc>
          <w:tcPr>
            <w:tcW w:w="2020" w:type="dxa"/>
            <w:vAlign w:val="bottom"/>
            <w:gridSpan w:val="4"/>
          </w:tcPr>
          <w:p>
            <w:pPr>
              <w:jc w:val="center"/>
              <w:ind w:right="155"/>
              <w:spacing w:after="0"/>
              <w:rPr>
                <w:sz w:val="20"/>
                <w:szCs w:val="20"/>
                <w:color w:val="auto"/>
              </w:rPr>
            </w:pPr>
            <w:r>
              <w:rPr>
                <w:rFonts w:ascii="Arial" w:cs="Arial" w:eastAsia="Arial" w:hAnsi="Arial"/>
                <w:sz w:val="13"/>
                <w:szCs w:val="13"/>
                <w:b w:val="1"/>
                <w:bCs w:val="1"/>
                <w:color w:val="auto"/>
                <w:w w:val="86"/>
              </w:rPr>
              <w:t>and Expenses</w:t>
            </w:r>
          </w:p>
        </w:tc>
        <w:tc>
          <w:tcPr>
            <w:tcW w:w="200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Other Income, Net(2)</w:t>
            </w:r>
          </w:p>
        </w:tc>
        <w:tc>
          <w:tcPr>
            <w:tcW w:w="186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rPr>
              <w:t>Total Assets</w:t>
            </w:r>
          </w:p>
        </w:tc>
      </w:tr>
      <w:tr>
        <w:trPr>
          <w:trHeight w:val="127"/>
        </w:trPr>
        <w:tc>
          <w:tcPr>
            <w:tcW w:w="328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ind w:right="115"/>
              <w:spacing w:after="0" w:line="128" w:lineRule="exact"/>
              <w:rPr>
                <w:sz w:val="20"/>
                <w:szCs w:val="20"/>
                <w:color w:val="auto"/>
              </w:rPr>
            </w:pPr>
            <w:r>
              <w:rPr>
                <w:rFonts w:ascii="Arial" w:cs="Arial" w:eastAsia="Arial" w:hAnsi="Arial"/>
                <w:sz w:val="13"/>
                <w:szCs w:val="13"/>
                <w:b w:val="1"/>
                <w:bCs w:val="1"/>
                <w:color w:val="auto"/>
              </w:rPr>
              <w:t>Amount</w:t>
            </w: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115"/>
              <w:spacing w:after="0" w:line="128" w:lineRule="exact"/>
              <w:rPr>
                <w:sz w:val="20"/>
                <w:szCs w:val="20"/>
                <w:color w:val="auto"/>
              </w:rPr>
            </w:pPr>
            <w:r>
              <w:rPr>
                <w:rFonts w:ascii="Arial" w:cs="Arial" w:eastAsia="Arial" w:hAnsi="Arial"/>
                <w:sz w:val="13"/>
                <w:szCs w:val="13"/>
                <w:b w:val="1"/>
                <w:bCs w:val="1"/>
                <w:color w:val="auto"/>
              </w:rPr>
              <w:t>% Total</w:t>
            </w:r>
          </w:p>
        </w:tc>
        <w:tc>
          <w:tcPr>
            <w:tcW w:w="24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ind w:right="95"/>
              <w:spacing w:after="0" w:line="128" w:lineRule="exact"/>
              <w:rPr>
                <w:sz w:val="20"/>
                <w:szCs w:val="20"/>
                <w:color w:val="auto"/>
              </w:rPr>
            </w:pPr>
            <w:r>
              <w:rPr>
                <w:rFonts w:ascii="Arial" w:cs="Arial" w:eastAsia="Arial" w:hAnsi="Arial"/>
                <w:sz w:val="13"/>
                <w:szCs w:val="13"/>
                <w:b w:val="1"/>
                <w:bCs w:val="1"/>
                <w:color w:val="auto"/>
              </w:rPr>
              <w:t>Amount</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95"/>
              <w:spacing w:after="0" w:line="128" w:lineRule="exact"/>
              <w:rPr>
                <w:sz w:val="20"/>
                <w:szCs w:val="20"/>
                <w:color w:val="auto"/>
              </w:rPr>
            </w:pPr>
            <w:r>
              <w:rPr>
                <w:rFonts w:ascii="Arial" w:cs="Arial" w:eastAsia="Arial" w:hAnsi="Arial"/>
                <w:sz w:val="13"/>
                <w:szCs w:val="13"/>
                <w:b w:val="1"/>
                <w:bCs w:val="1"/>
                <w:color w:val="auto"/>
              </w:rPr>
              <w:t>% Total</w:t>
            </w:r>
          </w:p>
        </w:tc>
        <w:tc>
          <w:tcPr>
            <w:tcW w:w="22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95"/>
              <w:spacing w:after="0" w:line="128" w:lineRule="exact"/>
              <w:rPr>
                <w:sz w:val="20"/>
                <w:szCs w:val="20"/>
                <w:color w:val="auto"/>
              </w:rPr>
            </w:pPr>
            <w:r>
              <w:rPr>
                <w:rFonts w:ascii="Arial" w:cs="Arial" w:eastAsia="Arial" w:hAnsi="Arial"/>
                <w:sz w:val="13"/>
                <w:szCs w:val="13"/>
                <w:b w:val="1"/>
                <w:bCs w:val="1"/>
                <w:color w:val="auto"/>
              </w:rPr>
              <w:t>Amount</w:t>
            </w: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95"/>
              <w:spacing w:after="0" w:line="128" w:lineRule="exact"/>
              <w:rPr>
                <w:sz w:val="20"/>
                <w:szCs w:val="20"/>
                <w:color w:val="auto"/>
              </w:rPr>
            </w:pPr>
            <w:r>
              <w:rPr>
                <w:rFonts w:ascii="Arial" w:cs="Arial" w:eastAsia="Arial" w:hAnsi="Arial"/>
                <w:sz w:val="13"/>
                <w:szCs w:val="13"/>
                <w:b w:val="1"/>
                <w:bCs w:val="1"/>
                <w:color w:val="auto"/>
              </w:rPr>
              <w:t>% Total</w:t>
            </w:r>
          </w:p>
        </w:tc>
        <w:tc>
          <w:tcPr>
            <w:tcW w:w="24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ind w:right="95"/>
              <w:spacing w:after="0" w:line="128" w:lineRule="exact"/>
              <w:rPr>
                <w:sz w:val="20"/>
                <w:szCs w:val="20"/>
                <w:color w:val="auto"/>
              </w:rPr>
            </w:pPr>
            <w:r>
              <w:rPr>
                <w:rFonts w:ascii="Arial" w:cs="Arial" w:eastAsia="Arial" w:hAnsi="Arial"/>
                <w:sz w:val="13"/>
                <w:szCs w:val="13"/>
                <w:b w:val="1"/>
                <w:bCs w:val="1"/>
                <w:color w:val="auto"/>
              </w:rPr>
              <w:t>Amount</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95"/>
              <w:spacing w:after="0" w:line="128" w:lineRule="exact"/>
              <w:rPr>
                <w:sz w:val="20"/>
                <w:szCs w:val="20"/>
                <w:color w:val="auto"/>
              </w:rPr>
            </w:pPr>
            <w:r>
              <w:rPr>
                <w:rFonts w:ascii="Arial" w:cs="Arial" w:eastAsia="Arial" w:hAnsi="Arial"/>
                <w:sz w:val="13"/>
                <w:szCs w:val="13"/>
                <w:b w:val="1"/>
                <w:bCs w:val="1"/>
                <w:color w:val="auto"/>
              </w:rPr>
              <w:t>% Total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0"/>
        </w:trPr>
        <w:tc>
          <w:tcPr>
            <w:tcW w:w="3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0" w:type="dxa"/>
            <w:vAlign w:val="bottom"/>
            <w:gridSpan w:val="2"/>
          </w:tcPr>
          <w:p>
            <w:pPr>
              <w:jc w:val="right"/>
              <w:spacing w:after="0" w:line="140" w:lineRule="exact"/>
              <w:rPr>
                <w:sz w:val="20"/>
                <w:szCs w:val="20"/>
                <w:color w:val="auto"/>
              </w:rPr>
            </w:pPr>
            <w:r>
              <w:rPr>
                <w:rFonts w:ascii="Arial" w:cs="Arial" w:eastAsia="Arial" w:hAnsi="Arial"/>
                <w:sz w:val="13"/>
                <w:szCs w:val="13"/>
                <w:b w:val="1"/>
                <w:bCs w:val="1"/>
                <w:color w:val="auto"/>
                <w:w w:val="86"/>
              </w:rPr>
              <w:t>(Soles in millions,</w:t>
            </w:r>
          </w:p>
        </w:tc>
        <w:tc>
          <w:tcPr>
            <w:tcW w:w="1220" w:type="dxa"/>
            <w:vAlign w:val="bottom"/>
            <w:gridSpan w:val="3"/>
          </w:tcPr>
          <w:p>
            <w:pPr>
              <w:jc w:val="right"/>
              <w:ind w:right="82"/>
              <w:spacing w:after="0" w:line="140" w:lineRule="exact"/>
              <w:rPr>
                <w:sz w:val="20"/>
                <w:szCs w:val="20"/>
                <w:color w:val="auto"/>
              </w:rPr>
            </w:pPr>
            <w:r>
              <w:rPr>
                <w:rFonts w:ascii="Arial" w:cs="Arial" w:eastAsia="Arial" w:hAnsi="Arial"/>
                <w:sz w:val="13"/>
                <w:szCs w:val="13"/>
                <w:b w:val="1"/>
                <w:bCs w:val="1"/>
                <w:color w:val="auto"/>
                <w:w w:val="85"/>
              </w:rPr>
              <w:t>except percentages)</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Banking</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3280" w:type="dxa"/>
            <w:vAlign w:val="bottom"/>
          </w:tcPr>
          <w:p>
            <w:pPr>
              <w:ind w:left="140"/>
              <w:spacing w:after="0" w:line="135" w:lineRule="exact"/>
              <w:rPr>
                <w:sz w:val="20"/>
                <w:szCs w:val="20"/>
                <w:color w:val="auto"/>
              </w:rPr>
            </w:pPr>
            <w:r>
              <w:rPr>
                <w:rFonts w:ascii="Arial" w:cs="Arial" w:eastAsia="Arial" w:hAnsi="Arial"/>
                <w:sz w:val="13"/>
                <w:szCs w:val="13"/>
                <w:color w:val="auto"/>
              </w:rPr>
              <w:t>BCP Stand-alone</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2,821</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59.2</w:t>
            </w:r>
          </w:p>
        </w:tc>
        <w:tc>
          <w:tcPr>
            <w:tcW w:w="1020" w:type="dxa"/>
            <w:vAlign w:val="bottom"/>
            <w:gridSpan w:val="2"/>
          </w:tcPr>
          <w:p>
            <w:pPr>
              <w:jc w:val="right"/>
              <w:ind w:right="155"/>
              <w:spacing w:after="0" w:line="135" w:lineRule="exact"/>
              <w:rPr>
                <w:sz w:val="20"/>
                <w:szCs w:val="20"/>
                <w:color w:val="auto"/>
              </w:rPr>
            </w:pPr>
            <w:r>
              <w:rPr>
                <w:rFonts w:ascii="Arial" w:cs="Arial" w:eastAsia="Arial" w:hAnsi="Arial"/>
                <w:sz w:val="13"/>
                <w:szCs w:val="13"/>
                <w:color w:val="auto"/>
              </w:rPr>
              <w:t>1,489</w:t>
            </w:r>
          </w:p>
        </w:tc>
        <w:tc>
          <w:tcPr>
            <w:tcW w:w="1000" w:type="dxa"/>
            <w:vAlign w:val="bottom"/>
            <w:gridSpan w:val="2"/>
          </w:tcPr>
          <w:p>
            <w:pPr>
              <w:jc w:val="right"/>
              <w:ind w:right="155"/>
              <w:spacing w:after="0" w:line="135" w:lineRule="exact"/>
              <w:rPr>
                <w:sz w:val="20"/>
                <w:szCs w:val="20"/>
                <w:color w:val="auto"/>
              </w:rPr>
            </w:pPr>
            <w:r>
              <w:rPr>
                <w:rFonts w:ascii="Arial" w:cs="Arial" w:eastAsia="Arial" w:hAnsi="Arial"/>
                <w:sz w:val="13"/>
                <w:szCs w:val="13"/>
                <w:color w:val="auto"/>
              </w:rPr>
              <w:t>67.8</w:t>
            </w:r>
          </w:p>
        </w:tc>
        <w:tc>
          <w:tcPr>
            <w:tcW w:w="1000" w:type="dxa"/>
            <w:vAlign w:val="bottom"/>
            <w:gridSpan w:val="2"/>
          </w:tcPr>
          <w:p>
            <w:pPr>
              <w:jc w:val="right"/>
              <w:ind w:right="182"/>
              <w:spacing w:after="0" w:line="135" w:lineRule="exact"/>
              <w:rPr>
                <w:sz w:val="20"/>
                <w:szCs w:val="20"/>
                <w:color w:val="auto"/>
              </w:rPr>
            </w:pPr>
            <w:r>
              <w:rPr>
                <w:rFonts w:ascii="Arial" w:cs="Arial" w:eastAsia="Arial" w:hAnsi="Arial"/>
                <w:sz w:val="13"/>
                <w:szCs w:val="13"/>
                <w:color w:val="auto"/>
              </w:rPr>
              <w:t>831</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64.7</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139,832</w:t>
            </w: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74.4</w:t>
            </w:r>
          </w:p>
        </w:tc>
        <w:tc>
          <w:tcPr>
            <w:tcW w:w="80" w:type="dxa"/>
            <w:vAlign w:val="bottom"/>
          </w:tcPr>
          <w:p>
            <w:pPr>
              <w:spacing w:after="0"/>
              <w:rPr>
                <w:sz w:val="11"/>
                <w:szCs w:val="11"/>
                <w:color w:val="auto"/>
              </w:rPr>
            </w:pPr>
          </w:p>
        </w:tc>
      </w:tr>
      <w:tr>
        <w:trPr>
          <w:trHeight w:val="135"/>
        </w:trPr>
        <w:tc>
          <w:tcPr>
            <w:tcW w:w="32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BCP Bolivia</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175</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3.7</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55"/>
              <w:spacing w:after="0" w:line="135" w:lineRule="exact"/>
              <w:rPr>
                <w:sz w:val="20"/>
                <w:szCs w:val="20"/>
                <w:color w:val="auto"/>
              </w:rPr>
            </w:pPr>
            <w:r>
              <w:rPr>
                <w:rFonts w:ascii="Arial" w:cs="Arial" w:eastAsia="Arial" w:hAnsi="Arial"/>
                <w:sz w:val="13"/>
                <w:szCs w:val="13"/>
                <w:color w:val="auto"/>
              </w:rPr>
              <w:t>3.6</w:t>
            </w:r>
          </w:p>
        </w:tc>
        <w:tc>
          <w:tcPr>
            <w:tcW w:w="1000" w:type="dxa"/>
            <w:vAlign w:val="bottom"/>
            <w:gridSpan w:val="2"/>
            <w:shd w:val="clear" w:color="auto" w:fill="CCEEFF"/>
          </w:tcPr>
          <w:p>
            <w:pPr>
              <w:jc w:val="right"/>
              <w:ind w:right="182"/>
              <w:spacing w:after="0" w:line="135" w:lineRule="exact"/>
              <w:rPr>
                <w:sz w:val="20"/>
                <w:szCs w:val="20"/>
                <w:color w:val="auto"/>
              </w:rPr>
            </w:pPr>
            <w:r>
              <w:rPr>
                <w:rFonts w:ascii="Arial" w:cs="Arial" w:eastAsia="Arial" w:hAnsi="Arial"/>
                <w:sz w:val="13"/>
                <w:szCs w:val="13"/>
                <w:color w:val="auto"/>
              </w:rPr>
              <w:t>29</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2.3</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10,481</w:t>
            </w: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1"/>
                <w:szCs w:val="1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Insurance and Pension funds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2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Grupo Pacifico</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766</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16.1</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121</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55"/>
              <w:spacing w:after="0" w:line="135" w:lineRule="exact"/>
              <w:rPr>
                <w:sz w:val="20"/>
                <w:szCs w:val="20"/>
                <w:color w:val="auto"/>
              </w:rPr>
            </w:pPr>
            <w:r>
              <w:rPr>
                <w:rFonts w:ascii="Arial" w:cs="Arial" w:eastAsia="Arial" w:hAnsi="Arial"/>
                <w:sz w:val="13"/>
                <w:szCs w:val="13"/>
                <w:color w:val="auto"/>
              </w:rPr>
              <w:t>5.5</w:t>
            </w:r>
          </w:p>
        </w:tc>
        <w:tc>
          <w:tcPr>
            <w:tcW w:w="1000" w:type="dxa"/>
            <w:vAlign w:val="bottom"/>
            <w:gridSpan w:val="2"/>
            <w:shd w:val="clear" w:color="auto" w:fill="CCEEFF"/>
          </w:tcPr>
          <w:p>
            <w:pPr>
              <w:jc w:val="right"/>
              <w:ind w:right="182"/>
              <w:spacing w:after="0" w:line="135" w:lineRule="exact"/>
              <w:rPr>
                <w:sz w:val="20"/>
                <w:szCs w:val="20"/>
                <w:color w:val="auto"/>
              </w:rPr>
            </w:pPr>
            <w:r>
              <w:rPr>
                <w:rFonts w:ascii="Arial" w:cs="Arial" w:eastAsia="Arial" w:hAnsi="Arial"/>
                <w:sz w:val="13"/>
                <w:szCs w:val="13"/>
                <w:color w:val="auto"/>
              </w:rPr>
              <w:t>808</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62.9</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13,785</w:t>
            </w: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7.3</w:t>
            </w:r>
          </w:p>
        </w:tc>
        <w:tc>
          <w:tcPr>
            <w:tcW w:w="80" w:type="dxa"/>
            <w:vAlign w:val="bottom"/>
            <w:shd w:val="clear" w:color="auto" w:fill="CCEEFF"/>
          </w:tcPr>
          <w:p>
            <w:pPr>
              <w:spacing w:after="0"/>
              <w:rPr>
                <w:sz w:val="11"/>
                <w:szCs w:val="11"/>
                <w:color w:val="auto"/>
              </w:rPr>
            </w:pPr>
          </w:p>
        </w:tc>
      </w:tr>
      <w:tr>
        <w:trPr>
          <w:trHeight w:val="135"/>
        </w:trPr>
        <w:tc>
          <w:tcPr>
            <w:tcW w:w="3280" w:type="dxa"/>
            <w:vAlign w:val="bottom"/>
          </w:tcPr>
          <w:p>
            <w:pPr>
              <w:ind w:left="140"/>
              <w:spacing w:after="0" w:line="135" w:lineRule="exact"/>
              <w:rPr>
                <w:sz w:val="20"/>
                <w:szCs w:val="20"/>
                <w:color w:val="auto"/>
              </w:rPr>
            </w:pPr>
            <w:r>
              <w:rPr>
                <w:rFonts w:ascii="Arial" w:cs="Arial" w:eastAsia="Arial" w:hAnsi="Arial"/>
                <w:sz w:val="13"/>
                <w:szCs w:val="13"/>
                <w:color w:val="auto"/>
              </w:rPr>
              <w:t>Prima AFP</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123</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2.6</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220" w:type="dxa"/>
            <w:vAlign w:val="bottom"/>
          </w:tcPr>
          <w:p>
            <w:pPr>
              <w:spacing w:after="0"/>
              <w:rPr>
                <w:sz w:val="11"/>
                <w:szCs w:val="11"/>
                <w:color w:val="auto"/>
              </w:rPr>
            </w:pPr>
          </w:p>
        </w:tc>
        <w:tc>
          <w:tcPr>
            <w:tcW w:w="1000" w:type="dxa"/>
            <w:vAlign w:val="bottom"/>
            <w:gridSpan w:val="2"/>
          </w:tcPr>
          <w:p>
            <w:pPr>
              <w:jc w:val="right"/>
              <w:ind w:right="155"/>
              <w:spacing w:after="0" w:line="135" w:lineRule="exact"/>
              <w:rPr>
                <w:sz w:val="20"/>
                <w:szCs w:val="20"/>
                <w:color w:val="auto"/>
              </w:rPr>
            </w:pPr>
            <w:r>
              <w:rPr>
                <w:rFonts w:ascii="Arial" w:cs="Arial" w:eastAsia="Arial" w:hAnsi="Arial"/>
                <w:sz w:val="13"/>
                <w:szCs w:val="13"/>
                <w:color w:val="auto"/>
              </w:rPr>
              <w:t>0.0</w:t>
            </w:r>
          </w:p>
        </w:tc>
        <w:tc>
          <w:tcPr>
            <w:tcW w:w="1000" w:type="dxa"/>
            <w:vAlign w:val="bottom"/>
            <w:gridSpan w:val="2"/>
          </w:tcPr>
          <w:p>
            <w:pPr>
              <w:jc w:val="right"/>
              <w:ind w:right="182"/>
              <w:spacing w:after="0" w:line="135" w:lineRule="exact"/>
              <w:rPr>
                <w:sz w:val="20"/>
                <w:szCs w:val="20"/>
                <w:color w:val="auto"/>
              </w:rPr>
            </w:pPr>
            <w:r>
              <w:rPr>
                <w:rFonts w:ascii="Arial" w:cs="Arial" w:eastAsia="Arial" w:hAnsi="Arial"/>
                <w:sz w:val="13"/>
                <w:szCs w:val="13"/>
                <w:color w:val="auto"/>
              </w:rPr>
              <w:t>123</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9.6</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909</w:t>
            </w:r>
          </w:p>
        </w:tc>
        <w:tc>
          <w:tcPr>
            <w:tcW w:w="22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0.5</w:t>
            </w:r>
          </w:p>
        </w:tc>
        <w:tc>
          <w:tcPr>
            <w:tcW w:w="80" w:type="dxa"/>
            <w:vAlign w:val="bottom"/>
          </w:tcPr>
          <w:p>
            <w:pPr>
              <w:spacing w:after="0"/>
              <w:rPr>
                <w:sz w:val="11"/>
                <w:szCs w:val="1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Microfinance</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3280" w:type="dxa"/>
            <w:vAlign w:val="bottom"/>
          </w:tcPr>
          <w:p>
            <w:pPr>
              <w:ind w:left="140"/>
              <w:spacing w:after="0" w:line="135" w:lineRule="exact"/>
              <w:rPr>
                <w:sz w:val="20"/>
                <w:szCs w:val="20"/>
                <w:color w:val="auto"/>
              </w:rPr>
            </w:pPr>
            <w:r>
              <w:rPr>
                <w:rFonts w:ascii="Arial" w:cs="Arial" w:eastAsia="Arial" w:hAnsi="Arial"/>
                <w:sz w:val="13"/>
                <w:szCs w:val="13"/>
                <w:color w:val="auto"/>
              </w:rPr>
              <w:t>Mibanco</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600</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12.6</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468</w:t>
            </w:r>
          </w:p>
        </w:tc>
        <w:tc>
          <w:tcPr>
            <w:tcW w:w="220" w:type="dxa"/>
            <w:vAlign w:val="bottom"/>
          </w:tcPr>
          <w:p>
            <w:pPr>
              <w:spacing w:after="0"/>
              <w:rPr>
                <w:sz w:val="11"/>
                <w:szCs w:val="11"/>
                <w:color w:val="auto"/>
              </w:rPr>
            </w:pPr>
          </w:p>
        </w:tc>
        <w:tc>
          <w:tcPr>
            <w:tcW w:w="1000" w:type="dxa"/>
            <w:vAlign w:val="bottom"/>
            <w:gridSpan w:val="2"/>
          </w:tcPr>
          <w:p>
            <w:pPr>
              <w:jc w:val="right"/>
              <w:ind w:right="155"/>
              <w:spacing w:after="0" w:line="135" w:lineRule="exact"/>
              <w:rPr>
                <w:sz w:val="20"/>
                <w:szCs w:val="20"/>
                <w:color w:val="auto"/>
              </w:rPr>
            </w:pPr>
            <w:r>
              <w:rPr>
                <w:rFonts w:ascii="Arial" w:cs="Arial" w:eastAsia="Arial" w:hAnsi="Arial"/>
                <w:sz w:val="13"/>
                <w:szCs w:val="13"/>
                <w:color w:val="auto"/>
              </w:rPr>
              <w:t>21.3</w:t>
            </w:r>
          </w:p>
        </w:tc>
        <w:tc>
          <w:tcPr>
            <w:tcW w:w="1000" w:type="dxa"/>
            <w:vAlign w:val="bottom"/>
            <w:gridSpan w:val="2"/>
          </w:tcPr>
          <w:p>
            <w:pPr>
              <w:jc w:val="right"/>
              <w:ind w:right="182"/>
              <w:spacing w:after="0" w:line="135" w:lineRule="exact"/>
              <w:rPr>
                <w:sz w:val="20"/>
                <w:szCs w:val="20"/>
                <w:color w:val="auto"/>
              </w:rPr>
            </w:pPr>
            <w:r>
              <w:rPr>
                <w:rFonts w:ascii="Arial" w:cs="Arial" w:eastAsia="Arial" w:hAnsi="Arial"/>
                <w:sz w:val="13"/>
                <w:szCs w:val="13"/>
                <w:color w:val="auto"/>
              </w:rPr>
              <w:t>45</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3.5</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13,576</w:t>
            </w: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7.2</w:t>
            </w:r>
          </w:p>
        </w:tc>
        <w:tc>
          <w:tcPr>
            <w:tcW w:w="80" w:type="dxa"/>
            <w:vAlign w:val="bottom"/>
          </w:tcPr>
          <w:p>
            <w:pPr>
              <w:spacing w:after="0"/>
              <w:rPr>
                <w:sz w:val="11"/>
                <w:szCs w:val="11"/>
                <w:color w:val="auto"/>
              </w:rPr>
            </w:pPr>
          </w:p>
        </w:tc>
      </w:tr>
      <w:tr>
        <w:trPr>
          <w:trHeight w:val="135"/>
        </w:trPr>
        <w:tc>
          <w:tcPr>
            <w:tcW w:w="328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Banco Compartir S.A.</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55"/>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55"/>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82"/>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1,046</w:t>
            </w: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0.6</w:t>
            </w:r>
          </w:p>
        </w:tc>
        <w:tc>
          <w:tcPr>
            <w:tcW w:w="80" w:type="dxa"/>
            <w:vAlign w:val="bottom"/>
            <w:shd w:val="clear" w:color="auto" w:fill="CCEEFF"/>
          </w:tcPr>
          <w:p>
            <w:pPr>
              <w:spacing w:after="0"/>
              <w:rPr>
                <w:sz w:val="11"/>
                <w:szCs w:val="11"/>
                <w:color w:val="auto"/>
              </w:rPr>
            </w:pPr>
          </w:p>
        </w:tc>
      </w:tr>
      <w:tr>
        <w:trPr>
          <w:trHeight w:val="135"/>
        </w:trPr>
        <w:tc>
          <w:tcPr>
            <w:tcW w:w="3280" w:type="dxa"/>
            <w:vAlign w:val="bottom"/>
          </w:tcPr>
          <w:p>
            <w:pPr>
              <w:ind w:left="140"/>
              <w:spacing w:after="0" w:line="135" w:lineRule="exact"/>
              <w:rPr>
                <w:sz w:val="20"/>
                <w:szCs w:val="20"/>
                <w:color w:val="auto"/>
              </w:rPr>
            </w:pPr>
            <w:r>
              <w:rPr>
                <w:rFonts w:ascii="Arial" w:cs="Arial" w:eastAsia="Arial" w:hAnsi="Arial"/>
                <w:sz w:val="13"/>
                <w:szCs w:val="13"/>
                <w:color w:val="auto"/>
              </w:rPr>
              <w:t>Edyficar S.A.S.</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0.2</w:t>
            </w:r>
          </w:p>
        </w:tc>
        <w:tc>
          <w:tcPr>
            <w:tcW w:w="1020" w:type="dxa"/>
            <w:vAlign w:val="bottom"/>
            <w:gridSpan w:val="2"/>
          </w:tcPr>
          <w:p>
            <w:pPr>
              <w:jc w:val="right"/>
              <w:ind w:right="155"/>
              <w:spacing w:after="0" w:line="135" w:lineRule="exact"/>
              <w:rPr>
                <w:sz w:val="20"/>
                <w:szCs w:val="20"/>
                <w:color w:val="auto"/>
              </w:rPr>
            </w:pPr>
            <w:r>
              <w:rPr>
                <w:rFonts w:ascii="Arial" w:cs="Arial" w:eastAsia="Arial" w:hAnsi="Arial"/>
                <w:sz w:val="13"/>
                <w:szCs w:val="13"/>
                <w:color w:val="auto"/>
              </w:rPr>
              <w:t>11</w:t>
            </w:r>
          </w:p>
        </w:tc>
        <w:tc>
          <w:tcPr>
            <w:tcW w:w="1000" w:type="dxa"/>
            <w:vAlign w:val="bottom"/>
            <w:gridSpan w:val="2"/>
          </w:tcPr>
          <w:p>
            <w:pPr>
              <w:jc w:val="right"/>
              <w:ind w:right="155"/>
              <w:spacing w:after="0" w:line="135" w:lineRule="exact"/>
              <w:rPr>
                <w:sz w:val="20"/>
                <w:szCs w:val="20"/>
                <w:color w:val="auto"/>
              </w:rPr>
            </w:pPr>
            <w:r>
              <w:rPr>
                <w:rFonts w:ascii="Arial" w:cs="Arial" w:eastAsia="Arial" w:hAnsi="Arial"/>
                <w:sz w:val="13"/>
                <w:szCs w:val="13"/>
                <w:color w:val="auto"/>
              </w:rPr>
              <w:t>0.5</w:t>
            </w:r>
          </w:p>
        </w:tc>
        <w:tc>
          <w:tcPr>
            <w:tcW w:w="1000" w:type="dxa"/>
            <w:vAlign w:val="bottom"/>
            <w:gridSpan w:val="2"/>
          </w:tcPr>
          <w:p>
            <w:pPr>
              <w:jc w:val="right"/>
              <w:ind w:right="142"/>
              <w:spacing w:after="0" w:line="135" w:lineRule="exact"/>
              <w:rPr>
                <w:sz w:val="20"/>
                <w:szCs w:val="20"/>
                <w:color w:val="auto"/>
              </w:rPr>
            </w:pPr>
            <w:r>
              <w:rPr>
                <w:rFonts w:ascii="Arial" w:cs="Arial" w:eastAsia="Arial" w:hAnsi="Arial"/>
                <w:sz w:val="13"/>
                <w:szCs w:val="13"/>
                <w:color w:val="auto"/>
              </w:rPr>
              <w:t>(80)</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(6.2)</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141</w:t>
            </w:r>
          </w:p>
        </w:tc>
        <w:tc>
          <w:tcPr>
            <w:tcW w:w="22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0.1</w:t>
            </w:r>
          </w:p>
        </w:tc>
        <w:tc>
          <w:tcPr>
            <w:tcW w:w="80" w:type="dxa"/>
            <w:vAlign w:val="bottom"/>
          </w:tcPr>
          <w:p>
            <w:pPr>
              <w:spacing w:after="0"/>
              <w:rPr>
                <w:sz w:val="11"/>
                <w:szCs w:val="1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Investment Banking and Wealth Management</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238</w:t>
            </w:r>
          </w:p>
        </w:tc>
        <w:tc>
          <w:tcPr>
            <w:tcW w:w="10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5.0</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55"/>
              <w:spacing w:after="0" w:line="135" w:lineRule="exact"/>
              <w:rPr>
                <w:sz w:val="20"/>
                <w:szCs w:val="20"/>
                <w:color w:val="auto"/>
              </w:rPr>
            </w:pPr>
            <w:r>
              <w:rPr>
                <w:rFonts w:ascii="Arial" w:cs="Arial" w:eastAsia="Arial" w:hAnsi="Arial"/>
                <w:sz w:val="13"/>
                <w:szCs w:val="13"/>
                <w:color w:val="auto"/>
              </w:rPr>
              <w:t>1.1</w:t>
            </w:r>
          </w:p>
        </w:tc>
        <w:tc>
          <w:tcPr>
            <w:tcW w:w="1000" w:type="dxa"/>
            <w:vAlign w:val="bottom"/>
            <w:gridSpan w:val="2"/>
            <w:shd w:val="clear" w:color="auto" w:fill="CCEEFF"/>
          </w:tcPr>
          <w:p>
            <w:pPr>
              <w:jc w:val="right"/>
              <w:ind w:right="182"/>
              <w:spacing w:after="0" w:line="135" w:lineRule="exact"/>
              <w:rPr>
                <w:sz w:val="20"/>
                <w:szCs w:val="20"/>
                <w:color w:val="auto"/>
              </w:rPr>
            </w:pPr>
            <w:r>
              <w:rPr>
                <w:rFonts w:ascii="Arial" w:cs="Arial" w:eastAsia="Arial" w:hAnsi="Arial"/>
                <w:sz w:val="13"/>
                <w:szCs w:val="13"/>
                <w:color w:val="auto"/>
              </w:rPr>
              <w:t>175</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13.6</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9,423</w:t>
            </w: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1"/>
                <w:szCs w:val="1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Other segments</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27</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0.6</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305</w:t>
            </w:r>
          </w:p>
        </w:tc>
        <w:tc>
          <w:tcPr>
            <w:tcW w:w="220" w:type="dxa"/>
            <w:vAlign w:val="bottom"/>
          </w:tcPr>
          <w:p>
            <w:pPr>
              <w:spacing w:after="0"/>
              <w:rPr>
                <w:sz w:val="11"/>
                <w:szCs w:val="11"/>
                <w:color w:val="auto"/>
              </w:rPr>
            </w:pPr>
          </w:p>
        </w:tc>
        <w:tc>
          <w:tcPr>
            <w:tcW w:w="1000" w:type="dxa"/>
            <w:vAlign w:val="bottom"/>
            <w:gridSpan w:val="2"/>
          </w:tcPr>
          <w:p>
            <w:pPr>
              <w:jc w:val="right"/>
              <w:ind w:right="155"/>
              <w:spacing w:after="0" w:line="135" w:lineRule="exact"/>
              <w:rPr>
                <w:sz w:val="20"/>
                <w:szCs w:val="20"/>
                <w:color w:val="auto"/>
              </w:rPr>
            </w:pPr>
            <w:r>
              <w:rPr>
                <w:rFonts w:ascii="Arial" w:cs="Arial" w:eastAsia="Arial" w:hAnsi="Arial"/>
                <w:sz w:val="13"/>
                <w:szCs w:val="13"/>
                <w:color w:val="auto"/>
              </w:rPr>
              <w:t>13.9</w:t>
            </w:r>
          </w:p>
        </w:tc>
        <w:tc>
          <w:tcPr>
            <w:tcW w:w="1000" w:type="dxa"/>
            <w:vAlign w:val="bottom"/>
            <w:gridSpan w:val="2"/>
          </w:tcPr>
          <w:p>
            <w:pPr>
              <w:jc w:val="right"/>
              <w:ind w:right="182"/>
              <w:spacing w:after="0" w:line="135" w:lineRule="exact"/>
              <w:rPr>
                <w:sz w:val="20"/>
                <w:szCs w:val="20"/>
                <w:color w:val="auto"/>
              </w:rPr>
            </w:pPr>
            <w:r>
              <w:rPr>
                <w:rFonts w:ascii="Arial" w:cs="Arial" w:eastAsia="Arial" w:hAnsi="Arial"/>
                <w:sz w:val="13"/>
                <w:szCs w:val="13"/>
                <w:color w:val="auto"/>
              </w:rPr>
              <w:t>43</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3.2</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2,998</w:t>
            </w: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1.6</w:t>
            </w:r>
          </w:p>
        </w:tc>
        <w:tc>
          <w:tcPr>
            <w:tcW w:w="80" w:type="dxa"/>
            <w:vAlign w:val="bottom"/>
          </w:tcPr>
          <w:p>
            <w:pPr>
              <w:spacing w:after="0"/>
              <w:rPr>
                <w:sz w:val="11"/>
                <w:szCs w:val="11"/>
                <w:color w:val="auto"/>
              </w:rPr>
            </w:pPr>
          </w:p>
        </w:tc>
      </w:tr>
      <w:tr>
        <w:trPr>
          <w:trHeight w:val="147"/>
        </w:trPr>
        <w:tc>
          <w:tcPr>
            <w:tcW w:w="32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Eliminations</w:t>
            </w:r>
          </w:p>
        </w:tc>
        <w:tc>
          <w:tcPr>
            <w:tcW w:w="104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15"/>
              <w:spacing w:after="0" w:line="148" w:lineRule="exact"/>
              <w:rPr>
                <w:sz w:val="20"/>
                <w:szCs w:val="20"/>
                <w:color w:val="auto"/>
              </w:rPr>
            </w:pPr>
            <w:r>
              <w:rPr>
                <w:rFonts w:ascii="Arial" w:cs="Arial" w:eastAsia="Arial" w:hAnsi="Arial"/>
                <w:sz w:val="13"/>
                <w:szCs w:val="13"/>
                <w:color w:val="auto"/>
              </w:rPr>
              <w:t>(300)</w:t>
            </w:r>
          </w:p>
        </w:tc>
        <w:tc>
          <w:tcPr>
            <w:tcW w:w="1000" w:type="dxa"/>
            <w:vAlign w:val="bottom"/>
            <w:gridSpan w:val="2"/>
            <w:shd w:val="clear" w:color="auto" w:fill="CCEEFF"/>
          </w:tcPr>
          <w:p>
            <w:pPr>
              <w:jc w:val="right"/>
              <w:ind w:right="155"/>
              <w:spacing w:after="0" w:line="148" w:lineRule="exact"/>
              <w:rPr>
                <w:sz w:val="20"/>
                <w:szCs w:val="20"/>
                <w:color w:val="auto"/>
              </w:rPr>
            </w:pPr>
            <w:r>
              <w:rPr>
                <w:rFonts w:ascii="Arial" w:cs="Arial" w:eastAsia="Arial" w:hAnsi="Arial"/>
                <w:sz w:val="13"/>
                <w:szCs w:val="13"/>
                <w:color w:val="auto"/>
              </w:rPr>
              <w:t>(13.7)</w:t>
            </w:r>
          </w:p>
        </w:tc>
        <w:tc>
          <w:tcPr>
            <w:tcW w:w="1000" w:type="dxa"/>
            <w:vAlign w:val="bottom"/>
            <w:gridSpan w:val="2"/>
            <w:shd w:val="clear" w:color="auto" w:fill="CCEEFF"/>
          </w:tcPr>
          <w:p>
            <w:pPr>
              <w:jc w:val="right"/>
              <w:ind w:right="142"/>
              <w:spacing w:after="0" w:line="148" w:lineRule="exact"/>
              <w:rPr>
                <w:sz w:val="20"/>
                <w:szCs w:val="20"/>
                <w:color w:val="auto"/>
              </w:rPr>
            </w:pPr>
            <w:r>
              <w:rPr>
                <w:rFonts w:ascii="Arial" w:cs="Arial" w:eastAsia="Arial" w:hAnsi="Arial"/>
                <w:sz w:val="13"/>
                <w:szCs w:val="13"/>
                <w:color w:val="auto"/>
              </w:rPr>
              <w:t>(689)</w:t>
            </w:r>
          </w:p>
        </w:tc>
        <w:tc>
          <w:tcPr>
            <w:tcW w:w="10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(53.6)</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(4,314)</w:t>
            </w:r>
          </w:p>
        </w:tc>
        <w:tc>
          <w:tcPr>
            <w:tcW w:w="88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(2.3)</w:t>
            </w:r>
          </w:p>
        </w:tc>
      </w:tr>
      <w:tr>
        <w:trPr>
          <w:trHeight w:val="140"/>
        </w:trPr>
        <w:tc>
          <w:tcPr>
            <w:tcW w:w="3280" w:type="dxa"/>
            <w:vAlign w:val="bottom"/>
          </w:tcPr>
          <w:p>
            <w:pPr>
              <w:spacing w:after="0" w:line="140" w:lineRule="exact"/>
              <w:rPr>
                <w:sz w:val="20"/>
                <w:szCs w:val="20"/>
                <w:color w:val="auto"/>
              </w:rPr>
            </w:pPr>
            <w:r>
              <w:rPr>
                <w:rFonts w:ascii="Arial" w:cs="Arial" w:eastAsia="Arial" w:hAnsi="Arial"/>
                <w:sz w:val="13"/>
                <w:szCs w:val="13"/>
                <w:color w:val="auto"/>
              </w:rPr>
              <w:t>Total consolidated</w:t>
            </w:r>
          </w:p>
        </w:tc>
        <w:tc>
          <w:tcPr>
            <w:tcW w:w="80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4,762</w:t>
            </w:r>
          </w:p>
        </w:tc>
        <w:tc>
          <w:tcPr>
            <w:tcW w:w="2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100.0</w:t>
            </w:r>
          </w:p>
        </w:tc>
        <w:tc>
          <w:tcPr>
            <w:tcW w:w="2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2,197</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100</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(1,285</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7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100.0</w:t>
            </w:r>
          </w:p>
        </w:tc>
        <w:tc>
          <w:tcPr>
            <w:tcW w:w="2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187,877</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100.0</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3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42748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27480" cy="7620"/>
                    </a:xfrm>
                    <a:prstGeom prst="rect">
                      <a:avLst/>
                    </a:prstGeom>
                    <a:noFill/>
                  </pic:spPr>
                </pic:pic>
              </a:graphicData>
            </a:graphic>
          </wp:anchor>
        </w:drawing>
      </w:r>
    </w:p>
    <w:p>
      <w:pPr>
        <w:spacing w:after="0" w:line="189" w:lineRule="exact"/>
        <w:rPr>
          <w:sz w:val="20"/>
          <w:szCs w:val="20"/>
          <w:color w:val="auto"/>
        </w:rPr>
      </w:pPr>
    </w:p>
    <w:p>
      <w:pPr>
        <w:ind w:left="302" w:hanging="302"/>
        <w:spacing w:after="0"/>
        <w:tabs>
          <w:tab w:leader="none" w:pos="302" w:val="left"/>
        </w:tabs>
        <w:numPr>
          <w:ilvl w:val="0"/>
          <w:numId w:val="121"/>
        </w:numPr>
        <w:rPr>
          <w:rFonts w:ascii="Arial" w:cs="Arial" w:eastAsia="Arial" w:hAnsi="Arial"/>
          <w:sz w:val="15"/>
          <w:szCs w:val="15"/>
          <w:color w:val="auto"/>
        </w:rPr>
      </w:pPr>
      <w:r>
        <w:rPr>
          <w:rFonts w:ascii="Arial" w:cs="Arial" w:eastAsia="Arial" w:hAnsi="Arial"/>
          <w:sz w:val="15"/>
          <w:szCs w:val="15"/>
          <w:color w:val="auto"/>
        </w:rPr>
        <w:t>Corresponds to total interest and similar income, other income (includes income and expenses on commissions) and net earned premiums from insurance activities.</w:t>
      </w:r>
    </w:p>
    <w:p>
      <w:pPr>
        <w:spacing w:after="0" w:line="220" w:lineRule="exact"/>
        <w:rPr>
          <w:rFonts w:ascii="Arial" w:cs="Arial" w:eastAsia="Arial" w:hAnsi="Arial"/>
          <w:sz w:val="15"/>
          <w:szCs w:val="15"/>
          <w:color w:val="auto"/>
        </w:rPr>
      </w:pPr>
    </w:p>
    <w:p>
      <w:pPr>
        <w:ind w:left="302" w:hanging="302"/>
        <w:spacing w:after="0"/>
        <w:tabs>
          <w:tab w:leader="none" w:pos="30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Corresponds to total other income (includes income and expenses for commissions) and insurance underwriting result.</w:t>
      </w:r>
    </w:p>
    <w:p>
      <w:pPr>
        <w:spacing w:after="0" w:line="209" w:lineRule="exact"/>
        <w:rPr>
          <w:sz w:val="20"/>
          <w:szCs w:val="20"/>
          <w:color w:val="auto"/>
        </w:rPr>
      </w:pPr>
    </w:p>
    <w:p>
      <w:pPr>
        <w:ind w:left="2" w:right="140" w:firstLine="295"/>
        <w:spacing w:after="0" w:line="287" w:lineRule="auto"/>
        <w:rPr>
          <w:sz w:val="20"/>
          <w:szCs w:val="20"/>
          <w:color w:val="auto"/>
        </w:rPr>
      </w:pPr>
      <w:r>
        <w:rPr>
          <w:rFonts w:ascii="Arial" w:cs="Arial" w:eastAsia="Arial" w:hAnsi="Arial"/>
          <w:sz w:val="16"/>
          <w:szCs w:val="16"/>
          <w:color w:val="auto"/>
        </w:rPr>
        <w:t>The following table sets forth the net cash dividends available to Credicorp Ltd, as principal shareholder, from other group companies in 2015, 2016, 2017, 2018 and 2019, as derived from Credicorp’s standalone financial statements as of and for the years ended December 31, 2019 and 2018:</w:t>
      </w:r>
    </w:p>
    <w:p>
      <w:pPr>
        <w:spacing w:after="0" w:line="146" w:lineRule="exact"/>
        <w:rPr>
          <w:sz w:val="20"/>
          <w:szCs w:val="20"/>
          <w:color w:val="auto"/>
        </w:rPr>
      </w:pPr>
    </w:p>
    <w:p>
      <w:pPr>
        <w:jc w:val="center"/>
        <w:ind w:left="2260"/>
        <w:spacing w:after="0"/>
        <w:rPr>
          <w:sz w:val="20"/>
          <w:szCs w:val="20"/>
          <w:color w:val="auto"/>
        </w:rPr>
      </w:pPr>
      <w:r>
        <w:rPr>
          <w:rFonts w:ascii="Arial" w:cs="Arial" w:eastAsia="Arial" w:hAnsi="Arial"/>
          <w:sz w:val="11"/>
          <w:szCs w:val="11"/>
          <w:b w:val="1"/>
          <w:bCs w:val="1"/>
          <w:color w:val="auto"/>
        </w:rPr>
        <w:t>As of and for the years ended</w:t>
      </w:r>
    </w:p>
    <w:p>
      <w:pPr>
        <w:spacing w:after="0" w:line="8" w:lineRule="exact"/>
        <w:rPr>
          <w:sz w:val="20"/>
          <w:szCs w:val="20"/>
          <w:color w:val="auto"/>
        </w:rPr>
      </w:pPr>
    </w:p>
    <w:p>
      <w:pPr>
        <w:jc w:val="center"/>
        <w:ind w:left="2260"/>
        <w:spacing w:after="0"/>
        <w:rPr>
          <w:sz w:val="20"/>
          <w:szCs w:val="20"/>
          <w:color w:val="auto"/>
        </w:rPr>
      </w:pPr>
      <w:r>
        <w:rPr>
          <w:rFonts w:ascii="Arial" w:cs="Arial" w:eastAsia="Arial" w:hAnsi="Arial"/>
          <w:sz w:val="11"/>
          <w:szCs w:val="11"/>
          <w:b w:val="1"/>
          <w:bCs w:val="1"/>
          <w:color w:val="auto"/>
        </w:rPr>
        <w:t>December 31,</w:t>
      </w:r>
    </w:p>
    <w:tbl>
      <w:tblPr>
        <w:tblLayout w:type="fixed"/>
        <w:tblInd w:w="2" w:type="dxa"/>
        <w:tblCellMar>
          <w:top w:w="0" w:type="dxa"/>
          <w:left w:w="0" w:type="dxa"/>
          <w:bottom w:w="0" w:type="dxa"/>
          <w:right w:w="0" w:type="dxa"/>
        </w:tblCellMar>
      </w:tblPr>
      <w:tr>
        <w:trPr>
          <w:trHeight w:val="127"/>
        </w:trPr>
        <w:tc>
          <w:tcPr>
            <w:tcW w:w="2380" w:type="dxa"/>
            <w:vAlign w:val="bottom"/>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2015</w:t>
            </w:r>
          </w:p>
        </w:tc>
        <w:tc>
          <w:tcPr>
            <w:tcW w:w="6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2016</w:t>
            </w:r>
          </w:p>
        </w:tc>
        <w:tc>
          <w:tcPr>
            <w:tcW w:w="6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2017</w:t>
            </w:r>
          </w:p>
        </w:tc>
        <w:tc>
          <w:tcPr>
            <w:tcW w:w="6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2018</w:t>
            </w:r>
          </w:p>
        </w:tc>
        <w:tc>
          <w:tcPr>
            <w:tcW w:w="6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2019</w:t>
            </w:r>
          </w:p>
        </w:tc>
        <w:tc>
          <w:tcPr>
            <w:tcW w:w="640" w:type="dxa"/>
            <w:vAlign w:val="bottom"/>
            <w:tcBorders>
              <w:top w:val="single" w:sz="8" w:color="auto"/>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99"/>
        </w:trPr>
        <w:tc>
          <w:tcPr>
            <w:tcW w:w="2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5"/>
              </w:rPr>
              <w:t>(U.S.</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5"/>
              </w:rPr>
              <w:t>(U.S.</w:t>
            </w: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(U.S.</w:t>
            </w: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5"/>
              </w:rPr>
              <w:t>(U.S.</w:t>
            </w: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5"/>
              </w:rPr>
              <w:t>(U.S.</w:t>
            </w:r>
          </w:p>
        </w:tc>
        <w:tc>
          <w:tcPr>
            <w:tcW w:w="100" w:type="dxa"/>
            <w:vAlign w:val="bottom"/>
            <w:gridSpan w:val="2"/>
          </w:tcPr>
          <w:p>
            <w:pPr>
              <w:spacing w:after="0"/>
              <w:rPr>
                <w:sz w:val="8"/>
                <w:szCs w:val="8"/>
                <w:color w:val="auto"/>
              </w:rPr>
            </w:pPr>
          </w:p>
        </w:tc>
      </w:tr>
      <w:tr>
        <w:trPr>
          <w:trHeight w:val="123"/>
        </w:trPr>
        <w:tc>
          <w:tcPr>
            <w:tcW w:w="2380" w:type="dxa"/>
            <w:vAlign w:val="bottom"/>
          </w:tcPr>
          <w:p>
            <w:pPr>
              <w:spacing w:after="0"/>
              <w:rPr>
                <w:sz w:val="10"/>
                <w:szCs w:val="10"/>
                <w:color w:val="auto"/>
              </w:rPr>
            </w:pPr>
          </w:p>
        </w:tc>
        <w:tc>
          <w:tcPr>
            <w:tcW w:w="680" w:type="dxa"/>
            <w:vAlign w:val="bottom"/>
          </w:tcPr>
          <w:p>
            <w:pPr>
              <w:jc w:val="right"/>
              <w:ind w:right="83"/>
              <w:spacing w:after="0" w:line="123" w:lineRule="exact"/>
              <w:rPr>
                <w:sz w:val="20"/>
                <w:szCs w:val="20"/>
                <w:color w:val="auto"/>
              </w:rPr>
            </w:pPr>
            <w:r>
              <w:rPr>
                <w:rFonts w:ascii="Arial" w:cs="Arial" w:eastAsia="Arial" w:hAnsi="Arial"/>
                <w:sz w:val="11"/>
                <w:szCs w:val="11"/>
                <w:b w:val="1"/>
                <w:bCs w:val="1"/>
                <w:color w:val="auto"/>
              </w:rPr>
              <w:t>(Soles in</w:t>
            </w:r>
          </w:p>
        </w:tc>
        <w:tc>
          <w:tcPr>
            <w:tcW w:w="240" w:type="dxa"/>
            <w:vAlign w:val="bottom"/>
          </w:tcPr>
          <w:p>
            <w:pPr>
              <w:spacing w:after="0"/>
              <w:rPr>
                <w:sz w:val="10"/>
                <w:szCs w:val="10"/>
                <w:color w:val="auto"/>
              </w:rPr>
            </w:pPr>
          </w:p>
        </w:tc>
        <w:tc>
          <w:tcPr>
            <w:tcW w:w="920" w:type="dxa"/>
            <w:vAlign w:val="bottom"/>
            <w:gridSpan w:val="2"/>
          </w:tcPr>
          <w:p>
            <w:pPr>
              <w:jc w:val="center"/>
              <w:ind w:right="240"/>
              <w:spacing w:after="0" w:line="123" w:lineRule="exact"/>
              <w:rPr>
                <w:sz w:val="20"/>
                <w:szCs w:val="20"/>
                <w:color w:val="auto"/>
              </w:rPr>
            </w:pPr>
            <w:r>
              <w:rPr>
                <w:rFonts w:ascii="Arial" w:cs="Arial" w:eastAsia="Arial" w:hAnsi="Arial"/>
                <w:sz w:val="11"/>
                <w:szCs w:val="11"/>
                <w:b w:val="1"/>
                <w:bCs w:val="1"/>
                <w:color w:val="auto"/>
                <w:w w:val="98"/>
              </w:rPr>
              <w:t>dollars in</w:t>
            </w:r>
          </w:p>
        </w:tc>
        <w:tc>
          <w:tcPr>
            <w:tcW w:w="680" w:type="dxa"/>
            <w:vAlign w:val="bottom"/>
          </w:tcPr>
          <w:p>
            <w:pPr>
              <w:jc w:val="right"/>
              <w:ind w:right="83"/>
              <w:spacing w:after="0" w:line="123" w:lineRule="exact"/>
              <w:rPr>
                <w:sz w:val="20"/>
                <w:szCs w:val="20"/>
                <w:color w:val="auto"/>
              </w:rPr>
            </w:pPr>
            <w:r>
              <w:rPr>
                <w:rFonts w:ascii="Arial" w:cs="Arial" w:eastAsia="Arial" w:hAnsi="Arial"/>
                <w:sz w:val="11"/>
                <w:szCs w:val="11"/>
                <w:b w:val="1"/>
                <w:bCs w:val="1"/>
                <w:color w:val="auto"/>
              </w:rPr>
              <w:t>(Soles in</w:t>
            </w:r>
          </w:p>
        </w:tc>
        <w:tc>
          <w:tcPr>
            <w:tcW w:w="240" w:type="dxa"/>
            <w:vAlign w:val="bottom"/>
          </w:tcPr>
          <w:p>
            <w:pPr>
              <w:spacing w:after="0"/>
              <w:rPr>
                <w:sz w:val="10"/>
                <w:szCs w:val="10"/>
                <w:color w:val="auto"/>
              </w:rPr>
            </w:pPr>
          </w:p>
        </w:tc>
        <w:tc>
          <w:tcPr>
            <w:tcW w:w="920" w:type="dxa"/>
            <w:vAlign w:val="bottom"/>
            <w:gridSpan w:val="2"/>
          </w:tcPr>
          <w:p>
            <w:pPr>
              <w:jc w:val="center"/>
              <w:ind w:right="220"/>
              <w:spacing w:after="0" w:line="123" w:lineRule="exact"/>
              <w:rPr>
                <w:sz w:val="20"/>
                <w:szCs w:val="20"/>
                <w:color w:val="auto"/>
              </w:rPr>
            </w:pPr>
            <w:r>
              <w:rPr>
                <w:rFonts w:ascii="Arial" w:cs="Arial" w:eastAsia="Arial" w:hAnsi="Arial"/>
                <w:sz w:val="11"/>
                <w:szCs w:val="11"/>
                <w:b w:val="1"/>
                <w:bCs w:val="1"/>
                <w:color w:val="auto"/>
                <w:w w:val="93"/>
              </w:rPr>
              <w:t>dollars in</w:t>
            </w:r>
          </w:p>
        </w:tc>
        <w:tc>
          <w:tcPr>
            <w:tcW w:w="900" w:type="dxa"/>
            <w:vAlign w:val="bottom"/>
            <w:gridSpan w:val="3"/>
          </w:tcPr>
          <w:p>
            <w:pPr>
              <w:ind w:left="120"/>
              <w:spacing w:after="0" w:line="123" w:lineRule="exact"/>
              <w:rPr>
                <w:sz w:val="20"/>
                <w:szCs w:val="20"/>
                <w:color w:val="auto"/>
              </w:rPr>
            </w:pPr>
            <w:r>
              <w:rPr>
                <w:rFonts w:ascii="Arial" w:cs="Arial" w:eastAsia="Arial" w:hAnsi="Arial"/>
                <w:sz w:val="11"/>
                <w:szCs w:val="11"/>
                <w:b w:val="1"/>
                <w:bCs w:val="1"/>
                <w:color w:val="auto"/>
              </w:rPr>
              <w:t>(Soles in</w:t>
            </w:r>
          </w:p>
        </w:tc>
        <w:tc>
          <w:tcPr>
            <w:tcW w:w="860" w:type="dxa"/>
            <w:vAlign w:val="bottom"/>
            <w:gridSpan w:val="2"/>
          </w:tcPr>
          <w:p>
            <w:pPr>
              <w:jc w:val="center"/>
              <w:ind w:right="240"/>
              <w:spacing w:after="0" w:line="123" w:lineRule="exact"/>
              <w:rPr>
                <w:sz w:val="20"/>
                <w:szCs w:val="20"/>
                <w:color w:val="auto"/>
              </w:rPr>
            </w:pPr>
            <w:r>
              <w:rPr>
                <w:rFonts w:ascii="Arial" w:cs="Arial" w:eastAsia="Arial" w:hAnsi="Arial"/>
                <w:sz w:val="11"/>
                <w:szCs w:val="11"/>
                <w:b w:val="1"/>
                <w:bCs w:val="1"/>
                <w:color w:val="auto"/>
                <w:w w:val="93"/>
              </w:rPr>
              <w:t>dollars in</w:t>
            </w:r>
          </w:p>
        </w:tc>
        <w:tc>
          <w:tcPr>
            <w:tcW w:w="920" w:type="dxa"/>
            <w:vAlign w:val="bottom"/>
            <w:gridSpan w:val="3"/>
          </w:tcPr>
          <w:p>
            <w:pPr>
              <w:ind w:left="120"/>
              <w:spacing w:after="0" w:line="123" w:lineRule="exact"/>
              <w:rPr>
                <w:sz w:val="20"/>
                <w:szCs w:val="20"/>
                <w:color w:val="auto"/>
              </w:rPr>
            </w:pPr>
            <w:r>
              <w:rPr>
                <w:rFonts w:ascii="Arial" w:cs="Arial" w:eastAsia="Arial" w:hAnsi="Arial"/>
                <w:sz w:val="11"/>
                <w:szCs w:val="11"/>
                <w:b w:val="1"/>
                <w:bCs w:val="1"/>
                <w:color w:val="auto"/>
              </w:rPr>
              <w:t>(Soles in</w:t>
            </w:r>
          </w:p>
        </w:tc>
        <w:tc>
          <w:tcPr>
            <w:tcW w:w="860" w:type="dxa"/>
            <w:vAlign w:val="bottom"/>
            <w:gridSpan w:val="2"/>
          </w:tcPr>
          <w:p>
            <w:pPr>
              <w:jc w:val="center"/>
              <w:ind w:right="280"/>
              <w:spacing w:after="0" w:line="123" w:lineRule="exact"/>
              <w:rPr>
                <w:sz w:val="20"/>
                <w:szCs w:val="20"/>
                <w:color w:val="auto"/>
              </w:rPr>
            </w:pPr>
            <w:r>
              <w:rPr>
                <w:rFonts w:ascii="Arial" w:cs="Arial" w:eastAsia="Arial" w:hAnsi="Arial"/>
                <w:sz w:val="11"/>
                <w:szCs w:val="11"/>
                <w:b w:val="1"/>
                <w:bCs w:val="1"/>
                <w:color w:val="auto"/>
                <w:w w:val="93"/>
              </w:rPr>
              <w:t>dollars in</w:t>
            </w:r>
          </w:p>
        </w:tc>
        <w:tc>
          <w:tcPr>
            <w:tcW w:w="900" w:type="dxa"/>
            <w:vAlign w:val="bottom"/>
            <w:gridSpan w:val="3"/>
          </w:tcPr>
          <w:p>
            <w:pPr>
              <w:ind w:left="120"/>
              <w:spacing w:after="0" w:line="123" w:lineRule="exact"/>
              <w:rPr>
                <w:sz w:val="20"/>
                <w:szCs w:val="20"/>
                <w:color w:val="auto"/>
              </w:rPr>
            </w:pPr>
            <w:r>
              <w:rPr>
                <w:rFonts w:ascii="Arial" w:cs="Arial" w:eastAsia="Arial" w:hAnsi="Arial"/>
                <w:sz w:val="11"/>
                <w:szCs w:val="11"/>
                <w:b w:val="1"/>
                <w:bCs w:val="1"/>
                <w:color w:val="auto"/>
              </w:rPr>
              <w:t>(Soles in</w:t>
            </w:r>
          </w:p>
        </w:tc>
        <w:tc>
          <w:tcPr>
            <w:tcW w:w="740" w:type="dxa"/>
            <w:vAlign w:val="bottom"/>
            <w:gridSpan w:val="3"/>
          </w:tcPr>
          <w:p>
            <w:pPr>
              <w:jc w:val="center"/>
              <w:ind w:right="120"/>
              <w:spacing w:after="0" w:line="123" w:lineRule="exact"/>
              <w:rPr>
                <w:sz w:val="20"/>
                <w:szCs w:val="20"/>
                <w:color w:val="auto"/>
              </w:rPr>
            </w:pPr>
            <w:r>
              <w:rPr>
                <w:rFonts w:ascii="Arial" w:cs="Arial" w:eastAsia="Arial" w:hAnsi="Arial"/>
                <w:sz w:val="11"/>
                <w:szCs w:val="11"/>
                <w:b w:val="1"/>
                <w:bCs w:val="1"/>
                <w:color w:val="auto"/>
                <w:w w:val="93"/>
              </w:rPr>
              <w:t>dollars in</w:t>
            </w:r>
          </w:p>
        </w:tc>
      </w:tr>
      <w:tr>
        <w:trPr>
          <w:trHeight w:val="139"/>
        </w:trPr>
        <w:tc>
          <w:tcPr>
            <w:tcW w:w="2380" w:type="dxa"/>
            <w:vAlign w:val="bottom"/>
          </w:tcPr>
          <w:p>
            <w:pPr>
              <w:spacing w:after="0"/>
              <w:rPr>
                <w:sz w:val="12"/>
                <w:szCs w:val="12"/>
                <w:color w:val="auto"/>
              </w:rPr>
            </w:pPr>
          </w:p>
        </w:tc>
        <w:tc>
          <w:tcPr>
            <w:tcW w:w="680" w:type="dxa"/>
            <w:vAlign w:val="bottom"/>
          </w:tcPr>
          <w:p>
            <w:pPr>
              <w:jc w:val="right"/>
              <w:ind w:right="63"/>
              <w:spacing w:after="0"/>
              <w:rPr>
                <w:sz w:val="20"/>
                <w:szCs w:val="20"/>
                <w:color w:val="auto"/>
              </w:rPr>
            </w:pPr>
            <w:r>
              <w:rPr>
                <w:rFonts w:ascii="Arial" w:cs="Arial" w:eastAsia="Arial" w:hAnsi="Arial"/>
                <w:sz w:val="11"/>
                <w:szCs w:val="11"/>
                <w:b w:val="1"/>
                <w:bCs w:val="1"/>
                <w:color w:val="auto"/>
              </w:rPr>
              <w:t>millions)</w:t>
            </w:r>
          </w:p>
        </w:tc>
        <w:tc>
          <w:tcPr>
            <w:tcW w:w="2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millions)(1)</w:t>
            </w:r>
          </w:p>
        </w:tc>
        <w:tc>
          <w:tcPr>
            <w:tcW w:w="680" w:type="dxa"/>
            <w:vAlign w:val="bottom"/>
          </w:tcPr>
          <w:p>
            <w:pPr>
              <w:jc w:val="right"/>
              <w:ind w:right="63"/>
              <w:spacing w:after="0"/>
              <w:rPr>
                <w:sz w:val="20"/>
                <w:szCs w:val="20"/>
                <w:color w:val="auto"/>
              </w:rPr>
            </w:pPr>
            <w:r>
              <w:rPr>
                <w:rFonts w:ascii="Arial" w:cs="Arial" w:eastAsia="Arial" w:hAnsi="Arial"/>
                <w:sz w:val="11"/>
                <w:szCs w:val="11"/>
                <w:b w:val="1"/>
                <w:bCs w:val="1"/>
                <w:color w:val="auto"/>
              </w:rPr>
              <w:t>millions)</w:t>
            </w:r>
          </w:p>
        </w:tc>
        <w:tc>
          <w:tcPr>
            <w:tcW w:w="2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millions)(1)</w:t>
            </w:r>
          </w:p>
        </w:tc>
        <w:tc>
          <w:tcPr>
            <w:tcW w:w="900" w:type="dxa"/>
            <w:vAlign w:val="bottom"/>
            <w:gridSpan w:val="3"/>
          </w:tcPr>
          <w:p>
            <w:pPr>
              <w:ind w:left="120"/>
              <w:spacing w:after="0"/>
              <w:rPr>
                <w:sz w:val="20"/>
                <w:szCs w:val="20"/>
                <w:color w:val="auto"/>
              </w:rPr>
            </w:pPr>
            <w:r>
              <w:rPr>
                <w:rFonts w:ascii="Arial" w:cs="Arial" w:eastAsia="Arial" w:hAnsi="Arial"/>
                <w:sz w:val="11"/>
                <w:szCs w:val="11"/>
                <w:b w:val="1"/>
                <w:bCs w:val="1"/>
                <w:color w:val="auto"/>
              </w:rPr>
              <w:t>millions)</w:t>
            </w: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millions)(1)</w:t>
            </w:r>
          </w:p>
        </w:tc>
        <w:tc>
          <w:tcPr>
            <w:tcW w:w="920" w:type="dxa"/>
            <w:vAlign w:val="bottom"/>
            <w:gridSpan w:val="3"/>
          </w:tcPr>
          <w:p>
            <w:pPr>
              <w:ind w:left="120"/>
              <w:spacing w:after="0"/>
              <w:rPr>
                <w:sz w:val="20"/>
                <w:szCs w:val="20"/>
                <w:color w:val="auto"/>
              </w:rPr>
            </w:pPr>
            <w:r>
              <w:rPr>
                <w:rFonts w:ascii="Arial" w:cs="Arial" w:eastAsia="Arial" w:hAnsi="Arial"/>
                <w:sz w:val="11"/>
                <w:szCs w:val="11"/>
                <w:b w:val="1"/>
                <w:bCs w:val="1"/>
                <w:color w:val="auto"/>
              </w:rPr>
              <w:t>millions)</w:t>
            </w: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millions)(1)</w:t>
            </w:r>
          </w:p>
        </w:tc>
        <w:tc>
          <w:tcPr>
            <w:tcW w:w="900" w:type="dxa"/>
            <w:vAlign w:val="bottom"/>
            <w:gridSpan w:val="3"/>
          </w:tcPr>
          <w:p>
            <w:pPr>
              <w:ind w:left="120"/>
              <w:spacing w:after="0"/>
              <w:rPr>
                <w:sz w:val="20"/>
                <w:szCs w:val="20"/>
                <w:color w:val="auto"/>
              </w:rPr>
            </w:pPr>
            <w:r>
              <w:rPr>
                <w:rFonts w:ascii="Arial" w:cs="Arial" w:eastAsia="Arial" w:hAnsi="Arial"/>
                <w:sz w:val="11"/>
                <w:szCs w:val="11"/>
                <w:b w:val="1"/>
                <w:bCs w:val="1"/>
                <w:color w:val="auto"/>
              </w:rPr>
              <w:t>millions)</w:t>
            </w:r>
          </w:p>
        </w:tc>
        <w:tc>
          <w:tcPr>
            <w:tcW w:w="7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5"/>
              </w:rPr>
              <w:t>millions)(1)</w:t>
            </w:r>
          </w:p>
        </w:tc>
      </w:tr>
      <w:tr>
        <w:trPr>
          <w:trHeight w:val="115"/>
        </w:trPr>
        <w:tc>
          <w:tcPr>
            <w:tcW w:w="238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BCP(2)</w:t>
            </w: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376</w:t>
            </w:r>
          </w:p>
        </w:tc>
        <w:tc>
          <w:tcPr>
            <w:tcW w:w="2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114</w:t>
            </w:r>
          </w:p>
        </w:tc>
        <w:tc>
          <w:tcPr>
            <w:tcW w:w="2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1,134</w:t>
            </w:r>
          </w:p>
        </w:tc>
        <w:tc>
          <w:tcPr>
            <w:tcW w:w="2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342</w:t>
            </w:r>
          </w:p>
        </w:tc>
        <w:tc>
          <w:tcPr>
            <w:tcW w:w="2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1,425</w:t>
            </w:r>
          </w:p>
        </w:tc>
        <w:tc>
          <w:tcPr>
            <w:tcW w:w="2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430</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1,457</w:t>
            </w:r>
          </w:p>
        </w:tc>
        <w:tc>
          <w:tcPr>
            <w:tcW w:w="2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440</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1,989</w:t>
            </w:r>
          </w:p>
        </w:tc>
        <w:tc>
          <w:tcPr>
            <w:tcW w:w="2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600</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23"/>
        </w:trPr>
        <w:tc>
          <w:tcPr>
            <w:tcW w:w="2380" w:type="dxa"/>
            <w:vAlign w:val="bottom"/>
          </w:tcPr>
          <w:p>
            <w:pPr>
              <w:spacing w:after="0" w:line="123" w:lineRule="exact"/>
              <w:rPr>
                <w:sz w:val="20"/>
                <w:szCs w:val="20"/>
                <w:color w:val="auto"/>
              </w:rPr>
            </w:pPr>
            <w:r>
              <w:rPr>
                <w:rFonts w:ascii="Arial" w:cs="Arial" w:eastAsia="Arial" w:hAnsi="Arial"/>
                <w:sz w:val="11"/>
                <w:szCs w:val="11"/>
                <w:color w:val="auto"/>
              </w:rPr>
              <w:t>Pacifico</w:t>
            </w: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27</w:t>
            </w:r>
          </w:p>
        </w:tc>
        <w:tc>
          <w:tcPr>
            <w:tcW w:w="1160" w:type="dxa"/>
            <w:vAlign w:val="bottom"/>
            <w:gridSpan w:val="3"/>
          </w:tcPr>
          <w:p>
            <w:pPr>
              <w:jc w:val="right"/>
              <w:ind w:right="240"/>
              <w:spacing w:after="0" w:line="123" w:lineRule="exact"/>
              <w:rPr>
                <w:sz w:val="20"/>
                <w:szCs w:val="20"/>
                <w:color w:val="auto"/>
              </w:rPr>
            </w:pPr>
            <w:r>
              <w:rPr>
                <w:rFonts w:ascii="Arial" w:cs="Arial" w:eastAsia="Arial" w:hAnsi="Arial"/>
                <w:sz w:val="11"/>
                <w:szCs w:val="11"/>
                <w:color w:val="auto"/>
              </w:rPr>
              <w:t>8</w:t>
            </w: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102</w:t>
            </w:r>
          </w:p>
        </w:tc>
        <w:tc>
          <w:tcPr>
            <w:tcW w:w="1160" w:type="dxa"/>
            <w:vAlign w:val="bottom"/>
            <w:gridSpan w:val="3"/>
          </w:tcPr>
          <w:p>
            <w:pPr>
              <w:jc w:val="right"/>
              <w:ind w:right="240"/>
              <w:spacing w:after="0" w:line="123" w:lineRule="exact"/>
              <w:rPr>
                <w:sz w:val="20"/>
                <w:szCs w:val="20"/>
                <w:color w:val="auto"/>
              </w:rPr>
            </w:pPr>
            <w:r>
              <w:rPr>
                <w:rFonts w:ascii="Arial" w:cs="Arial" w:eastAsia="Arial" w:hAnsi="Arial"/>
                <w:sz w:val="11"/>
                <w:szCs w:val="11"/>
                <w:color w:val="auto"/>
              </w:rPr>
              <w:t>31</w:t>
            </w:r>
          </w:p>
        </w:tc>
        <w:tc>
          <w:tcPr>
            <w:tcW w:w="88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243</w:t>
            </w:r>
          </w:p>
        </w:tc>
        <w:tc>
          <w:tcPr>
            <w:tcW w:w="2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73</w:t>
            </w:r>
          </w:p>
        </w:tc>
        <w:tc>
          <w:tcPr>
            <w:tcW w:w="220" w:type="dxa"/>
            <w:vAlign w:val="bottom"/>
          </w:tcPr>
          <w:p>
            <w:pPr>
              <w:spacing w:after="0"/>
              <w:rPr>
                <w:sz w:val="10"/>
                <w:szCs w:val="10"/>
                <w:color w:val="auto"/>
              </w:rPr>
            </w:pPr>
          </w:p>
        </w:tc>
        <w:tc>
          <w:tcPr>
            <w:tcW w:w="88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247</w:t>
            </w:r>
          </w:p>
        </w:tc>
        <w:tc>
          <w:tcPr>
            <w:tcW w:w="40" w:type="dxa"/>
            <w:vAlign w:val="bottom"/>
          </w:tcPr>
          <w:p>
            <w:pPr>
              <w:spacing w:after="0"/>
              <w:rPr>
                <w:sz w:val="10"/>
                <w:szCs w:val="10"/>
                <w:color w:val="auto"/>
              </w:rPr>
            </w:pPr>
          </w:p>
        </w:tc>
        <w:tc>
          <w:tcPr>
            <w:tcW w:w="86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75</w:t>
            </w:r>
          </w:p>
        </w:tc>
        <w:tc>
          <w:tcPr>
            <w:tcW w:w="88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249</w:t>
            </w:r>
          </w:p>
        </w:tc>
        <w:tc>
          <w:tcPr>
            <w:tcW w:w="20" w:type="dxa"/>
            <w:vAlign w:val="bottom"/>
          </w:tcPr>
          <w:p>
            <w:pPr>
              <w:spacing w:after="0"/>
              <w:rPr>
                <w:sz w:val="10"/>
                <w:szCs w:val="10"/>
                <w:color w:val="auto"/>
              </w:rPr>
            </w:pPr>
          </w:p>
        </w:tc>
        <w:tc>
          <w:tcPr>
            <w:tcW w:w="66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75</w:t>
            </w:r>
          </w:p>
        </w:tc>
        <w:tc>
          <w:tcPr>
            <w:tcW w:w="80" w:type="dxa"/>
            <w:vAlign w:val="bottom"/>
          </w:tcPr>
          <w:p>
            <w:pPr>
              <w:spacing w:after="0"/>
              <w:rPr>
                <w:sz w:val="10"/>
                <w:szCs w:val="10"/>
                <w:color w:val="auto"/>
              </w:rPr>
            </w:pPr>
          </w:p>
        </w:tc>
      </w:tr>
      <w:tr>
        <w:trPr>
          <w:trHeight w:val="123"/>
        </w:trPr>
        <w:tc>
          <w:tcPr>
            <w:tcW w:w="23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Prima AFP</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135</w:t>
            </w:r>
          </w:p>
        </w:tc>
        <w:tc>
          <w:tcPr>
            <w:tcW w:w="92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41</w:t>
            </w: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164</w:t>
            </w:r>
          </w:p>
        </w:tc>
        <w:tc>
          <w:tcPr>
            <w:tcW w:w="1160" w:type="dxa"/>
            <w:vAlign w:val="bottom"/>
            <w:gridSpan w:val="3"/>
            <w:shd w:val="clear" w:color="auto" w:fill="CCEEFF"/>
          </w:tcPr>
          <w:p>
            <w:pPr>
              <w:jc w:val="right"/>
              <w:ind w:right="240"/>
              <w:spacing w:after="0" w:line="123" w:lineRule="exact"/>
              <w:rPr>
                <w:sz w:val="20"/>
                <w:szCs w:val="20"/>
                <w:color w:val="auto"/>
              </w:rPr>
            </w:pPr>
            <w:r>
              <w:rPr>
                <w:rFonts w:ascii="Arial" w:cs="Arial" w:eastAsia="Arial" w:hAnsi="Arial"/>
                <w:sz w:val="11"/>
                <w:szCs w:val="11"/>
                <w:color w:val="auto"/>
              </w:rPr>
              <w:t>49</w:t>
            </w:r>
          </w:p>
        </w:tc>
        <w:tc>
          <w:tcPr>
            <w:tcW w:w="88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169</w:t>
            </w: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51</w:t>
            </w:r>
          </w:p>
        </w:tc>
        <w:tc>
          <w:tcPr>
            <w:tcW w:w="2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131</w:t>
            </w:r>
          </w:p>
        </w:tc>
        <w:tc>
          <w:tcPr>
            <w:tcW w:w="4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39</w:t>
            </w:r>
          </w:p>
        </w:tc>
        <w:tc>
          <w:tcPr>
            <w:tcW w:w="88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131</w:t>
            </w:r>
          </w:p>
        </w:tc>
        <w:tc>
          <w:tcPr>
            <w:tcW w:w="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40</w:t>
            </w:r>
          </w:p>
        </w:tc>
        <w:tc>
          <w:tcPr>
            <w:tcW w:w="80" w:type="dxa"/>
            <w:vAlign w:val="bottom"/>
            <w:shd w:val="clear" w:color="auto" w:fill="CCEEFF"/>
          </w:tcPr>
          <w:p>
            <w:pPr>
              <w:spacing w:after="0"/>
              <w:rPr>
                <w:sz w:val="10"/>
                <w:szCs w:val="10"/>
                <w:color w:val="auto"/>
              </w:rPr>
            </w:pPr>
          </w:p>
        </w:tc>
      </w:tr>
      <w:tr>
        <w:trPr>
          <w:trHeight w:val="123"/>
        </w:trPr>
        <w:tc>
          <w:tcPr>
            <w:tcW w:w="2380" w:type="dxa"/>
            <w:vAlign w:val="bottom"/>
          </w:tcPr>
          <w:p>
            <w:pPr>
              <w:spacing w:after="0" w:line="123" w:lineRule="exact"/>
              <w:rPr>
                <w:sz w:val="20"/>
                <w:szCs w:val="20"/>
                <w:color w:val="auto"/>
              </w:rPr>
            </w:pPr>
            <w:r>
              <w:rPr>
                <w:rFonts w:ascii="Arial" w:cs="Arial" w:eastAsia="Arial" w:hAnsi="Arial"/>
                <w:sz w:val="11"/>
                <w:szCs w:val="11"/>
                <w:color w:val="auto"/>
              </w:rPr>
              <w:t>ICBSA</w:t>
            </w: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920" w:type="dxa"/>
            <w:vAlign w:val="bottom"/>
            <w:gridSpan w:val="2"/>
          </w:tcPr>
          <w:p>
            <w:pPr>
              <w:jc w:val="right"/>
              <w:ind w:right="240"/>
              <w:spacing w:after="0" w:line="123"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920" w:type="dxa"/>
            <w:vAlign w:val="bottom"/>
            <w:gridSpan w:val="2"/>
          </w:tcPr>
          <w:p>
            <w:pPr>
              <w:jc w:val="right"/>
              <w:ind w:right="240"/>
              <w:spacing w:after="0" w:line="123"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3" w:lineRule="exact"/>
              <w:rPr>
                <w:sz w:val="20"/>
                <w:szCs w:val="20"/>
                <w:color w:val="auto"/>
              </w:rPr>
            </w:pPr>
            <w:r>
              <w:rPr>
                <w:rFonts w:ascii="Arial" w:cs="Arial" w:eastAsia="Arial" w:hAnsi="Arial"/>
                <w:sz w:val="11"/>
                <w:szCs w:val="11"/>
                <w:color w:val="auto"/>
              </w:rPr>
              <w:t>47</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14</w:t>
            </w:r>
          </w:p>
        </w:tc>
        <w:tc>
          <w:tcPr>
            <w:tcW w:w="220" w:type="dxa"/>
            <w:vAlign w:val="bottom"/>
          </w:tcPr>
          <w:p>
            <w:pPr>
              <w:spacing w:after="0"/>
              <w:rPr>
                <w:sz w:val="10"/>
                <w:szCs w:val="10"/>
                <w:color w:val="auto"/>
              </w:rPr>
            </w:pPr>
          </w:p>
        </w:tc>
        <w:tc>
          <w:tcPr>
            <w:tcW w:w="88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46</w:t>
            </w:r>
          </w:p>
        </w:tc>
        <w:tc>
          <w:tcPr>
            <w:tcW w:w="40" w:type="dxa"/>
            <w:vAlign w:val="bottom"/>
          </w:tcPr>
          <w:p>
            <w:pPr>
              <w:spacing w:after="0"/>
              <w:rPr>
                <w:sz w:val="10"/>
                <w:szCs w:val="10"/>
                <w:color w:val="auto"/>
              </w:rPr>
            </w:pPr>
          </w:p>
        </w:tc>
        <w:tc>
          <w:tcPr>
            <w:tcW w:w="86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14</w:t>
            </w:r>
          </w:p>
        </w:tc>
        <w:tc>
          <w:tcPr>
            <w:tcW w:w="88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79</w:t>
            </w:r>
          </w:p>
        </w:tc>
        <w:tc>
          <w:tcPr>
            <w:tcW w:w="20" w:type="dxa"/>
            <w:vAlign w:val="bottom"/>
          </w:tcPr>
          <w:p>
            <w:pPr>
              <w:spacing w:after="0"/>
              <w:rPr>
                <w:sz w:val="10"/>
                <w:szCs w:val="10"/>
                <w:color w:val="auto"/>
              </w:rPr>
            </w:pPr>
          </w:p>
        </w:tc>
        <w:tc>
          <w:tcPr>
            <w:tcW w:w="66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24</w:t>
            </w:r>
          </w:p>
        </w:tc>
        <w:tc>
          <w:tcPr>
            <w:tcW w:w="80" w:type="dxa"/>
            <w:vAlign w:val="bottom"/>
          </w:tcPr>
          <w:p>
            <w:pPr>
              <w:spacing w:after="0"/>
              <w:rPr>
                <w:sz w:val="10"/>
                <w:szCs w:val="10"/>
                <w:color w:val="auto"/>
              </w:rPr>
            </w:pPr>
          </w:p>
        </w:tc>
      </w:tr>
      <w:tr>
        <w:trPr>
          <w:trHeight w:val="123"/>
        </w:trPr>
        <w:tc>
          <w:tcPr>
            <w:tcW w:w="238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Credicorp Capital</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40"/>
              <w:spacing w:after="0" w:line="123"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40"/>
              <w:spacing w:after="0" w:line="123"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82</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25</w:t>
            </w:r>
          </w:p>
        </w:tc>
        <w:tc>
          <w:tcPr>
            <w:tcW w:w="2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98</w:t>
            </w:r>
          </w:p>
        </w:tc>
        <w:tc>
          <w:tcPr>
            <w:tcW w:w="4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30</w:t>
            </w:r>
          </w:p>
        </w:tc>
        <w:tc>
          <w:tcPr>
            <w:tcW w:w="88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141</w:t>
            </w:r>
          </w:p>
        </w:tc>
        <w:tc>
          <w:tcPr>
            <w:tcW w:w="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42</w:t>
            </w:r>
          </w:p>
        </w:tc>
        <w:tc>
          <w:tcPr>
            <w:tcW w:w="80" w:type="dxa"/>
            <w:vAlign w:val="bottom"/>
            <w:shd w:val="clear" w:color="auto" w:fill="CCEEFF"/>
          </w:tcPr>
          <w:p>
            <w:pPr>
              <w:spacing w:after="0"/>
              <w:rPr>
                <w:sz w:val="10"/>
                <w:szCs w:val="10"/>
                <w:color w:val="auto"/>
              </w:rPr>
            </w:pPr>
          </w:p>
        </w:tc>
      </w:tr>
      <w:tr>
        <w:trPr>
          <w:trHeight w:val="123"/>
        </w:trPr>
        <w:tc>
          <w:tcPr>
            <w:tcW w:w="2380" w:type="dxa"/>
            <w:vAlign w:val="bottom"/>
          </w:tcPr>
          <w:p>
            <w:pPr>
              <w:spacing w:after="0" w:line="123" w:lineRule="exact"/>
              <w:rPr>
                <w:sz w:val="20"/>
                <w:szCs w:val="20"/>
                <w:color w:val="auto"/>
              </w:rPr>
            </w:pPr>
            <w:r>
              <w:rPr>
                <w:rFonts w:ascii="Arial" w:cs="Arial" w:eastAsia="Arial" w:hAnsi="Arial"/>
                <w:sz w:val="11"/>
                <w:szCs w:val="11"/>
                <w:color w:val="auto"/>
              </w:rPr>
              <w:t>ASHC(3)</w:t>
            </w: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115</w:t>
            </w:r>
          </w:p>
        </w:tc>
        <w:tc>
          <w:tcPr>
            <w:tcW w:w="92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35</w:t>
            </w:r>
          </w:p>
        </w:tc>
        <w:tc>
          <w:tcPr>
            <w:tcW w:w="24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18</w:t>
            </w:r>
          </w:p>
        </w:tc>
        <w:tc>
          <w:tcPr>
            <w:tcW w:w="1160" w:type="dxa"/>
            <w:vAlign w:val="bottom"/>
            <w:gridSpan w:val="3"/>
          </w:tcPr>
          <w:p>
            <w:pPr>
              <w:jc w:val="right"/>
              <w:ind w:right="240"/>
              <w:spacing w:after="0" w:line="123" w:lineRule="exact"/>
              <w:rPr>
                <w:sz w:val="20"/>
                <w:szCs w:val="20"/>
                <w:color w:val="auto"/>
              </w:rPr>
            </w:pPr>
            <w:r>
              <w:rPr>
                <w:rFonts w:ascii="Arial" w:cs="Arial" w:eastAsia="Arial" w:hAnsi="Arial"/>
                <w:sz w:val="11"/>
                <w:szCs w:val="11"/>
                <w:color w:val="auto"/>
              </w:rPr>
              <w:t>6</w:t>
            </w:r>
          </w:p>
        </w:tc>
        <w:tc>
          <w:tcPr>
            <w:tcW w:w="88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148</w:t>
            </w:r>
          </w:p>
        </w:tc>
        <w:tc>
          <w:tcPr>
            <w:tcW w:w="2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45</w:t>
            </w:r>
          </w:p>
        </w:tc>
        <w:tc>
          <w:tcPr>
            <w:tcW w:w="220" w:type="dxa"/>
            <w:vAlign w:val="bottom"/>
          </w:tcPr>
          <w:p>
            <w:pPr>
              <w:spacing w:after="0"/>
              <w:rPr>
                <w:sz w:val="10"/>
                <w:szCs w:val="10"/>
                <w:color w:val="auto"/>
              </w:rPr>
            </w:pPr>
          </w:p>
        </w:tc>
        <w:tc>
          <w:tcPr>
            <w:tcW w:w="88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129</w:t>
            </w:r>
          </w:p>
        </w:tc>
        <w:tc>
          <w:tcPr>
            <w:tcW w:w="40" w:type="dxa"/>
            <w:vAlign w:val="bottom"/>
          </w:tcPr>
          <w:p>
            <w:pPr>
              <w:spacing w:after="0"/>
              <w:rPr>
                <w:sz w:val="10"/>
                <w:szCs w:val="10"/>
                <w:color w:val="auto"/>
              </w:rPr>
            </w:pPr>
          </w:p>
        </w:tc>
        <w:tc>
          <w:tcPr>
            <w:tcW w:w="86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39</w:t>
            </w:r>
          </w:p>
        </w:tc>
        <w:tc>
          <w:tcPr>
            <w:tcW w:w="88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407</w:t>
            </w:r>
          </w:p>
        </w:tc>
        <w:tc>
          <w:tcPr>
            <w:tcW w:w="20" w:type="dxa"/>
            <w:vAlign w:val="bottom"/>
          </w:tcPr>
          <w:p>
            <w:pPr>
              <w:spacing w:after="0"/>
              <w:rPr>
                <w:sz w:val="10"/>
                <w:szCs w:val="10"/>
                <w:color w:val="auto"/>
              </w:rPr>
            </w:pPr>
          </w:p>
        </w:tc>
        <w:tc>
          <w:tcPr>
            <w:tcW w:w="66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123</w:t>
            </w:r>
          </w:p>
        </w:tc>
        <w:tc>
          <w:tcPr>
            <w:tcW w:w="80" w:type="dxa"/>
            <w:vAlign w:val="bottom"/>
          </w:tcPr>
          <w:p>
            <w:pPr>
              <w:spacing w:after="0"/>
              <w:rPr>
                <w:sz w:val="10"/>
                <w:szCs w:val="10"/>
                <w:color w:val="auto"/>
              </w:rPr>
            </w:pPr>
          </w:p>
        </w:tc>
      </w:tr>
      <w:tr>
        <w:trPr>
          <w:trHeight w:val="135"/>
        </w:trPr>
        <w:tc>
          <w:tcPr>
            <w:tcW w:w="2380" w:type="dxa"/>
            <w:vAlign w:val="bottom"/>
            <w:shd w:val="clear" w:color="auto" w:fill="CCEEFF"/>
          </w:tcPr>
          <w:p>
            <w:pPr>
              <w:spacing w:after="0"/>
              <w:rPr>
                <w:sz w:val="20"/>
                <w:szCs w:val="20"/>
                <w:color w:val="auto"/>
              </w:rPr>
            </w:pPr>
            <w:r>
              <w:rPr>
                <w:rFonts w:ascii="Arial" w:cs="Arial" w:eastAsia="Arial" w:hAnsi="Arial"/>
                <w:sz w:val="11"/>
                <w:szCs w:val="11"/>
                <w:color w:val="auto"/>
              </w:rPr>
              <w:t>Others(4)</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11</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23</w:t>
            </w:r>
          </w:p>
        </w:tc>
        <w:tc>
          <w:tcPr>
            <w:tcW w:w="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24</w:t>
            </w:r>
          </w:p>
        </w:tc>
        <w:tc>
          <w:tcPr>
            <w:tcW w:w="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1"/>
                <w:szCs w:val="11"/>
                <w:color w:val="auto"/>
              </w:rPr>
            </w:pPr>
          </w:p>
        </w:tc>
      </w:tr>
      <w:tr>
        <w:trPr>
          <w:trHeight w:val="127"/>
        </w:trPr>
        <w:tc>
          <w:tcPr>
            <w:tcW w:w="238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694</w:t>
            </w:r>
          </w:p>
        </w:tc>
        <w:tc>
          <w:tcPr>
            <w:tcW w:w="2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209</w:t>
            </w:r>
          </w:p>
        </w:tc>
        <w:tc>
          <w:tcPr>
            <w:tcW w:w="2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1,455</w:t>
            </w:r>
          </w:p>
        </w:tc>
        <w:tc>
          <w:tcPr>
            <w:tcW w:w="2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439</w:t>
            </w:r>
          </w:p>
        </w:tc>
        <w:tc>
          <w:tcPr>
            <w:tcW w:w="24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2,146</w:t>
            </w:r>
          </w:p>
        </w:tc>
        <w:tc>
          <w:tcPr>
            <w:tcW w:w="220" w:type="dxa"/>
            <w:vAlign w:val="bottom"/>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648</w:t>
            </w:r>
          </w:p>
        </w:tc>
        <w:tc>
          <w:tcPr>
            <w:tcW w:w="2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2,132</w:t>
            </w:r>
          </w:p>
        </w:tc>
        <w:tc>
          <w:tcPr>
            <w:tcW w:w="220" w:type="dxa"/>
            <w:vAlign w:val="bottom"/>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643</w:t>
            </w:r>
          </w:p>
        </w:tc>
        <w:tc>
          <w:tcPr>
            <w:tcW w:w="2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3,020</w:t>
            </w:r>
          </w:p>
        </w:tc>
        <w:tc>
          <w:tcPr>
            <w:tcW w:w="220" w:type="dxa"/>
            <w:vAlign w:val="bottom"/>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911</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0"/>
        </w:trPr>
        <w:tc>
          <w:tcPr>
            <w:tcW w:w="2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42748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27480" cy="7620"/>
                    </a:xfrm>
                    <a:prstGeom prst="rect">
                      <a:avLst/>
                    </a:prstGeom>
                    <a:noFill/>
                  </pic:spPr>
                </pic:pic>
              </a:graphicData>
            </a:graphic>
          </wp:anchor>
        </w:drawing>
      </w:r>
    </w:p>
    <w:p>
      <w:pPr>
        <w:spacing w:after="0" w:line="200" w:lineRule="exact"/>
        <w:rPr>
          <w:sz w:val="20"/>
          <w:szCs w:val="20"/>
          <w:color w:val="auto"/>
        </w:rPr>
      </w:pPr>
    </w:p>
    <w:p>
      <w:pPr>
        <w:ind w:left="2"/>
        <w:spacing w:after="0"/>
        <w:rPr>
          <w:sz w:val="20"/>
          <w:szCs w:val="20"/>
          <w:color w:val="auto"/>
        </w:rPr>
      </w:pPr>
      <w:r>
        <w:rPr>
          <w:rFonts w:ascii="Arial" w:cs="Arial" w:eastAsia="Arial" w:hAnsi="Arial"/>
          <w:sz w:val="11"/>
          <w:szCs w:val="11"/>
          <w:color w:val="auto"/>
        </w:rPr>
        <w:t>Source: Credicorp and Grupo Credito Separate Financial Statements as of Years ended December 31, 2019 and 2018.</w:t>
      </w:r>
    </w:p>
    <w:p>
      <w:pPr>
        <w:spacing w:after="0" w:line="193" w:lineRule="exact"/>
        <w:rPr>
          <w:sz w:val="20"/>
          <w:szCs w:val="20"/>
          <w:color w:val="auto"/>
        </w:rPr>
      </w:pPr>
    </w:p>
    <w:p>
      <w:pPr>
        <w:ind w:left="302" w:right="140" w:hanging="302"/>
        <w:spacing w:after="0" w:line="270" w:lineRule="auto"/>
        <w:tabs>
          <w:tab w:leader="none" w:pos="302" w:val="left"/>
        </w:tabs>
        <w:numPr>
          <w:ilvl w:val="0"/>
          <w:numId w:val="122"/>
        </w:numPr>
        <w:rPr>
          <w:rFonts w:ascii="Arial" w:cs="Arial" w:eastAsia="Arial" w:hAnsi="Arial"/>
          <w:sz w:val="11"/>
          <w:szCs w:val="11"/>
          <w:color w:val="auto"/>
        </w:rPr>
      </w:pPr>
      <w:r>
        <w:rPr>
          <w:rFonts w:ascii="Arial" w:cs="Arial" w:eastAsia="Arial" w:hAnsi="Arial"/>
          <w:sz w:val="11"/>
          <w:szCs w:val="11"/>
          <w:color w:val="auto"/>
        </w:rPr>
        <w:t>For the convenience of the reader, data as of and for the period ended December 31, 2015, 2016, 2017, 2018 and 2019 have been translated from Soles into U.S. dollars at a rate of S/3.314 to U.S.$1.00 (the exchange rate as of December 31, 2019 as published by the SBS).</w:t>
      </w:r>
    </w:p>
    <w:p>
      <w:pPr>
        <w:spacing w:after="0" w:line="157" w:lineRule="exact"/>
        <w:rPr>
          <w:rFonts w:ascii="Arial" w:cs="Arial" w:eastAsia="Arial" w:hAnsi="Arial"/>
          <w:sz w:val="11"/>
          <w:szCs w:val="11"/>
          <w:color w:val="auto"/>
        </w:rPr>
      </w:pPr>
    </w:p>
    <w:p>
      <w:pPr>
        <w:ind w:left="302" w:hanging="302"/>
        <w:spacing w:after="0"/>
        <w:tabs>
          <w:tab w:leader="none" w:pos="302" w:val="left"/>
        </w:tabs>
        <w:numPr>
          <w:ilvl w:val="0"/>
          <w:numId w:val="122"/>
        </w:numPr>
        <w:rPr>
          <w:rFonts w:ascii="Arial" w:cs="Arial" w:eastAsia="Arial" w:hAnsi="Arial"/>
          <w:sz w:val="11"/>
          <w:szCs w:val="11"/>
          <w:color w:val="auto"/>
        </w:rPr>
      </w:pPr>
      <w:r>
        <w:rPr>
          <w:rFonts w:ascii="Arial" w:cs="Arial" w:eastAsia="Arial" w:hAnsi="Arial"/>
          <w:sz w:val="11"/>
          <w:szCs w:val="11"/>
          <w:color w:val="auto"/>
        </w:rPr>
        <w:t>Includes dividends received from BCP’s majority participation in Mibanco.</w:t>
      </w:r>
    </w:p>
    <w:p>
      <w:pPr>
        <w:spacing w:after="0" w:line="192" w:lineRule="exact"/>
        <w:rPr>
          <w:rFonts w:ascii="Arial" w:cs="Arial" w:eastAsia="Arial" w:hAnsi="Arial"/>
          <w:sz w:val="11"/>
          <w:szCs w:val="11"/>
          <w:color w:val="auto"/>
        </w:rPr>
      </w:pPr>
    </w:p>
    <w:p>
      <w:pPr>
        <w:ind w:left="302" w:hanging="302"/>
        <w:spacing w:after="0"/>
        <w:tabs>
          <w:tab w:leader="none" w:pos="302" w:val="left"/>
        </w:tabs>
        <w:numPr>
          <w:ilvl w:val="0"/>
          <w:numId w:val="122"/>
        </w:numPr>
        <w:rPr>
          <w:rFonts w:ascii="Arial" w:cs="Arial" w:eastAsia="Arial" w:hAnsi="Arial"/>
          <w:sz w:val="11"/>
          <w:szCs w:val="11"/>
          <w:color w:val="auto"/>
        </w:rPr>
      </w:pPr>
      <w:r>
        <w:rPr>
          <w:rFonts w:ascii="Arial" w:cs="Arial" w:eastAsia="Arial" w:hAnsi="Arial"/>
          <w:sz w:val="11"/>
          <w:szCs w:val="11"/>
          <w:color w:val="auto"/>
        </w:rPr>
        <w:t>Dividends received from Treasury Shares held by ASHC are not included.</w:t>
      </w:r>
    </w:p>
    <w:p>
      <w:pPr>
        <w:spacing w:after="0" w:line="192" w:lineRule="exact"/>
        <w:rPr>
          <w:rFonts w:ascii="Arial" w:cs="Arial" w:eastAsia="Arial" w:hAnsi="Arial"/>
          <w:sz w:val="11"/>
          <w:szCs w:val="11"/>
          <w:color w:val="auto"/>
        </w:rPr>
      </w:pPr>
    </w:p>
    <w:p>
      <w:pPr>
        <w:ind w:left="302" w:hanging="302"/>
        <w:spacing w:after="0"/>
        <w:tabs>
          <w:tab w:leader="none" w:pos="302" w:val="left"/>
        </w:tabs>
        <w:numPr>
          <w:ilvl w:val="0"/>
          <w:numId w:val="122"/>
        </w:numPr>
        <w:rPr>
          <w:rFonts w:ascii="Arial" w:cs="Arial" w:eastAsia="Arial" w:hAnsi="Arial"/>
          <w:sz w:val="11"/>
          <w:szCs w:val="11"/>
          <w:color w:val="auto"/>
        </w:rPr>
      </w:pPr>
      <w:r>
        <w:rPr>
          <w:rFonts w:ascii="Arial" w:cs="Arial" w:eastAsia="Arial" w:hAnsi="Arial"/>
          <w:sz w:val="11"/>
          <w:szCs w:val="11"/>
          <w:color w:val="auto"/>
        </w:rPr>
        <w:t>Includes direct dividends from Mibanco.</w:t>
      </w:r>
    </w:p>
    <w:p>
      <w:pPr>
        <w:spacing w:after="0" w:line="39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24" w:right="3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color w:val="auto"/>
        </w:rPr>
        <w:t>Our Operations</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Universal Banking</w:t>
      </w:r>
    </w:p>
    <w:p>
      <w:pPr>
        <w:spacing w:after="0" w:line="209" w:lineRule="exact"/>
        <w:rPr>
          <w:sz w:val="20"/>
          <w:szCs w:val="20"/>
          <w:color w:val="auto"/>
        </w:rPr>
      </w:pPr>
    </w:p>
    <w:p>
      <w:pPr>
        <w:ind w:right="300" w:firstLine="295"/>
        <w:spacing w:after="0" w:line="264" w:lineRule="auto"/>
        <w:rPr>
          <w:sz w:val="20"/>
          <w:szCs w:val="20"/>
          <w:color w:val="auto"/>
        </w:rPr>
      </w:pPr>
      <w:r>
        <w:rPr>
          <w:rFonts w:ascii="Arial" w:cs="Arial" w:eastAsia="Arial" w:hAnsi="Arial"/>
          <w:sz w:val="16"/>
          <w:szCs w:val="16"/>
          <w:color w:val="auto"/>
        </w:rPr>
        <w:t>Our universal banking business, which focuses on lending and investment, is organized into (i) wholesale banking activities, including our corporate and middle-market banking business segments, which are carried out by BCP Stand-alone’s Wholesale Banking Group (“WBG”); (ii) retail banking activities, including our SME-Business, SME-Pyme, mortgage, consumer financing, credit card segments, which are carried out by BCP Stand-alone’s Retail Banking Group (“RBG”); (iii) treasury activities, including money market trades, foreign exchange trading, derivatives and proprietary trading which are carried out by BCP Stand-alone’s Treasury; and (v) wholesale and retail banking activities in Bolivia.</w:t>
      </w:r>
    </w:p>
    <w:p>
      <w:pPr>
        <w:spacing w:after="0" w:line="167" w:lineRule="exact"/>
        <w:rPr>
          <w:sz w:val="20"/>
          <w:szCs w:val="20"/>
          <w:color w:val="auto"/>
        </w:rPr>
      </w:pPr>
    </w:p>
    <w:p>
      <w:pPr>
        <w:ind w:right="180" w:firstLine="295"/>
        <w:spacing w:after="0" w:line="271" w:lineRule="auto"/>
        <w:rPr>
          <w:sz w:val="20"/>
          <w:szCs w:val="20"/>
          <w:color w:val="auto"/>
        </w:rPr>
      </w:pPr>
      <w:r>
        <w:rPr>
          <w:rFonts w:ascii="Arial" w:cs="Arial" w:eastAsia="Arial" w:hAnsi="Arial"/>
          <w:sz w:val="16"/>
          <w:szCs w:val="16"/>
          <w:color w:val="auto"/>
        </w:rPr>
        <w:t>The majority of our banking business is carried out through BCP Stand-alone. We conduct banking activities in Bolivia through BCP Bolivia, a full-service commercial bank. As of March 31, 2020, BCP Stand-alone and BCP Bolivia together represented approximately 80.9% of Credicorp’s total assets, 71.8% of Credicorp’s net profit, and 73.1% of equity attributable to Credicorp’s shareholders.</w:t>
      </w:r>
    </w:p>
    <w:p>
      <w:pPr>
        <w:spacing w:after="0" w:line="163" w:lineRule="exact"/>
        <w:rPr>
          <w:sz w:val="20"/>
          <w:szCs w:val="20"/>
          <w:color w:val="auto"/>
        </w:rPr>
      </w:pPr>
    </w:p>
    <w:p>
      <w:pPr>
        <w:jc w:val="both"/>
        <w:ind w:right="220" w:firstLine="295"/>
        <w:spacing w:after="0" w:line="271" w:lineRule="auto"/>
        <w:rPr>
          <w:sz w:val="20"/>
          <w:szCs w:val="20"/>
          <w:color w:val="auto"/>
        </w:rPr>
      </w:pPr>
      <w:r>
        <w:rPr>
          <w:rFonts w:ascii="Arial" w:cs="Arial" w:eastAsia="Arial" w:hAnsi="Arial"/>
          <w:sz w:val="16"/>
          <w:szCs w:val="16"/>
          <w:color w:val="auto"/>
        </w:rPr>
        <w:t>We apply uniform credit policies and approval and review procedures, which are based on conservative criteria adopted by BCP Stand-alone and BCP Bolivia. Our Chief Executive Officer is in charge of setting the general credit policies for each business areas. These policies are set within the guidelines established by the laws and regulations of the markets in which we operate, and the guidelines set forth by our Board of Directors.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Microfinance</w:t>
      </w:r>
    </w:p>
    <w:p>
      <w:pPr>
        <w:spacing w:after="0" w:line="209" w:lineRule="exact"/>
        <w:rPr>
          <w:sz w:val="20"/>
          <w:szCs w:val="20"/>
          <w:color w:val="auto"/>
        </w:rPr>
      </w:pPr>
    </w:p>
    <w:p>
      <w:pPr>
        <w:ind w:right="60" w:firstLine="295"/>
        <w:spacing w:after="0" w:line="266" w:lineRule="auto"/>
        <w:rPr>
          <w:sz w:val="20"/>
          <w:szCs w:val="20"/>
          <w:color w:val="auto"/>
        </w:rPr>
      </w:pPr>
      <w:r>
        <w:rPr>
          <w:rFonts w:ascii="Arial" w:cs="Arial" w:eastAsia="Arial" w:hAnsi="Arial"/>
          <w:sz w:val="16"/>
          <w:szCs w:val="16"/>
          <w:color w:val="auto"/>
        </w:rPr>
        <w:t>The microfinance line of business consists of a group of subsidiaries offering commercial banking activities and specialized financial services to support small and micro business clients in Peru through Mibanco and in Colombia through Edyficar S.A.S. (whose commercial name is Encumbra), incorporated in 2013 and Bancompartir incorporated in December 2019. As of March 31, 2020, Mibanco represented approximately 93.4% of the total loans of the microfinance line of business, 6.7% of Credicorp’s total assets, 15.9% of Credicorp’s net profit, and 8.9% of equity attributable to Credicorp’s shareholders.</w:t>
      </w:r>
    </w:p>
    <w:p>
      <w:pPr>
        <w:spacing w:after="0" w:line="167" w:lineRule="exact"/>
        <w:rPr>
          <w:sz w:val="20"/>
          <w:szCs w:val="20"/>
          <w:color w:val="auto"/>
        </w:rPr>
      </w:pPr>
    </w:p>
    <w:p>
      <w:pPr>
        <w:ind w:firstLine="295"/>
        <w:spacing w:after="0" w:line="287" w:lineRule="auto"/>
        <w:rPr>
          <w:sz w:val="20"/>
          <w:szCs w:val="20"/>
          <w:color w:val="auto"/>
        </w:rPr>
      </w:pPr>
      <w:r>
        <w:rPr>
          <w:rFonts w:ascii="Arial" w:cs="Arial" w:eastAsia="Arial" w:hAnsi="Arial"/>
          <w:sz w:val="16"/>
          <w:szCs w:val="16"/>
          <w:color w:val="auto"/>
        </w:rPr>
        <w:t>Mibanco’s credit policies are set within the guidelines established by the laws and regulations of the markets in which we operate and by the guidelines set forth by the Board of Directors.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Insurance and Pensions</w:t>
      </w:r>
    </w:p>
    <w:p>
      <w:pPr>
        <w:spacing w:after="0" w:line="209" w:lineRule="exact"/>
        <w:rPr>
          <w:sz w:val="20"/>
          <w:szCs w:val="20"/>
          <w:color w:val="auto"/>
        </w:rPr>
      </w:pPr>
    </w:p>
    <w:p>
      <w:pPr>
        <w:ind w:right="180" w:firstLine="295"/>
        <w:spacing w:after="0" w:line="264" w:lineRule="auto"/>
        <w:rPr>
          <w:sz w:val="20"/>
          <w:szCs w:val="20"/>
          <w:color w:val="auto"/>
        </w:rPr>
      </w:pPr>
      <w:r>
        <w:rPr>
          <w:rFonts w:ascii="Arial" w:cs="Arial" w:eastAsia="Arial" w:hAnsi="Arial"/>
          <w:sz w:val="16"/>
          <w:szCs w:val="16"/>
          <w:color w:val="auto"/>
        </w:rPr>
        <w:t>We conduct our insurance business exclusively through Grupo Pacifico, which operates in Peru and Bolivia and is the largest Peruvian insurance company by collections and contributions in 2019, according to the SBS and the Peruvian Superintendency of Health (</w:t>
      </w:r>
      <w:r>
        <w:rPr>
          <w:rFonts w:ascii="Arial" w:cs="Arial" w:eastAsia="Arial" w:hAnsi="Arial"/>
          <w:sz w:val="16"/>
          <w:szCs w:val="16"/>
          <w:i w:val="1"/>
          <w:iCs w:val="1"/>
          <w:color w:val="auto"/>
        </w:rPr>
        <w:t>Superintendencia Nacional de Salud</w:t>
      </w:r>
      <w:r>
        <w:rPr>
          <w:rFonts w:ascii="Arial" w:cs="Arial" w:eastAsia="Arial" w:hAnsi="Arial"/>
          <w:sz w:val="16"/>
          <w:szCs w:val="16"/>
          <w:color w:val="auto"/>
        </w:rPr>
        <w:t xml:space="preserve">) (“Susalud”). Grupo Pacifico provides a broad range of insurance products focusing on three business areas: property and casualty (“P&amp;C)”, life insurance business, and corporate health insurance and medical services. Grupo Pacifico, like other major Peruvian insurance companies, sells its products both directly (through its own sales force) and through independent brokers, </w:t>
      </w:r>
      <w:r>
        <w:rPr>
          <w:rFonts w:ascii="Arial" w:cs="Arial" w:eastAsia="Arial" w:hAnsi="Arial"/>
          <w:sz w:val="16"/>
          <w:szCs w:val="16"/>
          <w:i w:val="1"/>
          <w:iCs w:val="1"/>
          <w:color w:val="auto"/>
        </w:rPr>
        <w:t>bancassurance</w:t>
      </w:r>
      <w:r>
        <w:rPr>
          <w:rFonts w:ascii="Arial" w:cs="Arial" w:eastAsia="Arial" w:hAnsi="Arial"/>
          <w:sz w:val="16"/>
          <w:szCs w:val="16"/>
          <w:color w:val="auto"/>
        </w:rPr>
        <w:t>, and sponsors.</w:t>
      </w:r>
    </w:p>
    <w:p>
      <w:pPr>
        <w:spacing w:after="0" w:line="167" w:lineRule="exact"/>
        <w:rPr>
          <w:sz w:val="20"/>
          <w:szCs w:val="20"/>
          <w:color w:val="auto"/>
        </w:rPr>
      </w:pPr>
    </w:p>
    <w:p>
      <w:pPr>
        <w:ind w:firstLine="295"/>
        <w:spacing w:after="0" w:line="264" w:lineRule="auto"/>
        <w:rPr>
          <w:sz w:val="20"/>
          <w:szCs w:val="20"/>
          <w:color w:val="auto"/>
        </w:rPr>
      </w:pPr>
      <w:r>
        <w:rPr>
          <w:rFonts w:ascii="Arial" w:cs="Arial" w:eastAsia="Arial" w:hAnsi="Arial"/>
          <w:sz w:val="16"/>
          <w:szCs w:val="16"/>
          <w:color w:val="auto"/>
        </w:rPr>
        <w:t>Credicorp conducts its pension fund business through Prima AFP, which operates through individual capitalization accounts and provides its affiliates with retirement, disability, survival, and burial benefits. For this purpose, Prima AFP collects affiliates’ mandatory and voluntary contributions, and invests the funds in local and foreign financial markets. The funds that Prima AFP holds in custody for its affiliates are non-attachable by it and autonomous assets and are not affected by Prima AFP’s financial results. Prima AFP offers four types of funds, which differ by risk profile and the asset classes in which they invest. The investment and risk management policies are defined by internal committees and supervised by the SBS and the SMV.</w:t>
      </w:r>
    </w:p>
    <w:p>
      <w:pPr>
        <w:spacing w:after="0" w:line="167" w:lineRule="exact"/>
        <w:rPr>
          <w:sz w:val="20"/>
          <w:szCs w:val="20"/>
          <w:color w:val="auto"/>
        </w:rPr>
      </w:pPr>
    </w:p>
    <w:p>
      <w:pPr>
        <w:ind w:right="40" w:firstLine="295"/>
        <w:spacing w:after="0" w:line="287" w:lineRule="auto"/>
        <w:rPr>
          <w:sz w:val="20"/>
          <w:szCs w:val="20"/>
          <w:color w:val="auto"/>
        </w:rPr>
      </w:pPr>
      <w:r>
        <w:rPr>
          <w:rFonts w:ascii="Arial" w:cs="Arial" w:eastAsia="Arial" w:hAnsi="Arial"/>
          <w:sz w:val="16"/>
          <w:szCs w:val="16"/>
          <w:color w:val="auto"/>
        </w:rPr>
        <w:t>As of March 31, 2020, Grupo Pacifico represented approximately 6.9% of Credicorp’s total assets, 46.9% of Credicorp’s net profit, and 11.5% of equity attributable to Credicorp’s shareholders.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4" w:name="page115"/>
    <w:bookmarkEnd w:id="114"/>
    <w:p>
      <w:pPr>
        <w:ind w:left="160"/>
        <w:spacing w:after="0"/>
        <w:rPr>
          <w:sz w:val="20"/>
          <w:szCs w:val="20"/>
          <w:color w:val="auto"/>
        </w:rPr>
      </w:pPr>
      <w:r>
        <w:rPr>
          <w:rFonts w:ascii="Arial" w:cs="Arial" w:eastAsia="Arial" w:hAnsi="Arial"/>
          <w:sz w:val="16"/>
          <w:szCs w:val="16"/>
          <w:b w:val="1"/>
          <w:bCs w:val="1"/>
          <w:i w:val="1"/>
          <w:iCs w:val="1"/>
          <w:color w:val="auto"/>
        </w:rPr>
        <w:t>Investment Banking and Wealth Management</w:t>
      </w:r>
    </w:p>
    <w:p>
      <w:pPr>
        <w:spacing w:after="0" w:line="209" w:lineRule="exact"/>
        <w:rPr>
          <w:sz w:val="20"/>
          <w:szCs w:val="20"/>
          <w:color w:val="auto"/>
        </w:rPr>
      </w:pPr>
    </w:p>
    <w:p>
      <w:pPr>
        <w:ind w:firstLine="295"/>
        <w:spacing w:after="0" w:line="260" w:lineRule="auto"/>
        <w:rPr>
          <w:sz w:val="20"/>
          <w:szCs w:val="20"/>
          <w:color w:val="auto"/>
        </w:rPr>
      </w:pPr>
      <w:r>
        <w:rPr>
          <w:rFonts w:ascii="Arial" w:cs="Arial" w:eastAsia="Arial" w:hAnsi="Arial"/>
          <w:sz w:val="16"/>
          <w:szCs w:val="16"/>
          <w:color w:val="auto"/>
        </w:rPr>
        <w:t>Credicorp Capital carries out its investment banking and wealth management operations in the Latin America region through Credicorp Capital Peru, Credicorp Capital Colombia, and Credicorp Capital Chile which hold a considerable market share in the Peruvian, Colombian and Chilean markets, respectively. In 2018, the creation of the Investment banking and wealth management Line of business included the addition of BCP Stand-alone’s Wealth Management Division and Atlantic Security Bank to Credicorp Capital. The main objective of this new Line of business is to operate as a single regional wealth management model within one business unit, instead of three different models under different business units. This new structure facilitates sharing of best practices and delivery of a regional value proposition, with Atlantic Security Bank supporting all wealth management business units and clients (instead of focusing on Peru-based wealth management customers). With the same objective, in 2019, Credicorp Capital completed the acquisition of Ultraserfinco and its subsidiaries expanding our wealth management business in Colombia and also strengthening our geographical presence in Medellin.</w:t>
      </w:r>
    </w:p>
    <w:p>
      <w:pPr>
        <w:spacing w:after="0" w:line="174" w:lineRule="exact"/>
        <w:rPr>
          <w:sz w:val="20"/>
          <w:szCs w:val="20"/>
          <w:color w:val="auto"/>
        </w:rPr>
      </w:pPr>
    </w:p>
    <w:p>
      <w:pPr>
        <w:ind w:right="400" w:firstLine="295"/>
        <w:spacing w:after="0" w:line="287" w:lineRule="auto"/>
        <w:rPr>
          <w:sz w:val="20"/>
          <w:szCs w:val="20"/>
          <w:color w:val="auto"/>
        </w:rPr>
      </w:pPr>
      <w:r>
        <w:rPr>
          <w:rFonts w:ascii="Arial" w:cs="Arial" w:eastAsia="Arial" w:hAnsi="Arial"/>
          <w:sz w:val="16"/>
          <w:szCs w:val="16"/>
          <w:color w:val="auto"/>
        </w:rPr>
        <w:t>Our investment banking and wealth management line of business’s four main business units are asset management, capital markets, corporate finance and wealth management.</w:t>
      </w:r>
    </w:p>
    <w:p>
      <w:pPr>
        <w:spacing w:after="0" w:line="150" w:lineRule="exact"/>
        <w:rPr>
          <w:sz w:val="20"/>
          <w:szCs w:val="20"/>
          <w:color w:val="auto"/>
        </w:rPr>
      </w:pPr>
    </w:p>
    <w:p>
      <w:pPr>
        <w:ind w:right="100" w:firstLine="295"/>
        <w:spacing w:after="0" w:line="287" w:lineRule="auto"/>
        <w:rPr>
          <w:sz w:val="20"/>
          <w:szCs w:val="20"/>
          <w:color w:val="auto"/>
        </w:rPr>
      </w:pPr>
      <w:r>
        <w:rPr>
          <w:rFonts w:ascii="Arial" w:cs="Arial" w:eastAsia="Arial" w:hAnsi="Arial"/>
          <w:sz w:val="16"/>
          <w:szCs w:val="16"/>
          <w:color w:val="auto"/>
        </w:rPr>
        <w:t>As of March 31, 2020, our investment banking and wealth management business represented approximately 5.4% of Credicorp’s total assets, 1.9% of Credicorp’s net profit, and 5.4% of equity attributable to Credicorp’s shareholders.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Strategies</w:t>
      </w:r>
    </w:p>
    <w:p>
      <w:pPr>
        <w:spacing w:after="0" w:line="213" w:lineRule="exact"/>
        <w:rPr>
          <w:sz w:val="20"/>
          <w:szCs w:val="20"/>
          <w:color w:val="auto"/>
        </w:rPr>
      </w:pPr>
    </w:p>
    <w:p>
      <w:pPr>
        <w:ind w:right="100" w:firstLine="295"/>
        <w:spacing w:after="0" w:line="264" w:lineRule="auto"/>
        <w:rPr>
          <w:sz w:val="20"/>
          <w:szCs w:val="20"/>
          <w:color w:val="auto"/>
        </w:rPr>
      </w:pPr>
      <w:r>
        <w:rPr>
          <w:rFonts w:ascii="Arial" w:cs="Arial" w:eastAsia="Arial" w:hAnsi="Arial"/>
          <w:sz w:val="16"/>
          <w:szCs w:val="16"/>
          <w:color w:val="auto"/>
        </w:rPr>
        <w:t>Credicorp operates mainly in Peru, an important emerging market economy that has been growing at a solid pace for the past few decades, with a gross domestic product (“GDP”) of U.S.$230 billion in 2019, according to the figures of BCRP, that has grown at a compound annual growth rate (“CAGR”) of 8.3% from 2001 to 2019, and which still has an under-penetrated banking system. These two characteristics represent an important opportunity for long-term growth in Peru. Credicorp has consistently diversified and solidified its presence in the region through its operations in Peru, Bolivia, Colombia and Chile, contributing to its financial development and accompanying its clients in their growth.</w:t>
      </w:r>
    </w:p>
    <w:p>
      <w:pPr>
        <w:spacing w:after="0" w:line="167" w:lineRule="exact"/>
        <w:rPr>
          <w:sz w:val="20"/>
          <w:szCs w:val="20"/>
          <w:color w:val="auto"/>
        </w:rPr>
      </w:pPr>
    </w:p>
    <w:p>
      <w:pPr>
        <w:ind w:right="320" w:firstLine="295"/>
        <w:spacing w:after="0" w:line="271" w:lineRule="auto"/>
        <w:rPr>
          <w:sz w:val="20"/>
          <w:szCs w:val="20"/>
          <w:color w:val="auto"/>
        </w:rPr>
      </w:pPr>
      <w:r>
        <w:rPr>
          <w:rFonts w:ascii="Arial" w:cs="Arial" w:eastAsia="Arial" w:hAnsi="Arial"/>
          <w:sz w:val="16"/>
          <w:szCs w:val="16"/>
          <w:color w:val="auto"/>
        </w:rPr>
        <w:t>Since Credicorp was created nearly 25 years ago, it has evolved into a much larger and complex company. In 2018, the management of the several businesses was organized into the four lines of business: universal banking, microfinance, insurance and pensions, and investment banking and wealth management. Our strategies include:</w:t>
      </w:r>
    </w:p>
    <w:p>
      <w:pPr>
        <w:spacing w:after="0" w:line="163" w:lineRule="exact"/>
        <w:rPr>
          <w:sz w:val="20"/>
          <w:szCs w:val="20"/>
          <w:color w:val="auto"/>
        </w:rPr>
      </w:pPr>
    </w:p>
    <w:p>
      <w:pPr>
        <w:ind w:left="580" w:right="80" w:hanging="287"/>
        <w:spacing w:after="0" w:line="266" w:lineRule="auto"/>
        <w:tabs>
          <w:tab w:leader="none" w:pos="580" w:val="left"/>
        </w:tabs>
        <w:numPr>
          <w:ilvl w:val="0"/>
          <w:numId w:val="1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Universal Banking. </w:t>
      </w:r>
      <w:r>
        <w:rPr>
          <w:rFonts w:ascii="Arial" w:cs="Arial" w:eastAsia="Arial" w:hAnsi="Arial"/>
          <w:sz w:val="16"/>
          <w:szCs w:val="16"/>
          <w:color w:val="auto"/>
        </w:rPr>
        <w:t>The universal banking line of business continues with its strategy to improve its clients’ experiences in all segments by upgrading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innovating digital banking, which implies, in many cases, educating and accompanying clients in the use of digital channels. In 2019, we continued to advance in our transformation strategy by improving our digital sales and customer satisfaction. This line of business aims to maintain an adequate balance between risk, growth, profitability and operating efficiency.</w:t>
      </w:r>
    </w:p>
    <w:p>
      <w:pPr>
        <w:spacing w:after="0" w:line="166" w:lineRule="exact"/>
        <w:rPr>
          <w:rFonts w:ascii="Arial" w:cs="Arial" w:eastAsia="Arial" w:hAnsi="Arial"/>
          <w:sz w:val="16"/>
          <w:szCs w:val="16"/>
          <w:color w:val="auto"/>
        </w:rPr>
      </w:pPr>
    </w:p>
    <w:p>
      <w:pPr>
        <w:ind w:left="580" w:right="140" w:hanging="287"/>
        <w:spacing w:after="0" w:line="264" w:lineRule="auto"/>
        <w:tabs>
          <w:tab w:leader="none" w:pos="580" w:val="left"/>
        </w:tabs>
        <w:numPr>
          <w:ilvl w:val="0"/>
          <w:numId w:val="1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Microfinance. </w:t>
      </w:r>
      <w:r>
        <w:rPr>
          <w:rFonts w:ascii="Arial" w:cs="Arial" w:eastAsia="Arial" w:hAnsi="Arial"/>
          <w:sz w:val="16"/>
          <w:szCs w:val="16"/>
          <w:color w:val="auto"/>
        </w:rPr>
        <w:t>The microfinance line of business continues to invest in building capacities to fuel local and regional growth based on its current business model.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will be accomplished by focusing on consolidating the new hybrid model and in creating new business alliances to scale the business. It will continue to drive efforts to capture deposits, which in addition to benefitting the funding structure, allows the organization to analyze and take advantage of information to continuously improve its business model and value proposition for its clients. In 2019, we acquired Bancompartir, a subsidiary that will allow us to consolidate our business in the microfinance market in Colombia with Encumbra.</w:t>
      </w:r>
    </w:p>
    <w:p>
      <w:pPr>
        <w:spacing w:after="0" w:line="167" w:lineRule="exact"/>
        <w:rPr>
          <w:rFonts w:ascii="Arial" w:cs="Arial" w:eastAsia="Arial" w:hAnsi="Arial"/>
          <w:sz w:val="16"/>
          <w:szCs w:val="16"/>
          <w:color w:val="auto"/>
        </w:rPr>
      </w:pPr>
    </w:p>
    <w:p>
      <w:pPr>
        <w:ind w:left="580" w:right="20" w:hanging="287"/>
        <w:spacing w:after="0" w:line="283" w:lineRule="auto"/>
        <w:tabs>
          <w:tab w:leader="none" w:pos="580" w:val="left"/>
        </w:tabs>
        <w:numPr>
          <w:ilvl w:val="0"/>
          <w:numId w:val="12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Insurance and Pensions. </w:t>
      </w:r>
      <w:r>
        <w:rPr>
          <w:rFonts w:ascii="Arial" w:cs="Arial" w:eastAsia="Arial" w:hAnsi="Arial"/>
          <w:sz w:val="15"/>
          <w:szCs w:val="15"/>
          <w:color w:val="auto"/>
        </w:rPr>
        <w:t>The insurance and pensions line of business continues to focus on capturing growth in the Peruvian market, which has one of the lowest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penetration levels in the region. As such, this Line of business will continue to focus on growing in different channels and in bancassurance to take advantage of the group’s synergies. Furthermore, Grupo Pacifico and Prima AFP will leverage the experience in the Centro de InnovaCXion at Banco de Credito del Peru to innovate different channels and products. Furthermore, Grupo Pacifico will focus on improving the profitability of the health insurance business, which is managed alongside the strategic partner, United Health/Banmedica. In 2019, we continued to improve the synergies between various teams from Prima AFP and Pacifico, which will help us reduce our operating expenses and improve our efficiency.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5" w:name="page116"/>
    <w:bookmarkEnd w:id="115"/>
    <w:p>
      <w:pPr>
        <w:ind w:left="580" w:right="60" w:hanging="287"/>
        <w:spacing w:after="0" w:line="266" w:lineRule="auto"/>
        <w:tabs>
          <w:tab w:leader="none" w:pos="580" w:val="left"/>
        </w:tabs>
        <w:numPr>
          <w:ilvl w:val="0"/>
          <w:numId w:val="1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Investment Banking and Wealth Management. </w:t>
      </w:r>
      <w:r>
        <w:rPr>
          <w:rFonts w:ascii="Arial" w:cs="Arial" w:eastAsia="Arial" w:hAnsi="Arial"/>
          <w:sz w:val="16"/>
          <w:szCs w:val="16"/>
          <w:color w:val="auto"/>
        </w:rPr>
        <w:t>The investment banking and wealth management line of business continues to consolidate its position as the best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advisory service in Peru, Chile and Colombia by strengthening the regional offering of asset management and wealth management services to provide clients with a complete vision of all of their assets while increasing the market share in Colombia and Chile. In 2019 we acquired Ultraserfinco, which will increase our presence in Colombia.</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Declaration of dividends</w:t>
      </w:r>
    </w:p>
    <w:p>
      <w:pPr>
        <w:spacing w:after="0" w:line="209" w:lineRule="exact"/>
        <w:rPr>
          <w:sz w:val="20"/>
          <w:szCs w:val="20"/>
          <w:color w:val="auto"/>
        </w:rPr>
      </w:pPr>
    </w:p>
    <w:p>
      <w:pPr>
        <w:ind w:right="120" w:firstLine="295"/>
        <w:spacing w:after="0" w:line="271" w:lineRule="auto"/>
        <w:rPr>
          <w:sz w:val="20"/>
          <w:szCs w:val="20"/>
          <w:color w:val="auto"/>
        </w:rPr>
      </w:pPr>
      <w:r>
        <w:rPr>
          <w:rFonts w:ascii="Arial" w:cs="Arial" w:eastAsia="Arial" w:hAnsi="Arial"/>
          <w:sz w:val="16"/>
          <w:szCs w:val="16"/>
          <w:color w:val="auto"/>
        </w:rPr>
        <w:t>At a meeting held on February 27, 2020, our Board of Directors approved the distribution of a cash dividend of S/2,831,469,510.00, for a total of 94,382,317 outstanding shares, which is equivalent to S/30.00 per share. The cash dividend was paid on May 8, 2020, without withholding tax at source, to shareholders of record on April 13, 2020.</w:t>
      </w:r>
    </w:p>
    <w:p>
      <w:pPr>
        <w:spacing w:after="0" w:line="163" w:lineRule="exact"/>
        <w:rPr>
          <w:sz w:val="20"/>
          <w:szCs w:val="20"/>
          <w:color w:val="auto"/>
        </w:rPr>
      </w:pPr>
    </w:p>
    <w:p>
      <w:pPr>
        <w:ind w:right="260" w:firstLine="295"/>
        <w:spacing w:after="0" w:line="287" w:lineRule="auto"/>
        <w:rPr>
          <w:sz w:val="20"/>
          <w:szCs w:val="20"/>
          <w:color w:val="auto"/>
        </w:rPr>
      </w:pPr>
      <w:r>
        <w:rPr>
          <w:rFonts w:ascii="Arial" w:cs="Arial" w:eastAsia="Arial" w:hAnsi="Arial"/>
          <w:sz w:val="16"/>
          <w:szCs w:val="16"/>
          <w:color w:val="auto"/>
        </w:rPr>
        <w:t>The dividend was paid in U.S. dollars using the weighted exchange rate reported by the SBS for transactions at the close of business on May 6, 2020 (S/3.4081 per U.S. dollar). As a result, the dividend paid per share was U.S.$8.8026, equivalent to the declared dividend of S/30.00 per share.</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Board of Directors</w:t>
      </w:r>
    </w:p>
    <w:p>
      <w:pPr>
        <w:spacing w:after="0" w:line="209" w:lineRule="exact"/>
        <w:rPr>
          <w:sz w:val="20"/>
          <w:szCs w:val="20"/>
          <w:color w:val="auto"/>
        </w:rPr>
      </w:pPr>
    </w:p>
    <w:p>
      <w:pPr>
        <w:ind w:firstLine="295"/>
        <w:spacing w:after="0" w:line="283" w:lineRule="auto"/>
        <w:rPr>
          <w:sz w:val="20"/>
          <w:szCs w:val="20"/>
          <w:color w:val="auto"/>
        </w:rPr>
      </w:pPr>
      <w:r>
        <w:rPr>
          <w:rFonts w:ascii="Arial" w:cs="Arial" w:eastAsia="Arial" w:hAnsi="Arial"/>
          <w:sz w:val="15"/>
          <w:szCs w:val="15"/>
          <w:color w:val="auto"/>
        </w:rPr>
        <w:t>On April 24, 2020, we announced that Dionisio Romero Paoletti, Chairman of the Board of Directors, would not stand for reelection to our Board of Directors. At our Annual General Meeting of Shareholders held on June 5, 2020, the following individuals were re-elected as members of our Board of Directors: Fernando Fort Marie, Patricia Lizarraga Guthertz, Raimundo Morales Dasso and Luis Enrique Romero Belismelis. The following individuals were newly-elected as independent members of our Board of Directors: Mr. Alexandre Gouvea, Ms. Maite Aranzabal Harreguy, Mr. Antonio Abruña Puyol and Mr. Irzio Pinasco Menchelli. The shareholders also decided to increase the number of directors from eight to nine. As per our Bye-laws, after the Annual General Meeting of Shareholders, the new Board of Directors in its first session shall designate the new Chairman and the new composition of committees of the Board of Directors.</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Response to COVID-19</w:t>
      </w:r>
    </w:p>
    <w:p>
      <w:pPr>
        <w:spacing w:after="0" w:line="209" w:lineRule="exact"/>
        <w:rPr>
          <w:sz w:val="20"/>
          <w:szCs w:val="20"/>
          <w:color w:val="auto"/>
        </w:rPr>
      </w:pPr>
    </w:p>
    <w:p>
      <w:pPr>
        <w:ind w:right="20" w:firstLine="295"/>
        <w:spacing w:after="0" w:line="301" w:lineRule="auto"/>
        <w:rPr>
          <w:sz w:val="20"/>
          <w:szCs w:val="20"/>
          <w:color w:val="auto"/>
        </w:rPr>
      </w:pPr>
      <w:r>
        <w:rPr>
          <w:rFonts w:ascii="Arial" w:cs="Arial" w:eastAsia="Arial" w:hAnsi="Arial"/>
          <w:sz w:val="14"/>
          <w:szCs w:val="14"/>
          <w:color w:val="auto"/>
        </w:rPr>
        <w:t>We expect Peru’s GDP to experience a contraction due to the current global spread of COVID-19. The measures implemented to contain the COVID-19 contagion, both locally and abroad, have had disruptive effects on economic activity. Since March 15, 2020, President Vizcarra has taken swift and stringent action to control the COVID-19 pandemic through a countrywide lockdown, initially set for 15 days, which has been extended various times, and is currently in place until June 30, 2020. This has impacted several indicators, such as electricity demand and public investment. Our estimates suggest that the economy is operating at 40%-45% of its capacity during the lockdown. A package of measures to mitigate and stimulate the economy have been implemented for an equivalent of approximately 20% of GDP. These measures are designed to provide economic support for households and companies, access to private savings (pension funds, CTS, etc.) for individuals, injections of liquidity into the economy through Government-backed guarantees via the Reactiva Peru program and FAE program, tax alleviation and public spending measures, as well as other economic stimulus measures yet to be announced. For further detail about the COVID-19 risk related to the economy, please refer to “Item 3.D. Risk Factors—(12) Our business and results of operations could continue to be negatively impacted by the COVID-19 outbreak or other public health crises beyond our control” in our 2019 Form 20-F.</w:t>
      </w:r>
    </w:p>
    <w:p>
      <w:pPr>
        <w:spacing w:after="0" w:line="148" w:lineRule="exact"/>
        <w:rPr>
          <w:sz w:val="20"/>
          <w:szCs w:val="20"/>
          <w:color w:val="auto"/>
        </w:rPr>
      </w:pPr>
    </w:p>
    <w:p>
      <w:pPr>
        <w:ind w:right="20" w:firstLine="295"/>
        <w:spacing w:after="0" w:line="262" w:lineRule="auto"/>
        <w:rPr>
          <w:sz w:val="20"/>
          <w:szCs w:val="20"/>
          <w:color w:val="auto"/>
        </w:rPr>
      </w:pPr>
      <w:r>
        <w:rPr>
          <w:rFonts w:ascii="Arial" w:cs="Arial" w:eastAsia="Arial" w:hAnsi="Arial"/>
          <w:sz w:val="16"/>
          <w:szCs w:val="16"/>
          <w:color w:val="auto"/>
        </w:rPr>
        <w:t>At Credicorp, we are managing the impact of COVID-19 by tailoring responses by asset type and client segments. In terms of our investment portfolio, around 90% is comprised of fixed income investments (U.S. Treasuries, global and sovereign bonds, and Peruvian Certificated Deposits), as such, most value changes do not materially impact our results (as such fixed-income investments continue to provide the same level of payments regardless of market value), but do directly affect our equity because of changes in the value of the portfolio. In terms of our loan portfolio, the most highly exposed economic sectors include retail, vehicle, real estate (residential), poultry, airlines, tourism, microfinance, transportation and restaurants. From a client segmentation perspective, we consider Microfinance clients, SME Retail clients and part of our Wholesale clients to be the most exposed.</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116" w:name="page117"/>
    <w:bookmarkEnd w:id="116"/>
    <w:p>
      <w:pPr>
        <w:ind w:right="20" w:firstLine="295"/>
        <w:spacing w:after="0" w:line="271" w:lineRule="auto"/>
        <w:rPr>
          <w:sz w:val="20"/>
          <w:szCs w:val="20"/>
          <w:color w:val="auto"/>
        </w:rPr>
      </w:pPr>
      <w:r>
        <w:rPr>
          <w:rFonts w:ascii="Arial" w:cs="Arial" w:eastAsia="Arial" w:hAnsi="Arial"/>
          <w:sz w:val="16"/>
          <w:szCs w:val="16"/>
          <w:color w:val="auto"/>
        </w:rPr>
        <w:t>In order to help our clients through these difficult times, Credicorp has offered debt extensions, installment-freezing solutions and cost-free services, as well as zero-interest-rate financings, which, according to IFRS 9, may generate impairments in the short term. As a complementary measure for business clients, we are participating in the “Reactiva Peru” program, where BCP has been awarded a significant share of the amount auctioned.</w:t>
      </w:r>
    </w:p>
    <w:p>
      <w:pPr>
        <w:spacing w:after="0" w:line="163" w:lineRule="exact"/>
        <w:rPr>
          <w:sz w:val="20"/>
          <w:szCs w:val="20"/>
          <w:color w:val="auto"/>
        </w:rPr>
      </w:pPr>
    </w:p>
    <w:p>
      <w:pPr>
        <w:ind w:firstLine="295"/>
        <w:spacing w:after="0" w:line="283" w:lineRule="auto"/>
        <w:rPr>
          <w:sz w:val="20"/>
          <w:szCs w:val="20"/>
          <w:color w:val="auto"/>
        </w:rPr>
      </w:pPr>
      <w:r>
        <w:rPr>
          <w:rFonts w:ascii="Arial" w:cs="Arial" w:eastAsia="Arial" w:hAnsi="Arial"/>
          <w:sz w:val="15"/>
          <w:szCs w:val="15"/>
          <w:color w:val="auto"/>
        </w:rPr>
        <w:t>The drivers that will impact Credicorp’s results throughout 2020 will be the macroeconomic environment, the special interest-free and cost-free solutions offered to clients and a marked decline in business activity during the lockdown, all of which will impact our sources of income. Additionally, the use of IFRS 9 will result in a significantly higher amount of provisions, since we are using judgement and adjusting our approach to determining expected losses in different circumstances, based on reasonable and supportable information. In line with the IFRS 9 methodology, forward looking COVID-19 provisions are estimated based on a macroeconomic perspective. Given that macroeconomic projections continue to worsen significantly, materially higher provisions than those already accounted for could be recorded in the future. Finally, in order to manage expenses, we are taking measures to optimize operating costs and to re-prioritize strategic projects.</w:t>
      </w:r>
    </w:p>
    <w:p>
      <w:pPr>
        <w:spacing w:after="0" w:line="155" w:lineRule="exact"/>
        <w:rPr>
          <w:sz w:val="20"/>
          <w:szCs w:val="20"/>
          <w:color w:val="auto"/>
        </w:rPr>
      </w:pPr>
    </w:p>
    <w:p>
      <w:pPr>
        <w:ind w:right="120" w:firstLine="295"/>
        <w:spacing w:after="0" w:line="262" w:lineRule="auto"/>
        <w:rPr>
          <w:sz w:val="20"/>
          <w:szCs w:val="20"/>
          <w:color w:val="auto"/>
        </w:rPr>
      </w:pPr>
      <w:r>
        <w:rPr>
          <w:rFonts w:ascii="Arial" w:cs="Arial" w:eastAsia="Arial" w:hAnsi="Arial"/>
          <w:sz w:val="16"/>
          <w:szCs w:val="16"/>
          <w:color w:val="auto"/>
        </w:rPr>
        <w:t>In terms of our liquidity and capital management, Credicorp operates through strict risk management standards. For management decisions, Credicorp relies on liquidity coverage ratios of 15, 30 and 60 days, in line with Basel III. In the context of the COVID-19 pandemic, as measured through the first quarter of 2020, Credicorp has maintained its high quality liquid assets. As of the first quarter of 2020, each subsidiary maintains capital levels well above statutory requirements. In addition, Credicorp reduced dividends from all subsidiaries to strengthen the capital base of its operating units. For more detail about liquidity and regulatory capital, please see “Item 5. Operating and Financial Review and Prospects—5.B. Liquidity and Capital Resources” in our 2019 Form 20-F and “Management’s Discussion and Analysis of Financial Condition and Results of Operations—Liquidity and Capital Resources.”</w:t>
      </w:r>
    </w:p>
    <w:p>
      <w:pPr>
        <w:spacing w:after="0" w:line="171" w:lineRule="exact"/>
        <w:rPr>
          <w:sz w:val="20"/>
          <w:szCs w:val="20"/>
          <w:color w:val="auto"/>
        </w:rPr>
      </w:pPr>
    </w:p>
    <w:p>
      <w:pPr>
        <w:ind w:right="40" w:firstLine="295"/>
        <w:spacing w:after="0" w:line="298" w:lineRule="auto"/>
        <w:rPr>
          <w:sz w:val="20"/>
          <w:szCs w:val="20"/>
          <w:color w:val="auto"/>
        </w:rPr>
      </w:pPr>
      <w:r>
        <w:rPr>
          <w:rFonts w:ascii="Arial" w:cs="Arial" w:eastAsia="Arial" w:hAnsi="Arial"/>
          <w:sz w:val="15"/>
          <w:szCs w:val="15"/>
          <w:color w:val="auto"/>
        </w:rPr>
        <w:t>In terms of relationships with clients, Credicorp clients have been able to rely on the strong relationships we have built over several years and have benefited from our digital network. During the lockdown period, in the three months ended March 31, 2020, loans and deposits have increased materially. Wholesale clients increased their short-term funding needs and part of the fresh liquidity obtained by the aforementioned segment has been maintained at the bank as demand deposits.</w:t>
      </w:r>
    </w:p>
    <w:p>
      <w:pPr>
        <w:spacing w:after="0" w:line="144" w:lineRule="exact"/>
        <w:rPr>
          <w:sz w:val="20"/>
          <w:szCs w:val="20"/>
          <w:color w:val="auto"/>
        </w:rPr>
      </w:pPr>
    </w:p>
    <w:p>
      <w:pPr>
        <w:ind w:right="40" w:firstLine="295"/>
        <w:spacing w:after="0" w:line="298" w:lineRule="auto"/>
        <w:rPr>
          <w:sz w:val="20"/>
          <w:szCs w:val="20"/>
          <w:color w:val="auto"/>
        </w:rPr>
      </w:pPr>
      <w:r>
        <w:rPr>
          <w:rFonts w:ascii="Arial" w:cs="Arial" w:eastAsia="Arial" w:hAnsi="Arial"/>
          <w:sz w:val="15"/>
          <w:szCs w:val="15"/>
          <w:color w:val="auto"/>
        </w:rPr>
        <w:t>With respect to retail banking, the first quarter of 2020 has also been an opportunity for our clients to benefit from our digital channels. Yape welcomed more than 500,000 new users from January to April this year. As of April 2020, the monthly amount transacted through this app had grown almost four-fold compared to April 2019. Moreover, our BCP Stand-alone digital channels have registered a material gain in their share of our distribution network due to an uptick in use during lockdown.</w:t>
      </w:r>
    </w:p>
    <w:p>
      <w:pPr>
        <w:spacing w:after="0" w:line="144" w:lineRule="exact"/>
        <w:rPr>
          <w:sz w:val="20"/>
          <w:szCs w:val="20"/>
          <w:color w:val="auto"/>
        </w:rPr>
      </w:pPr>
    </w:p>
    <w:p>
      <w:pPr>
        <w:ind w:right="200" w:firstLine="295"/>
        <w:spacing w:after="0" w:line="287" w:lineRule="auto"/>
        <w:rPr>
          <w:sz w:val="20"/>
          <w:szCs w:val="20"/>
          <w:color w:val="auto"/>
        </w:rPr>
      </w:pPr>
      <w:r>
        <w:rPr>
          <w:rFonts w:ascii="Arial" w:cs="Arial" w:eastAsia="Arial" w:hAnsi="Arial"/>
          <w:sz w:val="16"/>
          <w:szCs w:val="16"/>
          <w:color w:val="auto"/>
        </w:rPr>
        <w:t>As a result of the above and due to the adoption of certain measures listed below, since the adoption of governmental measures to control the COVID-19 pandemic, there has been an increase in our provisions, and as a result our net income for the current period may be adversely impacted.</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Some of the measures that Credicorp adopted in order to provide relief and assistance to its customers and the general population, include:</w:t>
      </w:r>
    </w:p>
    <w:p>
      <w:pPr>
        <w:spacing w:after="0" w:line="209" w:lineRule="exact"/>
        <w:rPr>
          <w:sz w:val="20"/>
          <w:szCs w:val="20"/>
          <w:color w:val="auto"/>
        </w:rPr>
      </w:pPr>
    </w:p>
    <w:p>
      <w:pPr>
        <w:ind w:left="580" w:hanging="287"/>
        <w:spacing w:after="0"/>
        <w:tabs>
          <w:tab w:leader="none" w:pos="5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donation of S/100 million through BCP Stand-alone and S/10 million through Mibanco to help families in need, with the “Yo me sumo” program;</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reimbursement by Pacifico of 50% of car premiums in April and May to Individual clients which where up to date in their payments;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donation by Pacifico of S/5 million through life insurance to health services professionals, police and the Peruvian army;</w:t>
      </w:r>
    </w:p>
    <w:p>
      <w:pPr>
        <w:spacing w:after="0" w:line="209" w:lineRule="exact"/>
        <w:rPr>
          <w:rFonts w:ascii="Arial" w:cs="Arial" w:eastAsia="Arial" w:hAnsi="Arial"/>
          <w:sz w:val="16"/>
          <w:szCs w:val="16"/>
          <w:color w:val="auto"/>
        </w:rPr>
      </w:pPr>
    </w:p>
    <w:p>
      <w:pPr>
        <w:ind w:left="580" w:right="780" w:hanging="287"/>
        <w:spacing w:after="0" w:line="287" w:lineRule="auto"/>
        <w:tabs>
          <w:tab w:leader="none" w:pos="5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negative effect of Prima AFP’s fee income by the exemption of contributions to the pension fund system in April, and the measures decreed by the government and congress that allow affiliates to withdraw a portion of the pension funds; and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520" w:right="359" w:bottom="1440" w:gutter="0" w:footer="0" w:header="0"/>
        </w:sectPr>
      </w:pPr>
    </w:p>
    <w:bookmarkStart w:id="117" w:name="page118"/>
    <w:bookmarkEnd w:id="117"/>
    <w:p>
      <w:pPr>
        <w:ind w:left="580" w:right="20" w:hanging="287"/>
        <w:spacing w:after="0" w:line="287" w:lineRule="auto"/>
        <w:tabs>
          <w:tab w:leader="none" w:pos="5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an increase in the operating expenses of our lines of business as a result of measures taken to protect the health of employees and clients, and to ensure business continuity.</w:t>
      </w:r>
    </w:p>
    <w:p>
      <w:pPr>
        <w:spacing w:after="0" w:line="150" w:lineRule="exact"/>
        <w:rPr>
          <w:sz w:val="20"/>
          <w:szCs w:val="20"/>
          <w:color w:val="auto"/>
        </w:rPr>
      </w:pPr>
    </w:p>
    <w:p>
      <w:pPr>
        <w:ind w:firstLine="295"/>
        <w:spacing w:after="0" w:line="287" w:lineRule="auto"/>
        <w:rPr>
          <w:sz w:val="20"/>
          <w:szCs w:val="20"/>
          <w:color w:val="auto"/>
        </w:rPr>
      </w:pPr>
      <w:r>
        <w:rPr>
          <w:rFonts w:ascii="Arial" w:cs="Arial" w:eastAsia="Arial" w:hAnsi="Arial"/>
          <w:sz w:val="16"/>
          <w:szCs w:val="16"/>
          <w:color w:val="auto"/>
        </w:rPr>
        <w:t>We are aware of the level of uncertainty we are facing, and as such, the need to adapt our businesses and organization in a changing environment. In this context, we are reviewing our strategic initiatives on a constant basis and adjusting them to each line of business: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Universal banking will focus on:</w:t>
      </w:r>
    </w:p>
    <w:p>
      <w:pPr>
        <w:spacing w:after="0" w:line="209" w:lineRule="exact"/>
        <w:rPr>
          <w:sz w:val="20"/>
          <w:szCs w:val="20"/>
          <w:color w:val="auto"/>
        </w:rPr>
      </w:pPr>
    </w:p>
    <w:p>
      <w:pPr>
        <w:ind w:left="580" w:hanging="287"/>
        <w:spacing w:after="0"/>
        <w:tabs>
          <w:tab w:leader="none" w:pos="5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engaging with customers to understand their financial needs post COVID-19;</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implementing the “Reactiva Peru” program;</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adjusting risk management measures and designing medium-term restructuring initiatives;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re-starting sales capabilities coupled with dynamic pricing, and accelerating customer digital adoption; and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rethinking and implementing the new operating model.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0" w:hanging="287"/>
        <w:spacing w:after="0"/>
        <w:tabs>
          <w:tab w:leader="none" w:pos="5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engaging with customers, assessing new needs and risks and executing refinancing initiatives;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implementing the FAE program;</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accelerating the path to the hybrid decision making model, leveraging the use of data and analytics;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redefining the new remote operating model; and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finalizing the Bancompartir merger by the third quarter of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0" w:hanging="287"/>
        <w:spacing w:after="0"/>
        <w:tabs>
          <w:tab w:leader="none" w:pos="5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re-starting the Insurance sales force, coupled with digital capabilities;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adjusting Pacifico’s new operating model;</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managing the liquidity and profitability of the Pension investment portfolio in the context of expected withdrawals; and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actively participating in pension system reform.</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0" w:hanging="287"/>
        <w:spacing w:after="0"/>
        <w:tabs>
          <w:tab w:leader="none" w:pos="5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developing business opportunities in Wealth Management and Asset Management by offering a diversified portfolio;</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developing the Corporate Finance pipeline;</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improving efficiency by re-prioritizing operating expenses and investments;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defining support functions and technological platforms to improve the customer experience and enable future growth; and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finalizing the integration of Ultraserfinco in the first half of 2020.</w:t>
      </w: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080"/>
          </w:cols>
          <w:pgMar w:left="320" w:top="323" w:right="499" w:bottom="1440" w:gutter="0" w:footer="0" w:header="0"/>
        </w:sectPr>
      </w:pPr>
    </w:p>
    <w:bookmarkStart w:id="118" w:name="page119"/>
    <w:bookmarkEnd w:id="118"/>
    <w:p>
      <w:pPr>
        <w:ind w:right="100" w:firstLine="295"/>
        <w:spacing w:after="0" w:line="287" w:lineRule="auto"/>
        <w:rPr>
          <w:sz w:val="20"/>
          <w:szCs w:val="20"/>
          <w:color w:val="auto"/>
        </w:rPr>
      </w:pPr>
      <w:r>
        <w:rPr>
          <w:rFonts w:ascii="Arial" w:cs="Arial" w:eastAsia="Arial" w:hAnsi="Arial"/>
          <w:sz w:val="16"/>
          <w:szCs w:val="16"/>
          <w:color w:val="auto"/>
        </w:rPr>
        <w:t>Finally, on a consolidated level, Credicorp has launched a project to develop a strategy aimed at integrating ESG more deeply and consistently into business planning and activities. Additionally, to take advantage of the new opportunities, we will accelerate select specific initiatives at Krealo.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FINANCIAL INFORMATION</w:t>
      </w:r>
    </w:p>
    <w:p>
      <w:pPr>
        <w:spacing w:after="0" w:line="213" w:lineRule="exact"/>
        <w:rPr>
          <w:sz w:val="20"/>
          <w:szCs w:val="20"/>
          <w:color w:val="auto"/>
        </w:rPr>
      </w:pPr>
    </w:p>
    <w:p>
      <w:pPr>
        <w:ind w:right="180" w:firstLine="295"/>
        <w:spacing w:after="0" w:line="271" w:lineRule="auto"/>
        <w:rPr>
          <w:sz w:val="20"/>
          <w:szCs w:val="20"/>
          <w:color w:val="auto"/>
        </w:rPr>
      </w:pPr>
      <w:r>
        <w:rPr>
          <w:rFonts w:ascii="Arial" w:cs="Arial" w:eastAsia="Arial" w:hAnsi="Arial"/>
          <w:sz w:val="16"/>
          <w:szCs w:val="16"/>
          <w:color w:val="auto"/>
        </w:rPr>
        <w:t>The following tables present certain of our consolidated financial and other information derived from (1) our unaudited condensed consolidated interim financial information as of and for the three months ended March 31, 2019 and 2020 presented above, and (2) our audited consolidated financial statements as of and for the years ended December 31, 2017, 2018 and 2019 included in our 2019 Form 20-F filed on May 29, 2020.</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Income Statement Data</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sets forth certain of our statement of our income statement data for each of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4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w w:val="95"/>
              </w:rPr>
              <w:t>For the Years Ended December 31,</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6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auto"/>
              </w:rPr>
              <w:t>For the Three Months Ended March 31,</w:t>
            </w:r>
          </w:p>
        </w:tc>
        <w:tc>
          <w:tcPr>
            <w:tcW w:w="0" w:type="dxa"/>
            <w:vAlign w:val="bottom"/>
          </w:tcPr>
          <w:p>
            <w:pPr>
              <w:spacing w:after="0"/>
              <w:rPr>
                <w:sz w:val="1"/>
                <w:szCs w:val="1"/>
                <w:color w:val="auto"/>
              </w:rPr>
            </w:pPr>
          </w:p>
        </w:tc>
      </w:tr>
      <w:tr>
        <w:trPr>
          <w:trHeight w:val="127"/>
        </w:trPr>
        <w:tc>
          <w:tcPr>
            <w:tcW w:w="428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ind w:right="195"/>
              <w:spacing w:after="0" w:line="128" w:lineRule="exact"/>
              <w:rPr>
                <w:sz w:val="20"/>
                <w:szCs w:val="20"/>
                <w:color w:val="auto"/>
              </w:rPr>
            </w:pPr>
            <w:r>
              <w:rPr>
                <w:rFonts w:ascii="Arial" w:cs="Arial" w:eastAsia="Arial" w:hAnsi="Arial"/>
                <w:sz w:val="13"/>
                <w:szCs w:val="13"/>
                <w:b w:val="1"/>
                <w:bCs w:val="1"/>
                <w:color w:val="auto"/>
              </w:rPr>
              <w:t>2017</w:t>
            </w:r>
          </w:p>
        </w:tc>
        <w:tc>
          <w:tcPr>
            <w:tcW w:w="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gridSpan w:val="2"/>
          </w:tcPr>
          <w:p>
            <w:pPr>
              <w:jc w:val="center"/>
              <w:ind w:left="135"/>
              <w:spacing w:after="0" w:line="128" w:lineRule="exact"/>
              <w:rPr>
                <w:sz w:val="20"/>
                <w:szCs w:val="20"/>
                <w:color w:val="auto"/>
              </w:rPr>
            </w:pPr>
            <w:r>
              <w:rPr>
                <w:rFonts w:ascii="Arial" w:cs="Arial" w:eastAsia="Arial" w:hAnsi="Arial"/>
                <w:sz w:val="13"/>
                <w:szCs w:val="13"/>
                <w:b w:val="1"/>
                <w:bCs w:val="1"/>
                <w:color w:val="auto"/>
                <w:w w:val="89"/>
              </w:rPr>
              <w:t>2018</w:t>
            </w:r>
          </w:p>
        </w:tc>
        <w:tc>
          <w:tcPr>
            <w:tcW w:w="26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95"/>
              <w:spacing w:after="0" w:line="128"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89"/>
              </w:rPr>
              <w:t>2019</w:t>
            </w:r>
          </w:p>
        </w:tc>
        <w:tc>
          <w:tcPr>
            <w:tcW w:w="22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ind w:right="175"/>
              <w:spacing w:after="0" w:line="128"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95"/>
              <w:spacing w:after="0" w:line="128"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95"/>
              <w:spacing w:after="0" w:line="12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(U.S.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(U.S.</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dollars in</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dollars in</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thousands)</w:t>
            </w:r>
          </w:p>
        </w:tc>
        <w:tc>
          <w:tcPr>
            <w:tcW w:w="0" w:type="dxa"/>
            <w:vAlign w:val="bottom"/>
          </w:tcPr>
          <w:p>
            <w:pPr>
              <w:spacing w:after="0"/>
              <w:rPr>
                <w:sz w:val="1"/>
                <w:szCs w:val="1"/>
                <w:color w:val="auto"/>
              </w:rPr>
            </w:pPr>
          </w:p>
        </w:tc>
      </w:tr>
      <w:tr>
        <w:trPr>
          <w:trHeight w:val="155"/>
        </w:trPr>
        <w:tc>
          <w:tcPr>
            <w:tcW w:w="4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7"/>
              </w:rPr>
              <w:t>(Soles in thousands)</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6"/>
              </w:rPr>
              <w:t>thousands)(1)</w:t>
            </w:r>
          </w:p>
        </w:tc>
        <w:tc>
          <w:tcPr>
            <w:tcW w:w="1980" w:type="dxa"/>
            <w:vAlign w:val="bottom"/>
            <w:gridSpan w:val="4"/>
          </w:tcPr>
          <w:p>
            <w:pPr>
              <w:jc w:val="right"/>
              <w:ind w:right="540"/>
              <w:spacing w:after="0"/>
              <w:rPr>
                <w:sz w:val="20"/>
                <w:szCs w:val="20"/>
                <w:color w:val="auto"/>
              </w:rPr>
            </w:pPr>
            <w:r>
              <w:rPr>
                <w:rFonts w:ascii="Arial" w:cs="Arial" w:eastAsia="Arial" w:hAnsi="Arial"/>
                <w:sz w:val="13"/>
                <w:szCs w:val="13"/>
                <w:b w:val="1"/>
                <w:bCs w:val="1"/>
                <w:color w:val="auto"/>
              </w:rPr>
              <w:t>(Soles in thousands)</w:t>
            </w:r>
          </w:p>
        </w:tc>
        <w:tc>
          <w:tcPr>
            <w:tcW w:w="780" w:type="dxa"/>
            <w:vAlign w:val="bottom"/>
          </w:tcPr>
          <w:p>
            <w:pPr>
              <w:jc w:val="right"/>
              <w:ind w:right="255"/>
              <w:spacing w:after="0"/>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2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60"/>
              <w:spacing w:after="0" w:line="128" w:lineRule="exact"/>
              <w:rPr>
                <w:sz w:val="20"/>
                <w:szCs w:val="20"/>
                <w:color w:val="auto"/>
              </w:rPr>
            </w:pPr>
            <w:r>
              <w:rPr>
                <w:rFonts w:ascii="Arial" w:cs="Arial" w:eastAsia="Arial" w:hAnsi="Arial"/>
                <w:sz w:val="13"/>
                <w:szCs w:val="13"/>
                <w:b w:val="1"/>
                <w:bCs w:val="1"/>
                <w:color w:val="auto"/>
                <w:w w:val="94"/>
              </w:rPr>
              <w:t>(audited)</w:t>
            </w: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1"/>
              </w:rPr>
              <w:t>(audited)</w:t>
            </w:r>
          </w:p>
        </w:tc>
        <w:tc>
          <w:tcPr>
            <w:tcW w:w="220" w:type="dxa"/>
            <w:vAlign w:val="bottom"/>
          </w:tcPr>
          <w:p>
            <w:pPr>
              <w:spacing w:after="0"/>
              <w:rPr>
                <w:sz w:val="11"/>
                <w:szCs w:val="11"/>
                <w:color w:val="auto"/>
              </w:rPr>
            </w:pPr>
          </w:p>
        </w:tc>
        <w:tc>
          <w:tcPr>
            <w:tcW w:w="1760" w:type="dxa"/>
            <w:vAlign w:val="bottom"/>
            <w:tcBorders>
              <w:top w:val="single" w:sz="8" w:color="auto"/>
            </w:tcBorders>
            <w:gridSpan w:val="3"/>
          </w:tcPr>
          <w:p>
            <w:pPr>
              <w:jc w:val="right"/>
              <w:ind w:right="495"/>
              <w:spacing w:after="0" w:line="128" w:lineRule="exact"/>
              <w:rPr>
                <w:sz w:val="20"/>
                <w:szCs w:val="20"/>
                <w:color w:val="auto"/>
              </w:rPr>
            </w:pPr>
            <w:r>
              <w:rPr>
                <w:rFonts w:ascii="Arial" w:cs="Arial" w:eastAsia="Arial" w:hAnsi="Arial"/>
                <w:sz w:val="13"/>
                <w:szCs w:val="13"/>
                <w:b w:val="1"/>
                <w:bCs w:val="1"/>
                <w:color w:val="auto"/>
              </w:rPr>
              <w:t>(unaudited)</w:t>
            </w:r>
          </w:p>
        </w:tc>
        <w:tc>
          <w:tcPr>
            <w:tcW w:w="220" w:type="dxa"/>
            <w:vAlign w:val="bottom"/>
          </w:tcPr>
          <w:p>
            <w:pPr>
              <w:spacing w:after="0"/>
              <w:rPr>
                <w:sz w:val="11"/>
                <w:szCs w:val="11"/>
                <w:color w:val="auto"/>
              </w:rPr>
            </w:pPr>
          </w:p>
        </w:tc>
        <w:tc>
          <w:tcPr>
            <w:tcW w:w="78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3"/>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Interest income and expense</w:t>
            </w: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Interest and dividend income</w:t>
            </w:r>
          </w:p>
        </w:tc>
        <w:tc>
          <w:tcPr>
            <w:tcW w:w="8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11,030,683</w:t>
            </w:r>
          </w:p>
        </w:tc>
        <w:tc>
          <w:tcPr>
            <w:tcW w:w="124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11,522,634</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12,381,664</w:t>
            </w:r>
          </w:p>
        </w:tc>
        <w:tc>
          <w:tcPr>
            <w:tcW w:w="2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3,602,463</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3,001,674</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3,163,609</w:t>
            </w:r>
          </w:p>
        </w:tc>
        <w:tc>
          <w:tcPr>
            <w:tcW w:w="22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920,457</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expense (2)</w:t>
            </w: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(2,959,196)</w:t>
            </w:r>
          </w:p>
        </w:tc>
        <w:tc>
          <w:tcPr>
            <w:tcW w:w="124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(3,033,529)</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(3,290,867)</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(957,482)</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(804,506)</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(784,309)</w:t>
            </w:r>
          </w:p>
        </w:tc>
        <w:tc>
          <w:tcPr>
            <w:tcW w:w="8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(228,196)</w:t>
            </w:r>
          </w:p>
        </w:tc>
        <w:tc>
          <w:tcPr>
            <w:tcW w:w="0" w:type="dxa"/>
            <w:vAlign w:val="bottom"/>
          </w:tcPr>
          <w:p>
            <w:pPr>
              <w:spacing w:after="0"/>
              <w:rPr>
                <w:sz w:val="1"/>
                <w:szCs w:val="1"/>
                <w:color w:val="auto"/>
              </w:rPr>
            </w:pPr>
          </w:p>
        </w:tc>
      </w:tr>
      <w:tr>
        <w:trPr>
          <w:trHeight w:val="127"/>
        </w:trPr>
        <w:tc>
          <w:tcPr>
            <w:tcW w:w="4280" w:type="dxa"/>
            <w:vAlign w:val="bottom"/>
            <w:tcBorders>
              <w:bottom w:val="single" w:sz="8" w:color="CCEEFF"/>
            </w:tcBorders>
          </w:tcPr>
          <w:p>
            <w:pPr>
              <w:spacing w:after="0" w:line="128" w:lineRule="exact"/>
              <w:rPr>
                <w:sz w:val="20"/>
                <w:szCs w:val="20"/>
                <w:color w:val="auto"/>
              </w:rPr>
            </w:pPr>
            <w:r>
              <w:rPr>
                <w:rFonts w:ascii="Arial" w:cs="Arial" w:eastAsia="Arial" w:hAnsi="Arial"/>
                <w:sz w:val="13"/>
                <w:szCs w:val="13"/>
                <w:b w:val="1"/>
                <w:bCs w:val="1"/>
                <w:color w:val="auto"/>
              </w:rPr>
              <w:t>Net interest income</w:t>
            </w:r>
          </w:p>
        </w:tc>
        <w:tc>
          <w:tcPr>
            <w:tcW w:w="80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8,071,487</w:t>
            </w: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8,489,105</w:t>
            </w:r>
          </w:p>
        </w:tc>
        <w:tc>
          <w:tcPr>
            <w:tcW w:w="26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9,090,797</w:t>
            </w:r>
          </w:p>
        </w:tc>
        <w:tc>
          <w:tcPr>
            <w:tcW w:w="22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2,644,981</w:t>
            </w:r>
          </w:p>
        </w:tc>
        <w:tc>
          <w:tcPr>
            <w:tcW w:w="22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2,197,168</w:t>
            </w:r>
          </w:p>
        </w:tc>
        <w:tc>
          <w:tcPr>
            <w:tcW w:w="24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2,379,300</w:t>
            </w:r>
          </w:p>
        </w:tc>
        <w:tc>
          <w:tcPr>
            <w:tcW w:w="22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692,261</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2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Gross provision for credit losses on loan portfolio</w:t>
            </w:r>
          </w:p>
        </w:tc>
        <w:tc>
          <w:tcPr>
            <w:tcW w:w="8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(2,057,478)</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(1,814,898)</w:t>
            </w: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(2,100,091)</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(611,024)</w:t>
            </w: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(453,285)</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(1,388,711)</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(404,047)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Recoveries of written-off loans</w:t>
            </w:r>
          </w:p>
        </w:tc>
        <w:tc>
          <w:tcPr>
            <w:tcW w:w="8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268,313</w:t>
            </w:r>
          </w:p>
        </w:tc>
        <w:tc>
          <w:tcPr>
            <w:tcW w:w="124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283,190</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254,155</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73,947</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70,074</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47,230</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13,742</w:t>
            </w:r>
          </w:p>
        </w:tc>
        <w:tc>
          <w:tcPr>
            <w:tcW w:w="0" w:type="dxa"/>
            <w:vAlign w:val="bottom"/>
          </w:tcPr>
          <w:p>
            <w:pPr>
              <w:spacing w:after="0"/>
              <w:rPr>
                <w:sz w:val="1"/>
                <w:szCs w:val="1"/>
                <w:color w:val="auto"/>
              </w:rPr>
            </w:pPr>
          </w:p>
        </w:tc>
      </w:tr>
      <w:tr>
        <w:trPr>
          <w:trHeight w:val="127"/>
        </w:trPr>
        <w:tc>
          <w:tcPr>
            <w:tcW w:w="4280" w:type="dxa"/>
            <w:vAlign w:val="bottom"/>
            <w:tcBorders>
              <w:top w:val="single" w:sz="8" w:color="CCEEFF"/>
            </w:tcBorders>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Provision for credit losses on loan portfolio, net of recoveries</w:t>
            </w:r>
          </w:p>
        </w:tc>
        <w:tc>
          <w:tcPr>
            <w:tcW w:w="80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(1,789,165)</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(1,531,708)</w:t>
            </w:r>
          </w:p>
        </w:tc>
        <w:tc>
          <w:tcPr>
            <w:tcW w:w="2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(1,845,936)</w:t>
            </w:r>
          </w:p>
        </w:tc>
        <w:tc>
          <w:tcPr>
            <w:tcW w:w="2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(537,077)</w:t>
            </w: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(383,211)</w:t>
            </w:r>
          </w:p>
        </w:tc>
        <w:tc>
          <w:tcPr>
            <w:tcW w:w="2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(1,341,481)</w:t>
            </w:r>
          </w:p>
        </w:tc>
        <w:tc>
          <w:tcPr>
            <w:tcW w:w="2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(390,305)</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280" w:type="dxa"/>
            <w:vAlign w:val="bottom"/>
            <w:tcBorders>
              <w:bottom w:val="single" w:sz="8" w:color="CCEEFF"/>
            </w:tcBorders>
          </w:tcPr>
          <w:p>
            <w:pPr>
              <w:spacing w:after="0" w:line="128" w:lineRule="exact"/>
              <w:rPr>
                <w:sz w:val="20"/>
                <w:szCs w:val="20"/>
                <w:color w:val="auto"/>
              </w:rPr>
            </w:pPr>
            <w:r>
              <w:rPr>
                <w:rFonts w:ascii="Arial" w:cs="Arial" w:eastAsia="Arial" w:hAnsi="Arial"/>
                <w:sz w:val="13"/>
                <w:szCs w:val="13"/>
                <w:b w:val="1"/>
                <w:bCs w:val="1"/>
                <w:color w:val="auto"/>
              </w:rPr>
              <w:t>Risk-adjusted net interest income</w:t>
            </w:r>
          </w:p>
        </w:tc>
        <w:tc>
          <w:tcPr>
            <w:tcW w:w="8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6,282,322</w:t>
            </w: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6,957,397</w:t>
            </w:r>
          </w:p>
        </w:tc>
        <w:tc>
          <w:tcPr>
            <w:tcW w:w="26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7,244,861</w:t>
            </w:r>
          </w:p>
        </w:tc>
        <w:tc>
          <w:tcPr>
            <w:tcW w:w="22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2,107,904</w:t>
            </w:r>
          </w:p>
        </w:tc>
        <w:tc>
          <w:tcPr>
            <w:tcW w:w="22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1,813,957</w:t>
            </w:r>
          </w:p>
        </w:tc>
        <w:tc>
          <w:tcPr>
            <w:tcW w:w="24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1,037,819</w:t>
            </w:r>
          </w:p>
        </w:tc>
        <w:tc>
          <w:tcPr>
            <w:tcW w:w="22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301,956</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280" w:type="dxa"/>
            <w:vAlign w:val="bottom"/>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Non-financial income</w:t>
            </w: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Fee income</w:t>
            </w:r>
          </w:p>
        </w:tc>
        <w:tc>
          <w:tcPr>
            <w:tcW w:w="8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2,911,408</w:t>
            </w:r>
          </w:p>
        </w:tc>
        <w:tc>
          <w:tcPr>
            <w:tcW w:w="9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3,126,857</w:t>
            </w:r>
          </w:p>
        </w:tc>
        <w:tc>
          <w:tcPr>
            <w:tcW w:w="2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3,232,781</w:t>
            </w:r>
          </w:p>
        </w:tc>
        <w:tc>
          <w:tcPr>
            <w:tcW w:w="2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940,582</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782,922</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760,329</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221,219</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gain on foreign exchange transactions</w:t>
            </w: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650,228</w:t>
            </w:r>
          </w:p>
        </w:tc>
        <w:tc>
          <w:tcPr>
            <w:tcW w:w="124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737,954</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748,382</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217,743</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178,423</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166,983</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48,584</w:t>
            </w: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Net gain on sales of securities (3)</w:t>
            </w:r>
          </w:p>
        </w:tc>
        <w:tc>
          <w:tcPr>
            <w:tcW w:w="8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731,261</w:t>
            </w:r>
          </w:p>
        </w:tc>
        <w:tc>
          <w:tcPr>
            <w:tcW w:w="124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170,575</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466,970</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135,866</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113,545</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(120,633)</w:t>
            </w: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(35,098)</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gain from associates (3)(4)</w:t>
            </w: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29,511</w:t>
            </w:r>
          </w:p>
        </w:tc>
        <w:tc>
          <w:tcPr>
            <w:tcW w:w="124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72,254</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79,844</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23,231</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14,786</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19,225</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5,594</w:t>
            </w: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Net gain on derivatives held for trading</w:t>
            </w:r>
          </w:p>
        </w:tc>
        <w:tc>
          <w:tcPr>
            <w:tcW w:w="8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103,580</w:t>
            </w:r>
          </w:p>
        </w:tc>
        <w:tc>
          <w:tcPr>
            <w:tcW w:w="124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13,262</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6,043</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1,758</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(2,434)</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35,430</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10,308</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gain from exchange differences</w:t>
            </w: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17,394</w:t>
            </w:r>
          </w:p>
        </w:tc>
        <w:tc>
          <w:tcPr>
            <w:tcW w:w="124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16,022</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19,735</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5,742</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13,490</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(21,240)</w:t>
            </w:r>
          </w:p>
        </w:tc>
        <w:tc>
          <w:tcPr>
            <w:tcW w:w="8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(6,180)</w:t>
            </w: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Other non-financial income</w:t>
            </w:r>
          </w:p>
        </w:tc>
        <w:tc>
          <w:tcPr>
            <w:tcW w:w="8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249,197</w:t>
            </w:r>
          </w:p>
        </w:tc>
        <w:tc>
          <w:tcPr>
            <w:tcW w:w="124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273,882</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344,229</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100,154</w:t>
            </w: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75,605</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117,770</w:t>
            </w:r>
          </w:p>
        </w:tc>
        <w:tc>
          <w:tcPr>
            <w:tcW w:w="22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34,265</w:t>
            </w:r>
          </w:p>
        </w:tc>
        <w:tc>
          <w:tcPr>
            <w:tcW w:w="0" w:type="dxa"/>
            <w:vAlign w:val="bottom"/>
          </w:tcPr>
          <w:p>
            <w:pPr>
              <w:spacing w:after="0"/>
              <w:rPr>
                <w:sz w:val="1"/>
                <w:szCs w:val="1"/>
                <w:color w:val="auto"/>
              </w:rPr>
            </w:pPr>
          </w:p>
        </w:tc>
      </w:tr>
      <w:tr>
        <w:trPr>
          <w:trHeight w:val="127"/>
        </w:trPr>
        <w:tc>
          <w:tcPr>
            <w:tcW w:w="4280" w:type="dxa"/>
            <w:vAlign w:val="bottom"/>
            <w:tcBorders>
              <w:top w:val="single" w:sz="8" w:color="CCEEFF"/>
              <w:bottom w:val="single" w:sz="8" w:color="CCEEFF"/>
            </w:tcBorders>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Total non-financial income</w:t>
            </w:r>
          </w:p>
        </w:tc>
        <w:tc>
          <w:tcPr>
            <w:tcW w:w="80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4,692,579</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4,410,806</w:t>
            </w: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4,897,984</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1,425,076</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1,176,337</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957,864</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278,692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3"/>
                <w:szCs w:val="13"/>
                <w:b w:val="1"/>
                <w:bCs w:val="1"/>
                <w:color w:val="auto"/>
              </w:rPr>
              <w:t>Insurance underwriting result</w:t>
            </w: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42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earned premiums</w:t>
            </w: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1,875,973</w:t>
            </w:r>
          </w:p>
        </w:tc>
        <w:tc>
          <w:tcPr>
            <w:tcW w:w="9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2,091,366</w:t>
            </w: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2,419,349</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703,913</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584,209</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627,935</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182,699</w:t>
            </w: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Net claims</w:t>
            </w: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(1,118,304)</w:t>
            </w:r>
          </w:p>
        </w:tc>
        <w:tc>
          <w:tcPr>
            <w:tcW w:w="12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(1,239,635)</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(1,554,477)</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(452,277)</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(383,817)</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(373,502)</w:t>
            </w: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(108,671)</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Acquisition costs (5)</w:t>
            </w: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(269,504)</w:t>
            </w:r>
          </w:p>
        </w:tc>
        <w:tc>
          <w:tcPr>
            <w:tcW w:w="124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(380,310)</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(365,848)</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(106,444)</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(91,281)</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(112,507)</w:t>
            </w:r>
          </w:p>
        </w:tc>
        <w:tc>
          <w:tcPr>
            <w:tcW w:w="8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(32,734)</w:t>
            </w:r>
          </w:p>
        </w:tc>
        <w:tc>
          <w:tcPr>
            <w:tcW w:w="0" w:type="dxa"/>
            <w:vAlign w:val="bottom"/>
          </w:tcPr>
          <w:p>
            <w:pPr>
              <w:spacing w:after="0"/>
              <w:rPr>
                <w:sz w:val="1"/>
                <w:szCs w:val="1"/>
                <w:color w:val="auto"/>
              </w:rPr>
            </w:pPr>
          </w:p>
        </w:tc>
      </w:tr>
      <w:tr>
        <w:trPr>
          <w:trHeight w:val="127"/>
        </w:trPr>
        <w:tc>
          <w:tcPr>
            <w:tcW w:w="4280" w:type="dxa"/>
            <w:vAlign w:val="bottom"/>
            <w:tcBorders>
              <w:bottom w:val="single" w:sz="8" w:color="CCEEFF"/>
            </w:tcBorders>
          </w:tcPr>
          <w:p>
            <w:pPr>
              <w:spacing w:after="0" w:line="128" w:lineRule="exact"/>
              <w:rPr>
                <w:sz w:val="20"/>
                <w:szCs w:val="20"/>
                <w:color w:val="auto"/>
              </w:rPr>
            </w:pPr>
            <w:r>
              <w:rPr>
                <w:rFonts w:ascii="Arial" w:cs="Arial" w:eastAsia="Arial" w:hAnsi="Arial"/>
                <w:sz w:val="13"/>
                <w:szCs w:val="13"/>
                <w:b w:val="1"/>
                <w:bCs w:val="1"/>
                <w:color w:val="auto"/>
              </w:rPr>
              <w:t>Total insurance underwriting result</w:t>
            </w:r>
          </w:p>
        </w:tc>
        <w:tc>
          <w:tcPr>
            <w:tcW w:w="80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488,165</w:t>
            </w: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471,421</w:t>
            </w:r>
          </w:p>
        </w:tc>
        <w:tc>
          <w:tcPr>
            <w:tcW w:w="26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499,024</w:t>
            </w:r>
          </w:p>
        </w:tc>
        <w:tc>
          <w:tcPr>
            <w:tcW w:w="22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145,192</w:t>
            </w:r>
          </w:p>
        </w:tc>
        <w:tc>
          <w:tcPr>
            <w:tcW w:w="22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109,111</w:t>
            </w:r>
          </w:p>
        </w:tc>
        <w:tc>
          <w:tcPr>
            <w:tcW w:w="24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141,926</w:t>
            </w:r>
          </w:p>
        </w:tc>
        <w:tc>
          <w:tcPr>
            <w:tcW w:w="22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41,294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280" w:type="dxa"/>
            <w:vAlign w:val="bottom"/>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Total expenses</w:t>
            </w: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Salaries and employee benefits</w:t>
            </w: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(3,071,020)</w:t>
            </w:r>
          </w:p>
        </w:tc>
        <w:tc>
          <w:tcPr>
            <w:tcW w:w="12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(3,219,875)</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(3,411,023)</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(992,442)</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(834,317)</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(891,183)</w:t>
            </w: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(259,291)</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Administrative, general and tax expenses</w:t>
            </w: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(2,158,823)</w:t>
            </w:r>
          </w:p>
        </w:tc>
        <w:tc>
          <w:tcPr>
            <w:tcW w:w="124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(2,330,044)</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(2,354,630)</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(685,083)</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(538,157)</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(539,644)</w:t>
            </w:r>
          </w:p>
        </w:tc>
        <w:tc>
          <w:tcPr>
            <w:tcW w:w="8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(157,010)</w:t>
            </w: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Depreciation and amortization (6)</w:t>
            </w: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(419,975)</w:t>
            </w:r>
          </w:p>
        </w:tc>
        <w:tc>
          <w:tcPr>
            <w:tcW w:w="12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(429,122)</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(455,032)</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(132,392)</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(131,325)</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(125,150)</w:t>
            </w: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(36,413)</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Depreciation for right-of-use assets</w:t>
            </w: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(177,307)</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(51,588)</w:t>
            </w: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(46,598)</w:t>
            </w:r>
          </w:p>
        </w:tc>
        <w:tc>
          <w:tcPr>
            <w:tcW w:w="8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(13,558)</w:t>
            </w:r>
          </w:p>
        </w:tc>
        <w:tc>
          <w:tcPr>
            <w:tcW w:w="0" w:type="dxa"/>
            <w:vAlign w:val="bottom"/>
          </w:tcPr>
          <w:p>
            <w:pPr>
              <w:spacing w:after="0"/>
              <w:rPr>
                <w:sz w:val="1"/>
                <w:szCs w:val="1"/>
                <w:color w:val="auto"/>
              </w:rPr>
            </w:pPr>
          </w:p>
        </w:tc>
      </w:tr>
    </w:tbl>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9" w:name="page120"/>
    <w:bookmarkEnd w:id="119"/>
    <w:tbl>
      <w:tblPr>
        <w:tblLayout w:type="fixed"/>
        <w:tblInd w:w="2" w:type="dxa"/>
        <w:tblCellMar>
          <w:top w:w="0" w:type="dxa"/>
          <w:left w:w="0" w:type="dxa"/>
          <w:bottom w:w="0" w:type="dxa"/>
          <w:right w:w="0" w:type="dxa"/>
        </w:tblCellMar>
      </w:tblPr>
      <w:tr>
        <w:trPr>
          <w:trHeight w:val="155"/>
        </w:trPr>
        <w:tc>
          <w:tcPr>
            <w:tcW w:w="4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5"/>
              </w:rPr>
              <w:t>For the Years Ended December 31,</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3"/>
              </w:rPr>
              <w:t>For the Three Months Ended March 31,</w:t>
            </w:r>
          </w:p>
        </w:tc>
      </w:tr>
      <w:tr>
        <w:trPr>
          <w:trHeight w:val="127"/>
        </w:trPr>
        <w:tc>
          <w:tcPr>
            <w:tcW w:w="4280" w:type="dxa"/>
            <w:vAlign w:val="bottom"/>
          </w:tcPr>
          <w:p>
            <w:pPr>
              <w:spacing w:after="0"/>
              <w:rPr>
                <w:sz w:val="11"/>
                <w:szCs w:val="11"/>
                <w:color w:val="auto"/>
              </w:rPr>
            </w:pPr>
          </w:p>
        </w:tc>
        <w:tc>
          <w:tcPr>
            <w:tcW w:w="860" w:type="dxa"/>
            <w:vAlign w:val="bottom"/>
            <w:tcBorders>
              <w:top w:val="single" w:sz="8" w:color="auto"/>
              <w:bottom w:val="single" w:sz="8" w:color="auto"/>
            </w:tcBorders>
          </w:tcPr>
          <w:p>
            <w:pPr>
              <w:jc w:val="right"/>
              <w:ind w:right="255"/>
              <w:spacing w:after="0" w:line="128" w:lineRule="exact"/>
              <w:rPr>
                <w:sz w:val="20"/>
                <w:szCs w:val="20"/>
                <w:color w:val="auto"/>
              </w:rPr>
            </w:pPr>
            <w:r>
              <w:rPr>
                <w:rFonts w:ascii="Arial" w:cs="Arial" w:eastAsia="Arial" w:hAnsi="Arial"/>
                <w:sz w:val="13"/>
                <w:szCs w:val="13"/>
                <w:b w:val="1"/>
                <w:bCs w:val="1"/>
                <w:color w:val="auto"/>
              </w:rPr>
              <w:t>2017</w:t>
            </w:r>
          </w:p>
        </w:tc>
        <w:tc>
          <w:tcPr>
            <w:tcW w:w="1300" w:type="dxa"/>
            <w:vAlign w:val="bottom"/>
            <w:tcBorders>
              <w:top w:val="single" w:sz="8" w:color="auto"/>
              <w:bottom w:val="single" w:sz="8" w:color="auto"/>
            </w:tcBorders>
          </w:tcPr>
          <w:p>
            <w:pPr>
              <w:jc w:val="center"/>
              <w:ind w:right="55"/>
              <w:spacing w:after="0" w:line="128" w:lineRule="exact"/>
              <w:rPr>
                <w:sz w:val="20"/>
                <w:szCs w:val="20"/>
                <w:color w:val="auto"/>
              </w:rPr>
            </w:pPr>
            <w:r>
              <w:rPr>
                <w:rFonts w:ascii="Arial" w:cs="Arial" w:eastAsia="Arial" w:hAnsi="Arial"/>
                <w:sz w:val="13"/>
                <w:szCs w:val="13"/>
                <w:b w:val="1"/>
                <w:bCs w:val="1"/>
                <w:color w:val="auto"/>
                <w:w w:val="89"/>
              </w:rPr>
              <w:t>2018</w:t>
            </w:r>
          </w:p>
        </w:tc>
        <w:tc>
          <w:tcPr>
            <w:tcW w:w="720" w:type="dxa"/>
            <w:vAlign w:val="bottom"/>
            <w:tcBorders>
              <w:top w:val="single" w:sz="8" w:color="auto"/>
              <w:bottom w:val="single" w:sz="8" w:color="auto"/>
            </w:tcBorders>
          </w:tcPr>
          <w:p>
            <w:pPr>
              <w:jc w:val="right"/>
              <w:ind w:right="195"/>
              <w:spacing w:after="0" w:line="128"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89"/>
              </w:rPr>
              <w:t>2019</w:t>
            </w:r>
          </w:p>
        </w:tc>
        <w:tc>
          <w:tcPr>
            <w:tcW w:w="220" w:type="dxa"/>
            <w:vAlign w:val="bottom"/>
          </w:tcPr>
          <w:p>
            <w:pPr>
              <w:spacing w:after="0"/>
              <w:rPr>
                <w:sz w:val="11"/>
                <w:szCs w:val="11"/>
                <w:color w:val="auto"/>
              </w:rPr>
            </w:pPr>
          </w:p>
        </w:tc>
        <w:tc>
          <w:tcPr>
            <w:tcW w:w="1000" w:type="dxa"/>
            <w:vAlign w:val="bottom"/>
            <w:tcBorders>
              <w:top w:val="single" w:sz="8" w:color="auto"/>
              <w:bottom w:val="single" w:sz="8" w:color="auto"/>
            </w:tcBorders>
          </w:tcPr>
          <w:p>
            <w:pPr>
              <w:jc w:val="right"/>
              <w:ind w:right="415"/>
              <w:spacing w:after="0" w:line="128" w:lineRule="exact"/>
              <w:rPr>
                <w:sz w:val="20"/>
                <w:szCs w:val="20"/>
                <w:color w:val="auto"/>
              </w:rPr>
            </w:pPr>
            <w:r>
              <w:rPr>
                <w:rFonts w:ascii="Arial" w:cs="Arial" w:eastAsia="Arial" w:hAnsi="Arial"/>
                <w:sz w:val="13"/>
                <w:szCs w:val="13"/>
                <w:b w:val="1"/>
                <w:bCs w:val="1"/>
                <w:color w:val="auto"/>
              </w:rPr>
              <w:t>2019</w:t>
            </w:r>
          </w:p>
        </w:tc>
        <w:tc>
          <w:tcPr>
            <w:tcW w:w="760" w:type="dxa"/>
            <w:vAlign w:val="bottom"/>
            <w:tcBorders>
              <w:top w:val="single" w:sz="8" w:color="auto"/>
              <w:bottom w:val="single" w:sz="8" w:color="auto"/>
            </w:tcBorders>
          </w:tcPr>
          <w:p>
            <w:pPr>
              <w:jc w:val="right"/>
              <w:ind w:right="195"/>
              <w:spacing w:after="0" w:line="128"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95"/>
              <w:spacing w:after="0" w:line="12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r>
      <w:tr>
        <w:trPr>
          <w:trHeight w:val="107"/>
        </w:trPr>
        <w:tc>
          <w:tcPr>
            <w:tcW w:w="4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(U.S.</w:t>
            </w:r>
          </w:p>
        </w:tc>
        <w:tc>
          <w:tcPr>
            <w:tcW w:w="100" w:type="dxa"/>
            <w:vAlign w:val="bottom"/>
          </w:tcPr>
          <w:p>
            <w:pPr>
              <w:spacing w:after="0"/>
              <w:rPr>
                <w:sz w:val="9"/>
                <w:szCs w:val="9"/>
                <w:color w:val="auto"/>
              </w:rPr>
            </w:pPr>
          </w:p>
        </w:tc>
      </w:tr>
      <w:tr>
        <w:trPr>
          <w:trHeight w:val="135"/>
        </w:trPr>
        <w:tc>
          <w:tcPr>
            <w:tcW w:w="4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(U.S.</w:t>
            </w: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dollars in</w:t>
            </w:r>
          </w:p>
        </w:tc>
      </w:tr>
      <w:tr>
        <w:trPr>
          <w:trHeight w:val="135"/>
        </w:trPr>
        <w:tc>
          <w:tcPr>
            <w:tcW w:w="4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dollars in</w:t>
            </w: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thousands)</w:t>
            </w:r>
          </w:p>
        </w:tc>
      </w:tr>
      <w:tr>
        <w:trPr>
          <w:trHeight w:val="155"/>
        </w:trPr>
        <w:tc>
          <w:tcPr>
            <w:tcW w:w="4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jc w:val="center"/>
              <w:ind w:right="75"/>
              <w:spacing w:after="0"/>
              <w:rPr>
                <w:sz w:val="20"/>
                <w:szCs w:val="20"/>
                <w:color w:val="auto"/>
              </w:rPr>
            </w:pPr>
            <w:r>
              <w:rPr>
                <w:rFonts w:ascii="Arial" w:cs="Arial" w:eastAsia="Arial" w:hAnsi="Arial"/>
                <w:sz w:val="13"/>
                <w:szCs w:val="13"/>
                <w:b w:val="1"/>
                <w:bCs w:val="1"/>
                <w:color w:val="auto"/>
                <w:w w:val="87"/>
              </w:rPr>
              <w:t>(Soles in thousands)</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6"/>
              </w:rPr>
              <w:t>thousands)(1)</w:t>
            </w:r>
          </w:p>
        </w:tc>
        <w:tc>
          <w:tcPr>
            <w:tcW w:w="19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7"/>
              </w:rPr>
              <w:t>(Soles in thousands)</w:t>
            </w:r>
          </w:p>
        </w:tc>
        <w:tc>
          <w:tcPr>
            <w:tcW w:w="780" w:type="dxa"/>
            <w:vAlign w:val="bottom"/>
          </w:tcPr>
          <w:p>
            <w:pPr>
              <w:jc w:val="right"/>
              <w:ind w:right="255"/>
              <w:spacing w:after="0"/>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13"/>
                <w:szCs w:val="13"/>
                <w:color w:val="auto"/>
              </w:rPr>
            </w:pPr>
          </w:p>
        </w:tc>
      </w:tr>
      <w:tr>
        <w:trPr>
          <w:trHeight w:val="161"/>
        </w:trPr>
        <w:tc>
          <w:tcPr>
            <w:tcW w:w="42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4"/>
              </w:rPr>
              <w:t>(audited)</w:t>
            </w: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(audited)</w:t>
            </w:r>
          </w:p>
        </w:tc>
        <w:tc>
          <w:tcPr>
            <w:tcW w:w="220" w:type="dxa"/>
            <w:vAlign w:val="bottom"/>
          </w:tcPr>
          <w:p>
            <w:pPr>
              <w:spacing w:after="0"/>
              <w:rPr>
                <w:sz w:val="13"/>
                <w:szCs w:val="13"/>
                <w:color w:val="auto"/>
              </w:rPr>
            </w:pPr>
          </w:p>
        </w:tc>
        <w:tc>
          <w:tcPr>
            <w:tcW w:w="17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(unaudited)</w:t>
            </w:r>
          </w:p>
        </w:tc>
        <w:tc>
          <w:tcPr>
            <w:tcW w:w="220" w:type="dxa"/>
            <w:vAlign w:val="bottom"/>
          </w:tcPr>
          <w:p>
            <w:pPr>
              <w:spacing w:after="0"/>
              <w:rPr>
                <w:sz w:val="13"/>
                <w:szCs w:val="13"/>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(unaudited)</w:t>
            </w:r>
          </w:p>
        </w:tc>
        <w:tc>
          <w:tcPr>
            <w:tcW w:w="100" w:type="dxa"/>
            <w:vAlign w:val="bottom"/>
          </w:tcPr>
          <w:p>
            <w:pPr>
              <w:spacing w:after="0"/>
              <w:rPr>
                <w:sz w:val="13"/>
                <w:szCs w:val="13"/>
                <w:color w:val="auto"/>
              </w:rPr>
            </w:pPr>
          </w:p>
        </w:tc>
      </w:tr>
      <w:tr>
        <w:trPr>
          <w:trHeight w:val="163"/>
        </w:trPr>
        <w:tc>
          <w:tcPr>
            <w:tcW w:w="4280" w:type="dxa"/>
            <w:vAlign w:val="bottom"/>
          </w:tcPr>
          <w:p>
            <w:pPr>
              <w:ind w:left="140"/>
              <w:spacing w:after="0"/>
              <w:rPr>
                <w:sz w:val="20"/>
                <w:szCs w:val="20"/>
                <w:color w:val="auto"/>
              </w:rPr>
            </w:pPr>
            <w:r>
              <w:rPr>
                <w:rFonts w:ascii="Arial" w:cs="Arial" w:eastAsia="Arial" w:hAnsi="Arial"/>
                <w:sz w:val="13"/>
                <w:szCs w:val="13"/>
                <w:color w:val="auto"/>
              </w:rPr>
              <w:t>assets</w:t>
            </w: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Impairment loss on goodwill</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195"/>
              <w:spacing w:after="0" w:line="135" w:lineRule="exact"/>
              <w:rPr>
                <w:sz w:val="20"/>
                <w:szCs w:val="20"/>
                <w:color w:val="auto"/>
              </w:rPr>
            </w:pPr>
            <w:r>
              <w:rPr>
                <w:rFonts w:ascii="Arial" w:cs="Arial" w:eastAsia="Arial" w:hAnsi="Arial"/>
                <w:sz w:val="13"/>
                <w:szCs w:val="13"/>
                <w:color w:val="auto"/>
              </w:rPr>
              <w:t>(38,189)</w:t>
            </w: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75"/>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Association in participation (7)</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(19,757)</w:t>
            </w:r>
          </w:p>
        </w:tc>
        <w:tc>
          <w:tcPr>
            <w:tcW w:w="1300" w:type="dxa"/>
            <w:vAlign w:val="bottom"/>
          </w:tcPr>
          <w:p>
            <w:pPr>
              <w:jc w:val="right"/>
              <w:ind w:right="195"/>
              <w:spacing w:after="0" w:line="135" w:lineRule="exact"/>
              <w:rPr>
                <w:sz w:val="20"/>
                <w:szCs w:val="20"/>
                <w:color w:val="auto"/>
              </w:rPr>
            </w:pPr>
            <w:r>
              <w:rPr>
                <w:rFonts w:ascii="Arial" w:cs="Arial" w:eastAsia="Arial" w:hAnsi="Arial"/>
                <w:sz w:val="13"/>
                <w:szCs w:val="13"/>
                <w:color w:val="auto"/>
              </w:rPr>
              <w:t>(14,526)</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(22,636)</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6,586</w:t>
            </w:r>
          </w:p>
        </w:tc>
        <w:tc>
          <w:tcPr>
            <w:tcW w:w="1000" w:type="dxa"/>
            <w:vAlign w:val="bottom"/>
          </w:tcPr>
          <w:p>
            <w:pPr>
              <w:jc w:val="right"/>
              <w:ind w:right="115"/>
              <w:spacing w:after="0" w:line="135" w:lineRule="exact"/>
              <w:rPr>
                <w:sz w:val="20"/>
                <w:szCs w:val="20"/>
                <w:color w:val="auto"/>
              </w:rPr>
            </w:pPr>
            <w:r>
              <w:rPr>
                <w:rFonts w:ascii="Arial" w:cs="Arial" w:eastAsia="Arial" w:hAnsi="Arial"/>
                <w:sz w:val="13"/>
                <w:szCs w:val="13"/>
                <w:color w:val="auto"/>
              </w:rPr>
              <w:t>(2,736)</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(6,430)</w:t>
            </w: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(1,871)</w:t>
            </w: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expenses</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(218,557)</w:t>
            </w:r>
          </w:p>
        </w:tc>
        <w:tc>
          <w:tcPr>
            <w:tcW w:w="1300" w:type="dxa"/>
            <w:vAlign w:val="bottom"/>
            <w:shd w:val="clear" w:color="auto" w:fill="CCEEFF"/>
          </w:tcPr>
          <w:p>
            <w:pPr>
              <w:jc w:val="right"/>
              <w:ind w:right="195"/>
              <w:spacing w:after="0" w:line="135" w:lineRule="exact"/>
              <w:rPr>
                <w:sz w:val="20"/>
                <w:szCs w:val="20"/>
                <w:color w:val="auto"/>
              </w:rPr>
            </w:pPr>
            <w:r>
              <w:rPr>
                <w:rFonts w:ascii="Arial" w:cs="Arial" w:eastAsia="Arial" w:hAnsi="Arial"/>
                <w:sz w:val="13"/>
                <w:szCs w:val="13"/>
                <w:color w:val="auto"/>
              </w:rPr>
              <w:t>(215,654)</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(245,833)</w:t>
            </w: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(71,525)</w:t>
            </w:r>
          </w:p>
        </w:tc>
        <w:tc>
          <w:tcPr>
            <w:tcW w:w="1000" w:type="dxa"/>
            <w:vAlign w:val="bottom"/>
            <w:shd w:val="clear" w:color="auto" w:fill="CCEEFF"/>
          </w:tcPr>
          <w:p>
            <w:pPr>
              <w:jc w:val="right"/>
              <w:ind w:right="115"/>
              <w:spacing w:after="0" w:line="135" w:lineRule="exact"/>
              <w:rPr>
                <w:sz w:val="20"/>
                <w:szCs w:val="20"/>
                <w:color w:val="auto"/>
              </w:rPr>
            </w:pPr>
            <w:r>
              <w:rPr>
                <w:rFonts w:ascii="Arial" w:cs="Arial" w:eastAsia="Arial" w:hAnsi="Arial"/>
                <w:sz w:val="13"/>
                <w:szCs w:val="13"/>
                <w:color w:val="auto"/>
              </w:rPr>
              <w:t>(47,441)</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(169,630)</w:t>
            </w:r>
          </w:p>
        </w:tc>
        <w:tc>
          <w:tcPr>
            <w:tcW w:w="8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(49,354)</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b w:val="1"/>
                <w:bCs w:val="1"/>
                <w:color w:val="auto"/>
              </w:rPr>
              <w:t>Total expenses</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(5,888,132)</w:t>
            </w:r>
          </w:p>
        </w:tc>
        <w:tc>
          <w:tcPr>
            <w:tcW w:w="1300" w:type="dxa"/>
            <w:vAlign w:val="bottom"/>
          </w:tcPr>
          <w:p>
            <w:pPr>
              <w:jc w:val="right"/>
              <w:ind w:right="195"/>
              <w:spacing w:after="0" w:line="135" w:lineRule="exact"/>
              <w:rPr>
                <w:sz w:val="20"/>
                <w:szCs w:val="20"/>
                <w:color w:val="auto"/>
              </w:rPr>
            </w:pPr>
            <w:r>
              <w:rPr>
                <w:rFonts w:ascii="Arial" w:cs="Arial" w:eastAsia="Arial" w:hAnsi="Arial"/>
                <w:sz w:val="13"/>
                <w:szCs w:val="13"/>
                <w:color w:val="auto"/>
              </w:rPr>
              <w:t>(6,247,410)</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(6,666,461)</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(1,939,616)</w:t>
            </w:r>
          </w:p>
        </w:tc>
        <w:tc>
          <w:tcPr>
            <w:tcW w:w="1000" w:type="dxa"/>
            <w:vAlign w:val="bottom"/>
          </w:tcPr>
          <w:p>
            <w:pPr>
              <w:jc w:val="right"/>
              <w:ind w:right="115"/>
              <w:spacing w:after="0" w:line="135" w:lineRule="exact"/>
              <w:rPr>
                <w:sz w:val="20"/>
                <w:szCs w:val="20"/>
                <w:color w:val="auto"/>
              </w:rPr>
            </w:pPr>
            <w:r>
              <w:rPr>
                <w:rFonts w:ascii="Arial" w:cs="Arial" w:eastAsia="Arial" w:hAnsi="Arial"/>
                <w:sz w:val="13"/>
                <w:szCs w:val="13"/>
                <w:color w:val="auto"/>
              </w:rPr>
              <w:t>(1,553,976)</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(1,778,635)</w:t>
            </w: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(517,496)</w:t>
            </w: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Profit before income tax</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5,574,934</w:t>
            </w:r>
          </w:p>
        </w:tc>
        <w:tc>
          <w:tcPr>
            <w:tcW w:w="1300" w:type="dxa"/>
            <w:vAlign w:val="bottom"/>
            <w:shd w:val="clear" w:color="auto" w:fill="CCEEFF"/>
          </w:tcPr>
          <w:p>
            <w:pPr>
              <w:jc w:val="right"/>
              <w:ind w:right="255"/>
              <w:spacing w:after="0" w:line="135" w:lineRule="exact"/>
              <w:rPr>
                <w:sz w:val="20"/>
                <w:szCs w:val="20"/>
                <w:color w:val="auto"/>
              </w:rPr>
            </w:pPr>
            <w:r>
              <w:rPr>
                <w:rFonts w:ascii="Arial" w:cs="Arial" w:eastAsia="Arial" w:hAnsi="Arial"/>
                <w:sz w:val="13"/>
                <w:szCs w:val="13"/>
                <w:color w:val="auto"/>
              </w:rPr>
              <w:t>5,592,214</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5,975,408</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1,738,556</w:t>
            </w:r>
          </w:p>
        </w:tc>
        <w:tc>
          <w:tcPr>
            <w:tcW w:w="1000" w:type="dxa"/>
            <w:vAlign w:val="bottom"/>
            <w:shd w:val="clear" w:color="auto" w:fill="CCEEFF"/>
          </w:tcPr>
          <w:p>
            <w:pPr>
              <w:jc w:val="right"/>
              <w:ind w:right="175"/>
              <w:spacing w:after="0" w:line="135" w:lineRule="exact"/>
              <w:rPr>
                <w:sz w:val="20"/>
                <w:szCs w:val="20"/>
                <w:color w:val="auto"/>
              </w:rPr>
            </w:pPr>
            <w:r>
              <w:rPr>
                <w:rFonts w:ascii="Arial" w:cs="Arial" w:eastAsia="Arial" w:hAnsi="Arial"/>
                <w:sz w:val="13"/>
                <w:szCs w:val="13"/>
                <w:color w:val="auto"/>
              </w:rPr>
              <w:t>1,545,429</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358,974</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104,446</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Income tax</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(1,393,286)</w:t>
            </w:r>
          </w:p>
        </w:tc>
        <w:tc>
          <w:tcPr>
            <w:tcW w:w="1300" w:type="dxa"/>
            <w:vAlign w:val="bottom"/>
          </w:tcPr>
          <w:p>
            <w:pPr>
              <w:jc w:val="right"/>
              <w:ind w:right="195"/>
              <w:spacing w:after="0" w:line="135" w:lineRule="exact"/>
              <w:rPr>
                <w:sz w:val="20"/>
                <w:szCs w:val="20"/>
                <w:color w:val="auto"/>
              </w:rPr>
            </w:pPr>
            <w:r>
              <w:rPr>
                <w:rFonts w:ascii="Arial" w:cs="Arial" w:eastAsia="Arial" w:hAnsi="Arial"/>
                <w:sz w:val="13"/>
                <w:szCs w:val="13"/>
                <w:color w:val="auto"/>
              </w:rPr>
              <w:t>(1,520,909)</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(1,623,077)</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(472,237)</w:t>
            </w:r>
          </w:p>
        </w:tc>
        <w:tc>
          <w:tcPr>
            <w:tcW w:w="1000" w:type="dxa"/>
            <w:vAlign w:val="bottom"/>
          </w:tcPr>
          <w:p>
            <w:pPr>
              <w:jc w:val="right"/>
              <w:ind w:right="115"/>
              <w:spacing w:after="0" w:line="135" w:lineRule="exact"/>
              <w:rPr>
                <w:sz w:val="20"/>
                <w:szCs w:val="20"/>
                <w:color w:val="auto"/>
              </w:rPr>
            </w:pPr>
            <w:r>
              <w:rPr>
                <w:rFonts w:ascii="Arial" w:cs="Arial" w:eastAsia="Arial" w:hAnsi="Arial"/>
                <w:sz w:val="13"/>
                <w:szCs w:val="13"/>
                <w:color w:val="auto"/>
              </w:rPr>
              <w:t>(422,165)</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(145,799)</w:t>
            </w: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(42,420)</w:t>
            </w: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profit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4,181,648</w:t>
            </w:r>
          </w:p>
        </w:tc>
        <w:tc>
          <w:tcPr>
            <w:tcW w:w="1300" w:type="dxa"/>
            <w:vAlign w:val="bottom"/>
            <w:shd w:val="clear" w:color="auto" w:fill="CCEEFF"/>
          </w:tcPr>
          <w:p>
            <w:pPr>
              <w:jc w:val="right"/>
              <w:ind w:right="255"/>
              <w:spacing w:after="0" w:line="135" w:lineRule="exact"/>
              <w:rPr>
                <w:sz w:val="20"/>
                <w:szCs w:val="20"/>
                <w:color w:val="auto"/>
              </w:rPr>
            </w:pPr>
            <w:r>
              <w:rPr>
                <w:rFonts w:ascii="Arial" w:cs="Arial" w:eastAsia="Arial" w:hAnsi="Arial"/>
                <w:sz w:val="13"/>
                <w:szCs w:val="13"/>
                <w:color w:val="auto"/>
              </w:rPr>
              <w:t>4,071,305</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4,352,331</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1,266,319</w:t>
            </w:r>
          </w:p>
        </w:tc>
        <w:tc>
          <w:tcPr>
            <w:tcW w:w="1000" w:type="dxa"/>
            <w:vAlign w:val="bottom"/>
            <w:shd w:val="clear" w:color="auto" w:fill="CCEEFF"/>
          </w:tcPr>
          <w:p>
            <w:pPr>
              <w:jc w:val="right"/>
              <w:ind w:right="175"/>
              <w:spacing w:after="0" w:line="135" w:lineRule="exact"/>
              <w:rPr>
                <w:sz w:val="20"/>
                <w:szCs w:val="20"/>
                <w:color w:val="auto"/>
              </w:rPr>
            </w:pPr>
            <w:r>
              <w:rPr>
                <w:rFonts w:ascii="Arial" w:cs="Arial" w:eastAsia="Arial" w:hAnsi="Arial"/>
                <w:sz w:val="13"/>
                <w:szCs w:val="13"/>
                <w:color w:val="auto"/>
              </w:rPr>
              <w:t>1,123,264</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213,175</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62,025</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Non-controlling interest</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89,895</w:t>
            </w:r>
          </w:p>
        </w:tc>
        <w:tc>
          <w:tcPr>
            <w:tcW w:w="1300" w:type="dxa"/>
            <w:vAlign w:val="bottom"/>
          </w:tcPr>
          <w:p>
            <w:pPr>
              <w:jc w:val="right"/>
              <w:ind w:right="255"/>
              <w:spacing w:after="0" w:line="135" w:lineRule="exact"/>
              <w:rPr>
                <w:sz w:val="20"/>
                <w:szCs w:val="20"/>
                <w:color w:val="auto"/>
              </w:rPr>
            </w:pPr>
            <w:r>
              <w:rPr>
                <w:rFonts w:ascii="Arial" w:cs="Arial" w:eastAsia="Arial" w:hAnsi="Arial"/>
                <w:sz w:val="13"/>
                <w:szCs w:val="13"/>
                <w:color w:val="auto"/>
              </w:rPr>
              <w:t>87,440</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87,027</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25,321</w:t>
            </w:r>
          </w:p>
        </w:tc>
        <w:tc>
          <w:tcPr>
            <w:tcW w:w="1000" w:type="dxa"/>
            <w:vAlign w:val="bottom"/>
          </w:tcPr>
          <w:p>
            <w:pPr>
              <w:jc w:val="right"/>
              <w:ind w:right="175"/>
              <w:spacing w:after="0" w:line="135" w:lineRule="exact"/>
              <w:rPr>
                <w:sz w:val="20"/>
                <w:szCs w:val="20"/>
                <w:color w:val="auto"/>
              </w:rPr>
            </w:pPr>
            <w:r>
              <w:rPr>
                <w:rFonts w:ascii="Arial" w:cs="Arial" w:eastAsia="Arial" w:hAnsi="Arial"/>
                <w:sz w:val="13"/>
                <w:szCs w:val="13"/>
                <w:color w:val="auto"/>
              </w:rPr>
              <w:t>22,397</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3,901</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1,135</w:t>
            </w: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profit attributable to Credicorp</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4,091,753</w:t>
            </w:r>
          </w:p>
        </w:tc>
        <w:tc>
          <w:tcPr>
            <w:tcW w:w="1300" w:type="dxa"/>
            <w:vAlign w:val="bottom"/>
            <w:shd w:val="clear" w:color="auto" w:fill="CCEEFF"/>
          </w:tcPr>
          <w:p>
            <w:pPr>
              <w:jc w:val="right"/>
              <w:ind w:right="255"/>
              <w:spacing w:after="0" w:line="135" w:lineRule="exact"/>
              <w:rPr>
                <w:sz w:val="20"/>
                <w:szCs w:val="20"/>
                <w:color w:val="auto"/>
              </w:rPr>
            </w:pPr>
            <w:r>
              <w:rPr>
                <w:rFonts w:ascii="Arial" w:cs="Arial" w:eastAsia="Arial" w:hAnsi="Arial"/>
                <w:sz w:val="13"/>
                <w:szCs w:val="13"/>
                <w:color w:val="auto"/>
              </w:rPr>
              <w:t>3,983,865</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4,265,304</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1,240,998</w:t>
            </w:r>
          </w:p>
        </w:tc>
        <w:tc>
          <w:tcPr>
            <w:tcW w:w="1000" w:type="dxa"/>
            <w:vAlign w:val="bottom"/>
            <w:shd w:val="clear" w:color="auto" w:fill="CCEEFF"/>
          </w:tcPr>
          <w:p>
            <w:pPr>
              <w:jc w:val="right"/>
              <w:ind w:right="175"/>
              <w:spacing w:after="0" w:line="135" w:lineRule="exact"/>
              <w:rPr>
                <w:sz w:val="20"/>
                <w:szCs w:val="20"/>
                <w:color w:val="auto"/>
              </w:rPr>
            </w:pPr>
            <w:r>
              <w:rPr>
                <w:rFonts w:ascii="Arial" w:cs="Arial" w:eastAsia="Arial" w:hAnsi="Arial"/>
                <w:sz w:val="13"/>
                <w:szCs w:val="13"/>
                <w:color w:val="auto"/>
              </w:rPr>
              <w:t>1,100,867</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209,274</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60,890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78625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308" w:lineRule="exact"/>
        <w:rPr>
          <w:sz w:val="20"/>
          <w:szCs w:val="20"/>
          <w:color w:val="auto"/>
        </w:rPr>
      </w:pPr>
    </w:p>
    <w:p>
      <w:pPr>
        <w:ind w:left="302" w:right="260" w:hanging="302"/>
        <w:spacing w:after="0" w:line="241" w:lineRule="auto"/>
        <w:tabs>
          <w:tab w:leader="none" w:pos="302" w:val="left"/>
        </w:tabs>
        <w:numPr>
          <w:ilvl w:val="0"/>
          <w:numId w:val="131"/>
        </w:numPr>
        <w:rPr>
          <w:rFonts w:ascii="Arial" w:cs="Arial" w:eastAsia="Arial" w:hAnsi="Arial"/>
          <w:sz w:val="13"/>
          <w:szCs w:val="13"/>
          <w:color w:val="auto"/>
        </w:rPr>
      </w:pPr>
      <w:r>
        <w:rPr>
          <w:rFonts w:ascii="Arial" w:cs="Arial" w:eastAsia="Arial" w:hAnsi="Arial"/>
          <w:sz w:val="13"/>
          <w:szCs w:val="13"/>
          <w:color w:val="auto"/>
        </w:rPr>
        <w:t>For the convenience of the reader data as of and for the three months ended March 31, 2020 and the year ended December 31, 2019 have been translated from Soles into U.S. dollars at a rate of S/3.437 for U.S.$1.00 (the March 31, 2020 exchange rate as published by the SBS).</w:t>
      </w:r>
    </w:p>
    <w:p>
      <w:pPr>
        <w:spacing w:after="0" w:line="166" w:lineRule="exact"/>
        <w:rPr>
          <w:rFonts w:ascii="Arial" w:cs="Arial" w:eastAsia="Arial" w:hAnsi="Arial"/>
          <w:sz w:val="13"/>
          <w:szCs w:val="13"/>
          <w:color w:val="auto"/>
        </w:rPr>
      </w:pPr>
    </w:p>
    <w:p>
      <w:pPr>
        <w:ind w:left="302" w:hanging="302"/>
        <w:spacing w:after="0"/>
        <w:tabs>
          <w:tab w:leader="none" w:pos="302" w:val="left"/>
        </w:tabs>
        <w:numPr>
          <w:ilvl w:val="0"/>
          <w:numId w:val="131"/>
        </w:numPr>
        <w:rPr>
          <w:rFonts w:ascii="Arial" w:cs="Arial" w:eastAsia="Arial" w:hAnsi="Arial"/>
          <w:sz w:val="13"/>
          <w:szCs w:val="13"/>
          <w:color w:val="auto"/>
        </w:rPr>
      </w:pPr>
      <w:r>
        <w:rPr>
          <w:rFonts w:ascii="Arial" w:cs="Arial" w:eastAsia="Arial" w:hAnsi="Arial"/>
          <w:sz w:val="13"/>
          <w:szCs w:val="13"/>
          <w:color w:val="auto"/>
        </w:rPr>
        <w:t>As of 2019, financing expenses related to lease agreements is included according to the application of IFRS 16.</w:t>
      </w:r>
    </w:p>
    <w:p>
      <w:pPr>
        <w:spacing w:after="0" w:line="182" w:lineRule="exact"/>
        <w:rPr>
          <w:rFonts w:ascii="Arial" w:cs="Arial" w:eastAsia="Arial" w:hAnsi="Arial"/>
          <w:sz w:val="13"/>
          <w:szCs w:val="13"/>
          <w:color w:val="auto"/>
        </w:rPr>
      </w:pPr>
    </w:p>
    <w:p>
      <w:pPr>
        <w:ind w:left="302" w:hanging="302"/>
        <w:spacing w:after="0"/>
        <w:tabs>
          <w:tab w:leader="none" w:pos="302" w:val="left"/>
        </w:tabs>
        <w:numPr>
          <w:ilvl w:val="0"/>
          <w:numId w:val="131"/>
        </w:numPr>
        <w:rPr>
          <w:rFonts w:ascii="Arial" w:cs="Arial" w:eastAsia="Arial" w:hAnsi="Arial"/>
          <w:sz w:val="12"/>
          <w:szCs w:val="12"/>
          <w:color w:val="auto"/>
        </w:rPr>
      </w:pPr>
      <w:r>
        <w:rPr>
          <w:rFonts w:ascii="Arial" w:cs="Arial" w:eastAsia="Arial" w:hAnsi="Arial"/>
          <w:sz w:val="12"/>
          <w:szCs w:val="12"/>
          <w:color w:val="auto"/>
        </w:rPr>
        <w:t>Starting in 2019 the gain from other investments in related companies has been included in the item “Net gain in associates”; which previously was presented in the item “Net gain on securities.”</w:t>
      </w:r>
    </w:p>
    <w:p>
      <w:pPr>
        <w:spacing w:after="0" w:line="193" w:lineRule="exact"/>
        <w:rPr>
          <w:rFonts w:ascii="Arial" w:cs="Arial" w:eastAsia="Arial" w:hAnsi="Arial"/>
          <w:sz w:val="12"/>
          <w:szCs w:val="12"/>
          <w:color w:val="auto"/>
        </w:rPr>
      </w:pPr>
    </w:p>
    <w:p>
      <w:pPr>
        <w:ind w:left="302" w:hanging="302"/>
        <w:spacing w:after="0"/>
        <w:tabs>
          <w:tab w:leader="none" w:pos="302" w:val="left"/>
        </w:tabs>
        <w:numPr>
          <w:ilvl w:val="0"/>
          <w:numId w:val="131"/>
        </w:numPr>
        <w:rPr>
          <w:rFonts w:ascii="Arial" w:cs="Arial" w:eastAsia="Arial" w:hAnsi="Arial"/>
          <w:sz w:val="13"/>
          <w:szCs w:val="13"/>
          <w:color w:val="auto"/>
        </w:rPr>
      </w:pPr>
      <w:r>
        <w:rPr>
          <w:rFonts w:ascii="Arial" w:cs="Arial" w:eastAsia="Arial" w:hAnsi="Arial"/>
          <w:sz w:val="13"/>
          <w:szCs w:val="13"/>
          <w:color w:val="auto"/>
        </w:rPr>
        <w:t>Includes gains on other investments, mainly made up of the profit of Banmedica.</w:t>
      </w:r>
    </w:p>
    <w:p>
      <w:pPr>
        <w:spacing w:after="0" w:line="182" w:lineRule="exact"/>
        <w:rPr>
          <w:rFonts w:ascii="Arial" w:cs="Arial" w:eastAsia="Arial" w:hAnsi="Arial"/>
          <w:sz w:val="13"/>
          <w:szCs w:val="13"/>
          <w:color w:val="auto"/>
        </w:rPr>
      </w:pPr>
    </w:p>
    <w:p>
      <w:pPr>
        <w:ind w:left="302" w:hanging="302"/>
        <w:spacing w:after="0"/>
        <w:tabs>
          <w:tab w:leader="none" w:pos="302"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The acquisition costs of Pacifico include net fees and underwriting expenses.</w:t>
      </w:r>
    </w:p>
    <w:p>
      <w:pPr>
        <w:spacing w:after="0" w:line="182" w:lineRule="exact"/>
        <w:rPr>
          <w:rFonts w:ascii="Arial" w:cs="Arial" w:eastAsia="Arial" w:hAnsi="Arial"/>
          <w:sz w:val="13"/>
          <w:szCs w:val="13"/>
          <w:color w:val="auto"/>
        </w:rPr>
      </w:pPr>
    </w:p>
    <w:p>
      <w:pPr>
        <w:ind w:left="302" w:right="200" w:hanging="302"/>
        <w:spacing w:after="0" w:line="241" w:lineRule="auto"/>
        <w:tabs>
          <w:tab w:leader="none" w:pos="302" w:val="left"/>
        </w:tabs>
        <w:numPr>
          <w:ilvl w:val="0"/>
          <w:numId w:val="131"/>
        </w:numPr>
        <w:rPr>
          <w:rFonts w:ascii="Arial" w:cs="Arial" w:eastAsia="Arial" w:hAnsi="Arial"/>
          <w:sz w:val="13"/>
          <w:szCs w:val="13"/>
          <w:color w:val="auto"/>
        </w:rPr>
      </w:pPr>
      <w:r>
        <w:rPr>
          <w:rFonts w:ascii="Arial" w:cs="Arial" w:eastAsia="Arial" w:hAnsi="Arial"/>
          <w:sz w:val="13"/>
          <w:szCs w:val="13"/>
          <w:color w:val="auto"/>
        </w:rPr>
        <w:t>From the first quarter of 2019,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spacing w:after="0" w:line="166" w:lineRule="exact"/>
        <w:rPr>
          <w:rFonts w:ascii="Arial" w:cs="Arial" w:eastAsia="Arial" w:hAnsi="Arial"/>
          <w:sz w:val="13"/>
          <w:szCs w:val="13"/>
          <w:color w:val="auto"/>
        </w:rPr>
      </w:pPr>
    </w:p>
    <w:p>
      <w:pPr>
        <w:ind w:left="302" w:hanging="302"/>
        <w:spacing w:after="0"/>
        <w:tabs>
          <w:tab w:leader="none" w:pos="302" w:val="left"/>
        </w:tabs>
        <w:numPr>
          <w:ilvl w:val="0"/>
          <w:numId w:val="131"/>
        </w:numPr>
        <w:rPr>
          <w:rFonts w:ascii="Arial" w:cs="Arial" w:eastAsia="Arial" w:hAnsi="Arial"/>
          <w:sz w:val="13"/>
          <w:szCs w:val="13"/>
          <w:color w:val="auto"/>
        </w:rPr>
      </w:pPr>
      <w:r>
        <w:rPr>
          <w:rFonts w:ascii="Arial" w:cs="Arial" w:eastAsia="Arial" w:hAnsi="Arial"/>
          <w:sz w:val="13"/>
          <w:szCs w:val="13"/>
          <w:color w:val="auto"/>
        </w:rPr>
        <w:t>From this quarter, the item “Association in participation” was incorporated, which previously was presented in the item “Net gain on securities.”</w:t>
      </w:r>
    </w:p>
    <w:p>
      <w:pPr>
        <w:spacing w:after="0" w:line="38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40" w:right="3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b w:val="1"/>
          <w:bCs w:val="1"/>
          <w:color w:val="auto"/>
        </w:rPr>
        <w:t>Consolidated Statement of Financial Position Data</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sets forth certain of our consolidated statement of financial position data as of the periods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4"/>
          </w:tcPr>
          <w:p>
            <w:pPr>
              <w:jc w:val="right"/>
              <w:ind w:right="720"/>
              <w:spacing w:after="0"/>
              <w:rPr>
                <w:sz w:val="20"/>
                <w:szCs w:val="20"/>
                <w:color w:val="auto"/>
              </w:rPr>
            </w:pPr>
            <w:r>
              <w:rPr>
                <w:rFonts w:ascii="Arial" w:cs="Arial" w:eastAsia="Arial" w:hAnsi="Arial"/>
                <w:sz w:val="13"/>
                <w:szCs w:val="13"/>
                <w:b w:val="1"/>
                <w:bCs w:val="1"/>
                <w:color w:val="auto"/>
              </w:rPr>
              <w:t>As of December 31,</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4"/>
          </w:tcPr>
          <w:p>
            <w:pPr>
              <w:jc w:val="right"/>
              <w:ind w:right="700"/>
              <w:spacing w:after="0"/>
              <w:rPr>
                <w:sz w:val="20"/>
                <w:szCs w:val="20"/>
                <w:color w:val="auto"/>
              </w:rPr>
            </w:pPr>
            <w:r>
              <w:rPr>
                <w:rFonts w:ascii="Arial" w:cs="Arial" w:eastAsia="Arial" w:hAnsi="Arial"/>
                <w:sz w:val="13"/>
                <w:szCs w:val="13"/>
                <w:b w:val="1"/>
                <w:bCs w:val="1"/>
                <w:color w:val="auto"/>
              </w:rPr>
              <w:t>As of March 31,</w:t>
            </w:r>
          </w:p>
        </w:tc>
      </w:tr>
      <w:tr>
        <w:trPr>
          <w:trHeight w:val="127"/>
        </w:trPr>
        <w:tc>
          <w:tcPr>
            <w:tcW w:w="4620" w:type="dxa"/>
            <w:vAlign w:val="bottom"/>
          </w:tcPr>
          <w:p>
            <w:pPr>
              <w:spacing w:after="0"/>
              <w:rPr>
                <w:sz w:val="11"/>
                <w:szCs w:val="11"/>
                <w:color w:val="auto"/>
              </w:rPr>
            </w:pPr>
          </w:p>
        </w:tc>
        <w:tc>
          <w:tcPr>
            <w:tcW w:w="940" w:type="dxa"/>
            <w:vAlign w:val="bottom"/>
            <w:tcBorders>
              <w:top w:val="single" w:sz="8" w:color="auto"/>
              <w:bottom w:val="single" w:sz="8" w:color="auto"/>
            </w:tcBorders>
          </w:tcPr>
          <w:p>
            <w:pPr>
              <w:jc w:val="right"/>
              <w:ind w:right="315"/>
              <w:spacing w:after="0" w:line="128" w:lineRule="exact"/>
              <w:rPr>
                <w:sz w:val="20"/>
                <w:szCs w:val="20"/>
                <w:color w:val="auto"/>
              </w:rPr>
            </w:pPr>
            <w:r>
              <w:rPr>
                <w:rFonts w:ascii="Arial" w:cs="Arial" w:eastAsia="Arial" w:hAnsi="Arial"/>
                <w:sz w:val="13"/>
                <w:szCs w:val="13"/>
                <w:b w:val="1"/>
                <w:bCs w:val="1"/>
                <w:color w:val="auto"/>
              </w:rPr>
              <w:t>2017</w:t>
            </w:r>
          </w:p>
        </w:tc>
        <w:tc>
          <w:tcPr>
            <w:tcW w:w="6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gridSpan w:val="2"/>
          </w:tcPr>
          <w:p>
            <w:pPr>
              <w:jc w:val="right"/>
              <w:ind w:right="275"/>
              <w:spacing w:after="0" w:line="128" w:lineRule="exact"/>
              <w:rPr>
                <w:sz w:val="20"/>
                <w:szCs w:val="20"/>
                <w:color w:val="auto"/>
              </w:rPr>
            </w:pPr>
            <w:r>
              <w:rPr>
                <w:rFonts w:ascii="Arial" w:cs="Arial" w:eastAsia="Arial" w:hAnsi="Arial"/>
                <w:sz w:val="13"/>
                <w:szCs w:val="13"/>
                <w:b w:val="1"/>
                <w:bCs w:val="1"/>
                <w:color w:val="auto"/>
              </w:rPr>
              <w:t>2018</w:t>
            </w:r>
          </w:p>
        </w:tc>
        <w:tc>
          <w:tcPr>
            <w:tcW w:w="2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75"/>
              <w:spacing w:after="0" w:line="128"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75"/>
              <w:spacing w:after="0" w:line="128" w:lineRule="exact"/>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75"/>
              <w:spacing w:after="0" w:line="128"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95"/>
              <w:spacing w:after="0" w:line="12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r>
      <w:tr>
        <w:trPr>
          <w:trHeight w:val="107"/>
        </w:trPr>
        <w:tc>
          <w:tcPr>
            <w:tcW w:w="4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4"/>
              </w:rPr>
              <w:t>(U.S.</w:t>
            </w:r>
          </w:p>
        </w:tc>
        <w:tc>
          <w:tcPr>
            <w:tcW w:w="100" w:type="dxa"/>
            <w:vAlign w:val="bottom"/>
          </w:tcPr>
          <w:p>
            <w:pPr>
              <w:spacing w:after="0"/>
              <w:rPr>
                <w:sz w:val="9"/>
                <w:szCs w:val="9"/>
                <w:color w:val="auto"/>
              </w:rPr>
            </w:pPr>
          </w:p>
        </w:tc>
      </w:tr>
      <w:tr>
        <w:trPr>
          <w:trHeight w:val="135"/>
        </w:trPr>
        <w:tc>
          <w:tcPr>
            <w:tcW w:w="4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(U.S. dollars in</w:t>
            </w: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(Soles in</w:t>
            </w: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dollars in</w:t>
            </w:r>
          </w:p>
        </w:tc>
      </w:tr>
      <w:tr>
        <w:trPr>
          <w:trHeight w:val="155"/>
        </w:trPr>
        <w:tc>
          <w:tcPr>
            <w:tcW w:w="4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87"/>
              </w:rPr>
              <w:t>(Soles in thousands)</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thousands)(1)</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thousands)</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thousands)(1)</w:t>
            </w:r>
          </w:p>
        </w:tc>
      </w:tr>
      <w:tr>
        <w:trPr>
          <w:trHeight w:val="127"/>
        </w:trPr>
        <w:tc>
          <w:tcPr>
            <w:tcW w:w="46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420"/>
              <w:spacing w:after="0" w:line="128" w:lineRule="exact"/>
              <w:rPr>
                <w:sz w:val="20"/>
                <w:szCs w:val="20"/>
                <w:color w:val="auto"/>
              </w:rPr>
            </w:pPr>
            <w:r>
              <w:rPr>
                <w:rFonts w:ascii="Arial" w:cs="Arial" w:eastAsia="Arial" w:hAnsi="Arial"/>
                <w:sz w:val="13"/>
                <w:szCs w:val="13"/>
                <w:b w:val="1"/>
                <w:bCs w:val="1"/>
                <w:color w:val="auto"/>
              </w:rPr>
              <w:t>(audited)</w:t>
            </w: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1"/>
              </w:rPr>
              <w:t>(audited)</w:t>
            </w:r>
          </w:p>
        </w:tc>
        <w:tc>
          <w:tcPr>
            <w:tcW w:w="220" w:type="dxa"/>
            <w:vAlign w:val="bottom"/>
          </w:tcPr>
          <w:p>
            <w:pPr>
              <w:spacing w:after="0"/>
              <w:rPr>
                <w:sz w:val="11"/>
                <w:szCs w:val="11"/>
                <w:color w:val="auto"/>
              </w:rPr>
            </w:pPr>
          </w:p>
        </w:tc>
        <w:tc>
          <w:tcPr>
            <w:tcW w:w="9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3"/>
              </w:rPr>
              <w:t>(unaudited)</w:t>
            </w:r>
          </w:p>
        </w:tc>
        <w:tc>
          <w:tcPr>
            <w:tcW w:w="220" w:type="dxa"/>
            <w:vAlign w:val="bottom"/>
          </w:tcPr>
          <w:p>
            <w:pPr>
              <w:spacing w:after="0"/>
              <w:rPr>
                <w:sz w:val="11"/>
                <w:szCs w:val="11"/>
                <w:color w:val="auto"/>
              </w:rPr>
            </w:pPr>
          </w:p>
        </w:tc>
        <w:tc>
          <w:tcPr>
            <w:tcW w:w="9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3"/>
              </w:rPr>
              <w:t>(unaudited)</w:t>
            </w:r>
          </w:p>
        </w:tc>
        <w:tc>
          <w:tcPr>
            <w:tcW w:w="100" w:type="dxa"/>
            <w:vAlign w:val="bottom"/>
          </w:tcPr>
          <w:p>
            <w:pPr>
              <w:spacing w:after="0"/>
              <w:rPr>
                <w:sz w:val="11"/>
                <w:szCs w:val="11"/>
                <w:color w:val="auto"/>
              </w:rPr>
            </w:pP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ASSETS</w:t>
            </w: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b w:val="1"/>
                <w:bCs w:val="1"/>
                <w:color w:val="auto"/>
              </w:rPr>
              <w:t>Cash and due from banks(1)</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Non-interest bearing</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6,019,776</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7,435,807</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6,177,356</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1,797,310</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6,787,357</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1,974,791</w:t>
            </w: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Interest bearing</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17,202,211</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14,732,709</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19,809,406</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5,763,575</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19,538,429</w:t>
            </w:r>
          </w:p>
        </w:tc>
        <w:tc>
          <w:tcPr>
            <w:tcW w:w="2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5,684,733</w:t>
            </w: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cash and due from banks</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23,221,987</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22,168,516</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25,986,762</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7,560,885</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26,325,786</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7,659,525</w:t>
            </w: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Cash collateral, reverse repurchase agreements and securities borrowing(1)</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7,480,420</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4,082,942</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4,288,524</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1,247,752</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4,424,345</w:t>
            </w:r>
          </w:p>
        </w:tc>
        <w:tc>
          <w:tcPr>
            <w:tcW w:w="2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1,287,269</w:t>
            </w: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Fair value through profit or loss investments</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4,024,737</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3,512,445</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3,850,762</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1,120,385</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4,185,638</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1,217,817</w:t>
            </w: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Fair value through other comprehensive income investments</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25,195,835</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26,202,723</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7,623,719</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28,388,371</w:t>
            </w:r>
          </w:p>
        </w:tc>
        <w:tc>
          <w:tcPr>
            <w:tcW w:w="2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8,259,637</w:t>
            </w: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Available for sale</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24,423,891</w:t>
            </w:r>
          </w:p>
        </w:tc>
        <w:tc>
          <w:tcPr>
            <w:tcW w:w="1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Amortized cost investments</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4,154,838</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3,477,046</w:t>
            </w:r>
          </w:p>
        </w:tc>
        <w:tc>
          <w:tcPr>
            <w:tcW w:w="220" w:type="dxa"/>
            <w:vAlign w:val="bottom"/>
          </w:tcPr>
          <w:p>
            <w:pPr>
              <w:spacing w:after="0"/>
              <w:rPr>
                <w:sz w:val="11"/>
                <w:szCs w:val="11"/>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1,011,651</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4,242,643</w:t>
            </w:r>
          </w:p>
        </w:tc>
        <w:tc>
          <w:tcPr>
            <w:tcW w:w="2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1,234,403</w:t>
            </w: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Held-to-maturity</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4,413,373</w:t>
            </w:r>
          </w:p>
        </w:tc>
        <w:tc>
          <w:tcPr>
            <w:tcW w:w="1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Loans</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100,477,775</w:t>
            </w:r>
          </w:p>
        </w:tc>
        <w:tc>
          <w:tcPr>
            <w:tcW w:w="126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110,759,390</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115,609,679</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33,636,799</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120,708,515</w:t>
            </w:r>
          </w:p>
        </w:tc>
        <w:tc>
          <w:tcPr>
            <w:tcW w:w="2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35,120,313</w:t>
            </w: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Current</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97,458,552</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107,642,312</w:t>
            </w:r>
          </w:p>
        </w:tc>
        <w:tc>
          <w:tcPr>
            <w:tcW w:w="2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112,311,888</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32,677,302</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117,129,011</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34,078,851</w:t>
            </w: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Internal overdue loans</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3,019,223</w:t>
            </w:r>
          </w:p>
        </w:tc>
        <w:tc>
          <w:tcPr>
            <w:tcW w:w="126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3,117,078</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3,297,791</w:t>
            </w:r>
          </w:p>
        </w:tc>
        <w:tc>
          <w:tcPr>
            <w:tcW w:w="220" w:type="dxa"/>
            <w:vAlign w:val="bottom"/>
          </w:tcPr>
          <w:p>
            <w:pPr>
              <w:spacing w:after="0"/>
              <w:rPr>
                <w:sz w:val="11"/>
                <w:szCs w:val="11"/>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959,497</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3,579,504</w:t>
            </w:r>
          </w:p>
        </w:tc>
        <w:tc>
          <w:tcPr>
            <w:tcW w:w="2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1,041,462</w:t>
            </w: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Less - allowance for loan losses</w:t>
            </w:r>
          </w:p>
        </w:tc>
        <w:tc>
          <w:tcPr>
            <w:tcW w:w="10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(4,500,498)</w:t>
            </w:r>
          </w:p>
        </w:tc>
        <w:tc>
          <w:tcPr>
            <w:tcW w:w="126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(4,952,392)</w:t>
            </w:r>
          </w:p>
        </w:tc>
        <w:tc>
          <w:tcPr>
            <w:tcW w:w="11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(5,123,962)</w:t>
            </w:r>
          </w:p>
        </w:tc>
        <w:tc>
          <w:tcPr>
            <w:tcW w:w="11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(1,490,824)</w:t>
            </w:r>
          </w:p>
        </w:tc>
        <w:tc>
          <w:tcPr>
            <w:tcW w:w="11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(5,931,772)</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(1,725,857)</w:t>
            </w: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Loans, net</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95,977,277</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105,806,998</w:t>
            </w:r>
          </w:p>
        </w:tc>
        <w:tc>
          <w:tcPr>
            <w:tcW w:w="220" w:type="dxa"/>
            <w:vAlign w:val="bottom"/>
          </w:tcPr>
          <w:p>
            <w:pPr>
              <w:spacing w:after="0"/>
              <w:rPr>
                <w:sz w:val="11"/>
                <w:szCs w:val="11"/>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110,485,717</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32,145,975</w:t>
            </w:r>
          </w:p>
        </w:tc>
        <w:tc>
          <w:tcPr>
            <w:tcW w:w="220" w:type="dxa"/>
            <w:vAlign w:val="bottom"/>
          </w:tcPr>
          <w:p>
            <w:pPr>
              <w:spacing w:after="0"/>
              <w:rPr>
                <w:sz w:val="11"/>
                <w:szCs w:val="11"/>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114,776,743</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33,394,455</w:t>
            </w: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Financial assets designated at fair value through profit or loss(2)</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537,685</w:t>
            </w:r>
          </w:p>
        </w:tc>
        <w:tc>
          <w:tcPr>
            <w:tcW w:w="126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521,186</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620,544</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180,548</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559,321</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162,735</w:t>
            </w: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Accounts receivable from reinsurers and coinsurers</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715,695</w:t>
            </w:r>
          </w:p>
        </w:tc>
        <w:tc>
          <w:tcPr>
            <w:tcW w:w="126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842,043</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791,704</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230,347</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787,672</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229,174</w:t>
            </w: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Premiums and other policyholder receivables</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656,829</w:t>
            </w:r>
          </w:p>
        </w:tc>
        <w:tc>
          <w:tcPr>
            <w:tcW w:w="126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887,273</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838,731</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244,030</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822,669</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239,357</w:t>
            </w: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Property, plant and equipment, net(3)</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1,509,492</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1,480,702</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1,428,173</w:t>
            </w:r>
          </w:p>
        </w:tc>
        <w:tc>
          <w:tcPr>
            <w:tcW w:w="220" w:type="dxa"/>
            <w:vAlign w:val="bottom"/>
          </w:tcPr>
          <w:p>
            <w:pPr>
              <w:spacing w:after="0"/>
              <w:rPr>
                <w:sz w:val="11"/>
                <w:szCs w:val="11"/>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415,529</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1,397,089</w:t>
            </w:r>
          </w:p>
        </w:tc>
        <w:tc>
          <w:tcPr>
            <w:tcW w:w="2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406,485</w:t>
            </w: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Right-of-use assets, net</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839,086</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244,133</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805,997</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234,506</w:t>
            </w: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Due from customers on acceptances</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532,034</w:t>
            </w:r>
          </w:p>
        </w:tc>
        <w:tc>
          <w:tcPr>
            <w:tcW w:w="126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967,968</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535,222</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155,724</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555,598</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161,652</w:t>
            </w: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Investments in associates(4)</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708,873</w:t>
            </w:r>
          </w:p>
        </w:tc>
        <w:tc>
          <w:tcPr>
            <w:tcW w:w="126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582,132</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628,822</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182,957</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618,310</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179,898</w:t>
            </w: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Intangible assets and goodwill, net</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1,978,865</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2,055,702</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2,552,274</w:t>
            </w:r>
          </w:p>
        </w:tc>
        <w:tc>
          <w:tcPr>
            <w:tcW w:w="220" w:type="dxa"/>
            <w:vAlign w:val="bottom"/>
          </w:tcPr>
          <w:p>
            <w:pPr>
              <w:spacing w:after="0"/>
              <w:rPr>
                <w:sz w:val="11"/>
                <w:szCs w:val="11"/>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742,588</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2,424,404</w:t>
            </w:r>
          </w:p>
        </w:tc>
        <w:tc>
          <w:tcPr>
            <w:tcW w:w="2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705,384</w:t>
            </w: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assets(5)</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4,291,125</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5,004,621</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5,350,601</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1,556,765</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7,507,302</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2,184,260</w:t>
            </w:r>
          </w:p>
        </w:tc>
      </w:tr>
      <w:tr>
        <w:trPr>
          <w:trHeight w:val="167"/>
        </w:trPr>
        <w:tc>
          <w:tcPr>
            <w:tcW w:w="4620" w:type="dxa"/>
            <w:vAlign w:val="bottom"/>
            <w:tcBorders>
              <w:bottom w:val="single" w:sz="8" w:color="CCEEFF"/>
            </w:tcBorders>
          </w:tcPr>
          <w:p>
            <w:pPr>
              <w:spacing w:after="0" w:line="128" w:lineRule="exact"/>
              <w:rPr>
                <w:sz w:val="20"/>
                <w:szCs w:val="20"/>
                <w:color w:val="auto"/>
              </w:rPr>
            </w:pPr>
            <w:r>
              <w:rPr>
                <w:rFonts w:ascii="Arial" w:cs="Arial" w:eastAsia="Arial" w:hAnsi="Arial"/>
                <w:sz w:val="13"/>
                <w:szCs w:val="13"/>
                <w:color w:val="auto"/>
              </w:rPr>
              <w:t>Total Assets</w:t>
            </w:r>
          </w:p>
        </w:tc>
        <w:tc>
          <w:tcPr>
            <w:tcW w:w="94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170,472,283</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177,263,201</w:t>
            </w:r>
          </w:p>
        </w:tc>
        <w:tc>
          <w:tcPr>
            <w:tcW w:w="22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187,876,691</w:t>
            </w:r>
          </w:p>
        </w:tc>
        <w:tc>
          <w:tcPr>
            <w:tcW w:w="22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54,662,988</w:t>
            </w:r>
          </w:p>
        </w:tc>
        <w:tc>
          <w:tcPr>
            <w:tcW w:w="22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197,821,889</w:t>
            </w:r>
          </w:p>
        </w:tc>
        <w:tc>
          <w:tcPr>
            <w:tcW w:w="22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57,556,558</w:t>
            </w:r>
          </w:p>
        </w:tc>
        <w:tc>
          <w:tcPr>
            <w:tcW w:w="100" w:type="dxa"/>
            <w:vAlign w:val="bottom"/>
            <w:tcBorders>
              <w:bottom w:val="single" w:sz="8" w:color="CCEEFF"/>
            </w:tcBorders>
          </w:tcPr>
          <w:p>
            <w:pPr>
              <w:spacing w:after="0"/>
              <w:rPr>
                <w:sz w:val="14"/>
                <w:szCs w:val="14"/>
                <w:color w:val="auto"/>
              </w:rPr>
            </w:pPr>
          </w:p>
        </w:tc>
      </w:tr>
      <w:tr>
        <w:trPr>
          <w:trHeight w:val="112"/>
        </w:trPr>
        <w:tc>
          <w:tcPr>
            <w:tcW w:w="4620" w:type="dxa"/>
            <w:vAlign w:val="bottom"/>
            <w:shd w:val="clear" w:color="auto" w:fill="CCEEFF"/>
          </w:tcPr>
          <w:p>
            <w:pPr>
              <w:spacing w:after="0" w:line="112" w:lineRule="exact"/>
              <w:rPr>
                <w:sz w:val="20"/>
                <w:szCs w:val="20"/>
                <w:color w:val="auto"/>
              </w:rPr>
            </w:pPr>
            <w:r>
              <w:rPr>
                <w:rFonts w:ascii="Arial" w:cs="Arial" w:eastAsia="Arial" w:hAnsi="Arial"/>
                <w:sz w:val="12"/>
                <w:szCs w:val="12"/>
                <w:b w:val="1"/>
                <w:bCs w:val="1"/>
                <w:color w:val="auto"/>
              </w:rPr>
              <w:t>LIABILITIES AND EQUITY</w:t>
            </w:r>
          </w:p>
        </w:tc>
        <w:tc>
          <w:tcPr>
            <w:tcW w:w="9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b w:val="1"/>
                <w:bCs w:val="1"/>
                <w:color w:val="auto"/>
              </w:rPr>
              <w:t>Deposits and obligations</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Non-interest bearing</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29,382,909</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32,249,606</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33,830,166</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9,842,935</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38,482,377</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11,196,502</w:t>
            </w: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Interest bearing</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67,787,502</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72,301,704</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78,175,219</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22,745,190</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81,081,168</w:t>
            </w:r>
          </w:p>
        </w:tc>
        <w:tc>
          <w:tcPr>
            <w:tcW w:w="2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23,590,680</w:t>
            </w: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deposits and obligations</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97,170,411</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104,551,310</w:t>
            </w:r>
          </w:p>
        </w:tc>
        <w:tc>
          <w:tcPr>
            <w:tcW w:w="2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112,005,385</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32,588,125</w:t>
            </w:r>
          </w:p>
        </w:tc>
        <w:tc>
          <w:tcPr>
            <w:tcW w:w="2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119,563,545</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34,787,182</w:t>
            </w: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Payables from repurchase agreements and securities lending</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13,415,843</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9,415,357</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7,678,016</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2,233,930</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8,254,726</w:t>
            </w:r>
          </w:p>
        </w:tc>
        <w:tc>
          <w:tcPr>
            <w:tcW w:w="2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2,401,724</w:t>
            </w: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BCRP instruments</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9,467,943</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5,226,870</w:t>
            </w:r>
          </w:p>
        </w:tc>
        <w:tc>
          <w:tcPr>
            <w:tcW w:w="2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4,381,011</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1,274,661</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5,346,373</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1,555,535</w:t>
            </w: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Repurchase agreements with third parties</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2,360,763</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2,638,231</w:t>
            </w:r>
          </w:p>
        </w:tc>
        <w:tc>
          <w:tcPr>
            <w:tcW w:w="220" w:type="dxa"/>
            <w:vAlign w:val="bottom"/>
          </w:tcPr>
          <w:p>
            <w:pPr>
              <w:spacing w:after="0"/>
              <w:rPr>
                <w:sz w:val="11"/>
                <w:szCs w:val="11"/>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1,820,911</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529,797</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1,935,879</w:t>
            </w:r>
          </w:p>
        </w:tc>
        <w:tc>
          <w:tcPr>
            <w:tcW w:w="2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563,247</w:t>
            </w: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agreements with customers</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1,587,137</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1,550,256</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1,476,094</w:t>
            </w:r>
          </w:p>
        </w:tc>
        <w:tc>
          <w:tcPr>
            <w:tcW w:w="2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429,472</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972,474</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282,943</w:t>
            </w:r>
          </w:p>
        </w:tc>
      </w:tr>
      <w:tr>
        <w:trPr>
          <w:trHeight w:val="165"/>
        </w:trPr>
        <w:tc>
          <w:tcPr>
            <w:tcW w:w="4620" w:type="dxa"/>
            <w:vAlign w:val="bottom"/>
          </w:tcPr>
          <w:p>
            <w:pPr>
              <w:spacing w:after="0"/>
              <w:rPr>
                <w:sz w:val="20"/>
                <w:szCs w:val="20"/>
                <w:color w:val="auto"/>
              </w:rPr>
            </w:pPr>
            <w:r>
              <w:rPr>
                <w:rFonts w:ascii="Arial" w:cs="Arial" w:eastAsia="Arial" w:hAnsi="Arial"/>
                <w:sz w:val="13"/>
                <w:szCs w:val="13"/>
                <w:color w:val="auto"/>
              </w:rPr>
              <w:t>Due to banks and correspondents</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7,996,889</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8,448,140</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8,841,732</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2,572,514</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9,854,630</w:t>
            </w:r>
          </w:p>
        </w:tc>
        <w:tc>
          <w:tcPr>
            <w:tcW w:w="2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2,867,219</w:t>
            </w:r>
          </w:p>
        </w:tc>
      </w:tr>
    </w:tbl>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21" w:name="page122"/>
    <w:bookmarkEnd w:id="121"/>
    <w:tbl>
      <w:tblPr>
        <w:tblLayout w:type="fixed"/>
        <w:tblInd w:w="2" w:type="dxa"/>
        <w:tblCellMar>
          <w:top w:w="0" w:type="dxa"/>
          <w:left w:w="0" w:type="dxa"/>
          <w:bottom w:w="0" w:type="dxa"/>
          <w:right w:w="0" w:type="dxa"/>
        </w:tblCellMar>
      </w:tblPr>
      <w:tr>
        <w:trPr>
          <w:trHeight w:val="155"/>
        </w:trPr>
        <w:tc>
          <w:tcPr>
            <w:tcW w:w="4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4"/>
          </w:tcPr>
          <w:p>
            <w:pPr>
              <w:jc w:val="right"/>
              <w:ind w:right="720"/>
              <w:spacing w:after="0"/>
              <w:rPr>
                <w:sz w:val="20"/>
                <w:szCs w:val="20"/>
                <w:color w:val="auto"/>
              </w:rPr>
            </w:pPr>
            <w:r>
              <w:rPr>
                <w:rFonts w:ascii="Arial" w:cs="Arial" w:eastAsia="Arial" w:hAnsi="Arial"/>
                <w:sz w:val="13"/>
                <w:szCs w:val="13"/>
                <w:b w:val="1"/>
                <w:bCs w:val="1"/>
                <w:color w:val="auto"/>
              </w:rPr>
              <w:t>As of December 31,</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4"/>
          </w:tcPr>
          <w:p>
            <w:pPr>
              <w:jc w:val="right"/>
              <w:ind w:right="700"/>
              <w:spacing w:after="0"/>
              <w:rPr>
                <w:sz w:val="20"/>
                <w:szCs w:val="20"/>
                <w:color w:val="auto"/>
              </w:rPr>
            </w:pPr>
            <w:r>
              <w:rPr>
                <w:rFonts w:ascii="Arial" w:cs="Arial" w:eastAsia="Arial" w:hAnsi="Arial"/>
                <w:sz w:val="13"/>
                <w:szCs w:val="13"/>
                <w:b w:val="1"/>
                <w:bCs w:val="1"/>
                <w:color w:val="auto"/>
              </w:rPr>
              <w:t>As of March 31,</w:t>
            </w:r>
          </w:p>
        </w:tc>
        <w:tc>
          <w:tcPr>
            <w:tcW w:w="0" w:type="dxa"/>
            <w:vAlign w:val="bottom"/>
          </w:tcPr>
          <w:p>
            <w:pPr>
              <w:spacing w:after="0"/>
              <w:rPr>
                <w:sz w:val="1"/>
                <w:szCs w:val="1"/>
                <w:color w:val="auto"/>
              </w:rPr>
            </w:pPr>
          </w:p>
        </w:tc>
      </w:tr>
      <w:tr>
        <w:trPr>
          <w:trHeight w:val="127"/>
        </w:trPr>
        <w:tc>
          <w:tcPr>
            <w:tcW w:w="4620" w:type="dxa"/>
            <w:vAlign w:val="bottom"/>
          </w:tcPr>
          <w:p>
            <w:pPr>
              <w:spacing w:after="0"/>
              <w:rPr>
                <w:sz w:val="11"/>
                <w:szCs w:val="11"/>
                <w:color w:val="auto"/>
              </w:rPr>
            </w:pPr>
          </w:p>
        </w:tc>
        <w:tc>
          <w:tcPr>
            <w:tcW w:w="940" w:type="dxa"/>
            <w:vAlign w:val="bottom"/>
            <w:tcBorders>
              <w:top w:val="single" w:sz="8" w:color="auto"/>
              <w:bottom w:val="single" w:sz="8" w:color="auto"/>
            </w:tcBorders>
          </w:tcPr>
          <w:p>
            <w:pPr>
              <w:jc w:val="right"/>
              <w:ind w:right="315"/>
              <w:spacing w:after="0" w:line="128" w:lineRule="exact"/>
              <w:rPr>
                <w:sz w:val="20"/>
                <w:szCs w:val="20"/>
                <w:color w:val="auto"/>
              </w:rPr>
            </w:pPr>
            <w:r>
              <w:rPr>
                <w:rFonts w:ascii="Arial" w:cs="Arial" w:eastAsia="Arial" w:hAnsi="Arial"/>
                <w:sz w:val="13"/>
                <w:szCs w:val="13"/>
                <w:b w:val="1"/>
                <w:bCs w:val="1"/>
                <w:color w:val="auto"/>
              </w:rPr>
              <w:t>2017</w:t>
            </w:r>
          </w:p>
        </w:tc>
        <w:tc>
          <w:tcPr>
            <w:tcW w:w="6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gridSpan w:val="2"/>
          </w:tcPr>
          <w:p>
            <w:pPr>
              <w:jc w:val="right"/>
              <w:ind w:right="275"/>
              <w:spacing w:after="0" w:line="128" w:lineRule="exact"/>
              <w:rPr>
                <w:sz w:val="20"/>
                <w:szCs w:val="20"/>
                <w:color w:val="auto"/>
              </w:rPr>
            </w:pPr>
            <w:r>
              <w:rPr>
                <w:rFonts w:ascii="Arial" w:cs="Arial" w:eastAsia="Arial" w:hAnsi="Arial"/>
                <w:sz w:val="13"/>
                <w:szCs w:val="13"/>
                <w:b w:val="1"/>
                <w:bCs w:val="1"/>
                <w:color w:val="auto"/>
              </w:rPr>
              <w:t>2018</w:t>
            </w:r>
          </w:p>
        </w:tc>
        <w:tc>
          <w:tcPr>
            <w:tcW w:w="2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75"/>
              <w:spacing w:after="0" w:line="128"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75"/>
              <w:spacing w:after="0" w:line="128" w:lineRule="exact"/>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75"/>
              <w:spacing w:after="0" w:line="128"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95"/>
              <w:spacing w:after="0" w:line="128"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4"/>
              </w:rPr>
              <w:t>(U.S.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(U.S. dollars in</w:t>
            </w: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(Soles in</w:t>
            </w: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dollars in</w:t>
            </w: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87"/>
              </w:rPr>
              <w:t>(Soles in thousands)</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thousands)(1)</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thousands)</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thousands)(1)</w:t>
            </w:r>
          </w:p>
        </w:tc>
        <w:tc>
          <w:tcPr>
            <w:tcW w:w="0" w:type="dxa"/>
            <w:vAlign w:val="bottom"/>
          </w:tcPr>
          <w:p>
            <w:pPr>
              <w:spacing w:after="0"/>
              <w:rPr>
                <w:sz w:val="1"/>
                <w:szCs w:val="1"/>
                <w:color w:val="auto"/>
              </w:rPr>
            </w:pPr>
          </w:p>
        </w:tc>
      </w:tr>
      <w:tr>
        <w:trPr>
          <w:trHeight w:val="127"/>
        </w:trPr>
        <w:tc>
          <w:tcPr>
            <w:tcW w:w="46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420"/>
              <w:spacing w:after="0" w:line="128" w:lineRule="exact"/>
              <w:rPr>
                <w:sz w:val="20"/>
                <w:szCs w:val="20"/>
                <w:color w:val="auto"/>
              </w:rPr>
            </w:pPr>
            <w:r>
              <w:rPr>
                <w:rFonts w:ascii="Arial" w:cs="Arial" w:eastAsia="Arial" w:hAnsi="Arial"/>
                <w:sz w:val="13"/>
                <w:szCs w:val="13"/>
                <w:b w:val="1"/>
                <w:bCs w:val="1"/>
                <w:color w:val="auto"/>
              </w:rPr>
              <w:t>(audited)</w:t>
            </w: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1"/>
              </w:rPr>
              <w:t>(audited)</w:t>
            </w:r>
          </w:p>
        </w:tc>
        <w:tc>
          <w:tcPr>
            <w:tcW w:w="220" w:type="dxa"/>
            <w:vAlign w:val="bottom"/>
          </w:tcPr>
          <w:p>
            <w:pPr>
              <w:spacing w:after="0"/>
              <w:rPr>
                <w:sz w:val="11"/>
                <w:szCs w:val="11"/>
                <w:color w:val="auto"/>
              </w:rPr>
            </w:pPr>
          </w:p>
        </w:tc>
        <w:tc>
          <w:tcPr>
            <w:tcW w:w="9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3"/>
              </w:rPr>
              <w:t>(unaudited)</w:t>
            </w:r>
          </w:p>
        </w:tc>
        <w:tc>
          <w:tcPr>
            <w:tcW w:w="220" w:type="dxa"/>
            <w:vAlign w:val="bottom"/>
          </w:tcPr>
          <w:p>
            <w:pPr>
              <w:spacing w:after="0"/>
              <w:rPr>
                <w:sz w:val="11"/>
                <w:szCs w:val="11"/>
                <w:color w:val="auto"/>
              </w:rPr>
            </w:pPr>
          </w:p>
        </w:tc>
        <w:tc>
          <w:tcPr>
            <w:tcW w:w="9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3"/>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Bonds and notes issued</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16,242,257</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15,457,540</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14,946,363</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4,348,665</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15,178,148</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4,416,104</w:t>
            </w:r>
          </w:p>
        </w:tc>
        <w:tc>
          <w:tcPr>
            <w:tcW w:w="0" w:type="dxa"/>
            <w:vAlign w:val="bottom"/>
          </w:tcPr>
          <w:p>
            <w:pPr>
              <w:spacing w:after="0"/>
              <w:rPr>
                <w:sz w:val="1"/>
                <w:szCs w:val="1"/>
                <w:color w:val="auto"/>
              </w:rPr>
            </w:pP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Banker’s acceptances outstanding</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532,034</w:t>
            </w:r>
          </w:p>
        </w:tc>
        <w:tc>
          <w:tcPr>
            <w:tcW w:w="126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967,968</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535,222</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155,724</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555,598</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161,652</w:t>
            </w:r>
          </w:p>
        </w:tc>
        <w:tc>
          <w:tcPr>
            <w:tcW w:w="0" w:type="dxa"/>
            <w:vAlign w:val="bottom"/>
          </w:tcPr>
          <w:p>
            <w:pPr>
              <w:spacing w:after="0"/>
              <w:rPr>
                <w:sz w:val="1"/>
                <w:szCs w:val="1"/>
                <w:color w:val="auto"/>
              </w:rPr>
            </w:pP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Lease Liabilities</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847,504</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246,582</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838,248</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243,889</w:t>
            </w:r>
          </w:p>
        </w:tc>
        <w:tc>
          <w:tcPr>
            <w:tcW w:w="0" w:type="dxa"/>
            <w:vAlign w:val="bottom"/>
          </w:tcPr>
          <w:p>
            <w:pPr>
              <w:spacing w:after="0"/>
              <w:rPr>
                <w:sz w:val="1"/>
                <w:szCs w:val="1"/>
                <w:color w:val="auto"/>
              </w:rPr>
            </w:pP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Reserves for property and casualty claims</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1,180,852</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1,366,669</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1,576,228</w:t>
            </w:r>
          </w:p>
        </w:tc>
        <w:tc>
          <w:tcPr>
            <w:tcW w:w="220" w:type="dxa"/>
            <w:vAlign w:val="bottom"/>
          </w:tcPr>
          <w:p>
            <w:pPr>
              <w:spacing w:after="0"/>
              <w:rPr>
                <w:sz w:val="11"/>
                <w:szCs w:val="11"/>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458,606</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1,637,791</w:t>
            </w:r>
          </w:p>
        </w:tc>
        <w:tc>
          <w:tcPr>
            <w:tcW w:w="2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476,518</w:t>
            </w:r>
          </w:p>
        </w:tc>
        <w:tc>
          <w:tcPr>
            <w:tcW w:w="0" w:type="dxa"/>
            <w:vAlign w:val="bottom"/>
          </w:tcPr>
          <w:p>
            <w:pPr>
              <w:spacing w:after="0"/>
              <w:rPr>
                <w:sz w:val="1"/>
                <w:szCs w:val="1"/>
                <w:color w:val="auto"/>
              </w:rPr>
            </w:pP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Reserve for unearned premiums</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6,262,908</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7,086,002</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8,374,005</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2,436,429</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8,338,154</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2,425,998</w:t>
            </w:r>
          </w:p>
        </w:tc>
        <w:tc>
          <w:tcPr>
            <w:tcW w:w="0" w:type="dxa"/>
            <w:vAlign w:val="bottom"/>
          </w:tcPr>
          <w:p>
            <w:pPr>
              <w:spacing w:after="0"/>
              <w:rPr>
                <w:sz w:val="1"/>
                <w:szCs w:val="1"/>
                <w:color w:val="auto"/>
              </w:rPr>
            </w:pP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Accounts payable to reinsurers</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235,185</w:t>
            </w:r>
          </w:p>
        </w:tc>
        <w:tc>
          <w:tcPr>
            <w:tcW w:w="126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291,693</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216,734</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63,059</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198,473</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57,746</w:t>
            </w:r>
          </w:p>
        </w:tc>
        <w:tc>
          <w:tcPr>
            <w:tcW w:w="0" w:type="dxa"/>
            <w:vAlign w:val="bottom"/>
          </w:tcPr>
          <w:p>
            <w:pPr>
              <w:spacing w:after="0"/>
              <w:rPr>
                <w:sz w:val="1"/>
                <w:szCs w:val="1"/>
                <w:color w:val="auto"/>
              </w:rPr>
            </w:pP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Financial liabilities at fair value through profit or loss(6)</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168,089</w:t>
            </w:r>
          </w:p>
        </w:tc>
        <w:tc>
          <w:tcPr>
            <w:tcW w:w="126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362,310</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493,700</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143,643</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533,146</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155,120</w:t>
            </w:r>
          </w:p>
        </w:tc>
        <w:tc>
          <w:tcPr>
            <w:tcW w:w="0" w:type="dxa"/>
            <w:vAlign w:val="bottom"/>
          </w:tcPr>
          <w:p>
            <w:pPr>
              <w:spacing w:after="0"/>
              <w:rPr>
                <w:sz w:val="1"/>
                <w:szCs w:val="1"/>
                <w:color w:val="auto"/>
              </w:rPr>
            </w:pP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Other liabilities</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5,014,112</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5,050,136</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5,615,492</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1,633,835</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9,146,619</w:t>
            </w:r>
          </w:p>
        </w:tc>
        <w:tc>
          <w:tcPr>
            <w:tcW w:w="2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2,661,222</w:t>
            </w:r>
          </w:p>
        </w:tc>
        <w:tc>
          <w:tcPr>
            <w:tcW w:w="0" w:type="dxa"/>
            <w:vAlign w:val="bottom"/>
          </w:tcPr>
          <w:p>
            <w:pPr>
              <w:spacing w:after="0"/>
              <w:rPr>
                <w:sz w:val="1"/>
                <w:szCs w:val="1"/>
                <w:color w:val="auto"/>
              </w:rPr>
            </w:pPr>
          </w:p>
        </w:tc>
      </w:tr>
      <w:tr>
        <w:trPr>
          <w:trHeight w:val="127"/>
        </w:trPr>
        <w:tc>
          <w:tcPr>
            <w:tcW w:w="4620" w:type="dxa"/>
            <w:vAlign w:val="bottom"/>
            <w:tcBorders>
              <w:top w:val="single" w:sz="8" w:color="CCEEFF"/>
            </w:tcBorders>
            <w:shd w:val="clear" w:color="auto" w:fill="CCEEFF"/>
          </w:tcPr>
          <w:p>
            <w:pPr>
              <w:spacing w:after="0" w:line="128" w:lineRule="exact"/>
              <w:rPr>
                <w:sz w:val="20"/>
                <w:szCs w:val="20"/>
                <w:color w:val="auto"/>
              </w:rPr>
            </w:pPr>
            <w:r>
              <w:rPr>
                <w:rFonts w:ascii="Arial" w:cs="Arial" w:eastAsia="Arial" w:hAnsi="Arial"/>
                <w:sz w:val="13"/>
                <w:szCs w:val="13"/>
                <w:color w:val="auto"/>
              </w:rPr>
              <w:t>Total Liabilities</w:t>
            </w:r>
          </w:p>
        </w:tc>
        <w:tc>
          <w:tcPr>
            <w:tcW w:w="94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148,218,580</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152,997,125</w:t>
            </w: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161,130,381</w:t>
            </w: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46,881,112</w:t>
            </w: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174,099,078</w:t>
            </w: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50,654,372</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Net equity</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21,756,567</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23,839,243</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26,237,960</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7,633,971</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23,205,639</w:t>
            </w:r>
          </w:p>
        </w:tc>
        <w:tc>
          <w:tcPr>
            <w:tcW w:w="2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6,751,713</w:t>
            </w:r>
          </w:p>
        </w:tc>
        <w:tc>
          <w:tcPr>
            <w:tcW w:w="0" w:type="dxa"/>
            <w:vAlign w:val="bottom"/>
          </w:tcPr>
          <w:p>
            <w:pPr>
              <w:spacing w:after="0"/>
              <w:rPr>
                <w:sz w:val="1"/>
                <w:szCs w:val="1"/>
                <w:color w:val="auto"/>
              </w:rPr>
            </w:pP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Capital stock</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1,318,993</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1,318,993</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1,318,993</w:t>
            </w:r>
          </w:p>
        </w:tc>
        <w:tc>
          <w:tcPr>
            <w:tcW w:w="2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383,763</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1,318,993</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383,763</w:t>
            </w:r>
          </w:p>
        </w:tc>
        <w:tc>
          <w:tcPr>
            <w:tcW w:w="0" w:type="dxa"/>
            <w:vAlign w:val="bottom"/>
          </w:tcPr>
          <w:p>
            <w:pPr>
              <w:spacing w:after="0"/>
              <w:rPr>
                <w:sz w:val="1"/>
                <w:szCs w:val="1"/>
                <w:color w:val="auto"/>
              </w:rPr>
            </w:pP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Treasury stock</w:t>
            </w:r>
          </w:p>
        </w:tc>
        <w:tc>
          <w:tcPr>
            <w:tcW w:w="10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(208,937)</w:t>
            </w:r>
          </w:p>
        </w:tc>
        <w:tc>
          <w:tcPr>
            <w:tcW w:w="12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(207,994)</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(207,839)</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(60,471)</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(209,309)</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(60,899)</w:t>
            </w:r>
          </w:p>
        </w:tc>
        <w:tc>
          <w:tcPr>
            <w:tcW w:w="0" w:type="dxa"/>
            <w:vAlign w:val="bottom"/>
          </w:tcPr>
          <w:p>
            <w:pPr>
              <w:spacing w:after="0"/>
              <w:rPr>
                <w:sz w:val="1"/>
                <w:szCs w:val="1"/>
                <w:color w:val="auto"/>
              </w:rPr>
            </w:pP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Capital surplus</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271,948</w:t>
            </w:r>
          </w:p>
        </w:tc>
        <w:tc>
          <w:tcPr>
            <w:tcW w:w="126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246,194</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226,037</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65,766</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165,188</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48,062</w:t>
            </w:r>
          </w:p>
        </w:tc>
        <w:tc>
          <w:tcPr>
            <w:tcW w:w="0" w:type="dxa"/>
            <w:vAlign w:val="bottom"/>
          </w:tcPr>
          <w:p>
            <w:pPr>
              <w:spacing w:after="0"/>
              <w:rPr>
                <w:sz w:val="1"/>
                <w:szCs w:val="1"/>
                <w:color w:val="auto"/>
              </w:rPr>
            </w:pP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Reserves</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14,647,709</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17,598,556</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19,437,645</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5,655,410</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21,360,272</w:t>
            </w:r>
          </w:p>
        </w:tc>
        <w:tc>
          <w:tcPr>
            <w:tcW w:w="2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6,214,801</w:t>
            </w:r>
          </w:p>
        </w:tc>
        <w:tc>
          <w:tcPr>
            <w:tcW w:w="0" w:type="dxa"/>
            <w:vAlign w:val="bottom"/>
          </w:tcPr>
          <w:p>
            <w:pPr>
              <w:spacing w:after="0"/>
              <w:rPr>
                <w:sz w:val="1"/>
                <w:szCs w:val="1"/>
                <w:color w:val="auto"/>
              </w:rPr>
            </w:pP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Unrealized gains and losses</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1,455,594</w:t>
            </w:r>
          </w:p>
        </w:tc>
        <w:tc>
          <w:tcPr>
            <w:tcW w:w="126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708,453</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1,088,189</w:t>
            </w:r>
          </w:p>
        </w:tc>
        <w:tc>
          <w:tcPr>
            <w:tcW w:w="2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316,610</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359,565</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104,616</w:t>
            </w:r>
          </w:p>
        </w:tc>
        <w:tc>
          <w:tcPr>
            <w:tcW w:w="0" w:type="dxa"/>
            <w:vAlign w:val="bottom"/>
          </w:tcPr>
          <w:p>
            <w:pPr>
              <w:spacing w:after="0"/>
              <w:rPr>
                <w:sz w:val="1"/>
                <w:szCs w:val="1"/>
                <w:color w:val="auto"/>
              </w:rPr>
            </w:pP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Retained earnings</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4,271,260</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4,175,041</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4,374,935</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1,272,894</w:t>
            </w:r>
          </w:p>
        </w:tc>
        <w:tc>
          <w:tcPr>
            <w:tcW w:w="220" w:type="dxa"/>
            <w:vAlign w:val="bottom"/>
          </w:tcPr>
          <w:p>
            <w:pPr>
              <w:spacing w:after="0"/>
              <w:rPr>
                <w:sz w:val="11"/>
                <w:szCs w:val="11"/>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210,930</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61,370</w:t>
            </w:r>
          </w:p>
        </w:tc>
        <w:tc>
          <w:tcPr>
            <w:tcW w:w="0" w:type="dxa"/>
            <w:vAlign w:val="bottom"/>
          </w:tcPr>
          <w:p>
            <w:pPr>
              <w:spacing w:after="0"/>
              <w:rPr>
                <w:sz w:val="1"/>
                <w:szCs w:val="1"/>
                <w:color w:val="auto"/>
              </w:rPr>
            </w:pP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Non-controlling interest</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497,136</w:t>
            </w:r>
          </w:p>
        </w:tc>
        <w:tc>
          <w:tcPr>
            <w:tcW w:w="126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426,833</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508,350</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147,905</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517,172</w:t>
            </w: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150,472</w:t>
            </w:r>
          </w:p>
        </w:tc>
        <w:tc>
          <w:tcPr>
            <w:tcW w:w="0" w:type="dxa"/>
            <w:vAlign w:val="bottom"/>
          </w:tcPr>
          <w:p>
            <w:pPr>
              <w:spacing w:after="0"/>
              <w:rPr>
                <w:sz w:val="1"/>
                <w:szCs w:val="1"/>
                <w:color w:val="auto"/>
              </w:rPr>
            </w:pPr>
          </w:p>
        </w:tc>
      </w:tr>
      <w:tr>
        <w:trPr>
          <w:trHeight w:val="127"/>
        </w:trPr>
        <w:tc>
          <w:tcPr>
            <w:tcW w:w="4620" w:type="dxa"/>
            <w:vAlign w:val="bottom"/>
            <w:tcBorders>
              <w:bottom w:val="single" w:sz="8" w:color="CCEEFF"/>
            </w:tcBorders>
          </w:tcPr>
          <w:p>
            <w:pPr>
              <w:spacing w:after="0" w:line="128" w:lineRule="exact"/>
              <w:rPr>
                <w:sz w:val="20"/>
                <w:szCs w:val="20"/>
                <w:color w:val="auto"/>
              </w:rPr>
            </w:pPr>
            <w:r>
              <w:rPr>
                <w:rFonts w:ascii="Arial" w:cs="Arial" w:eastAsia="Arial" w:hAnsi="Arial"/>
                <w:sz w:val="13"/>
                <w:szCs w:val="13"/>
                <w:color w:val="auto"/>
              </w:rPr>
              <w:t>Total Net Equity</w:t>
            </w:r>
          </w:p>
        </w:tc>
        <w:tc>
          <w:tcPr>
            <w:tcW w:w="94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22,253,703</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24,266,076</w:t>
            </w:r>
          </w:p>
        </w:tc>
        <w:tc>
          <w:tcPr>
            <w:tcW w:w="220" w:type="dxa"/>
            <w:vAlign w:val="bottom"/>
            <w:tcBorders>
              <w:bottom w:val="single" w:sz="8" w:color="CCEEFF"/>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26,746,310</w:t>
            </w:r>
          </w:p>
        </w:tc>
        <w:tc>
          <w:tcPr>
            <w:tcW w:w="220" w:type="dxa"/>
            <w:vAlign w:val="bottom"/>
            <w:tcBorders>
              <w:bottom w:val="single" w:sz="8" w:color="CCEEFF"/>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7,781,877</w:t>
            </w:r>
          </w:p>
        </w:tc>
        <w:tc>
          <w:tcPr>
            <w:tcW w:w="220" w:type="dxa"/>
            <w:vAlign w:val="bottom"/>
            <w:tcBorders>
              <w:bottom w:val="single" w:sz="8" w:color="CCEEFF"/>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23,722,811</w:t>
            </w:r>
          </w:p>
        </w:tc>
        <w:tc>
          <w:tcPr>
            <w:tcW w:w="220" w:type="dxa"/>
            <w:vAlign w:val="bottom"/>
            <w:tcBorders>
              <w:bottom w:val="single" w:sz="8" w:color="CCEEFF"/>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8" w:lineRule="exact"/>
              <w:rPr>
                <w:sz w:val="20"/>
                <w:szCs w:val="20"/>
                <w:color w:val="auto"/>
              </w:rPr>
            </w:pPr>
            <w:r>
              <w:rPr>
                <w:rFonts w:ascii="Arial" w:cs="Arial" w:eastAsia="Arial" w:hAnsi="Arial"/>
                <w:sz w:val="13"/>
                <w:szCs w:val="13"/>
                <w:color w:val="auto"/>
              </w:rPr>
              <w:t>6,902,185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20" w:type="dxa"/>
            <w:vAlign w:val="bottom"/>
            <w:tcBorders>
              <w:bottom w:val="single" w:sz="8" w:color="CCEEFF"/>
            </w:tcBorders>
            <w:shd w:val="clear" w:color="auto" w:fill="CCEEFF"/>
          </w:tcPr>
          <w:p>
            <w:pPr>
              <w:spacing w:after="0" w:line="128" w:lineRule="exact"/>
              <w:rPr>
                <w:sz w:val="20"/>
                <w:szCs w:val="20"/>
                <w:color w:val="auto"/>
              </w:rPr>
            </w:pPr>
            <w:r>
              <w:rPr>
                <w:rFonts w:ascii="Arial" w:cs="Arial" w:eastAsia="Arial" w:hAnsi="Arial"/>
                <w:sz w:val="13"/>
                <w:szCs w:val="13"/>
                <w:color w:val="auto"/>
              </w:rPr>
              <w:t>Total liabilities and equity</w:t>
            </w:r>
          </w:p>
        </w:tc>
        <w:tc>
          <w:tcPr>
            <w:tcW w:w="9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170,472,283</w:t>
            </w: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177,263,201</w:t>
            </w:r>
          </w:p>
        </w:tc>
        <w:tc>
          <w:tcPr>
            <w:tcW w:w="22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187,876,691</w:t>
            </w:r>
          </w:p>
        </w:tc>
        <w:tc>
          <w:tcPr>
            <w:tcW w:w="22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54,662,988</w:t>
            </w:r>
          </w:p>
        </w:tc>
        <w:tc>
          <w:tcPr>
            <w:tcW w:w="22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197,821,889</w:t>
            </w:r>
          </w:p>
        </w:tc>
        <w:tc>
          <w:tcPr>
            <w:tcW w:w="22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57,556,558</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3"/>
                <w:szCs w:val="13"/>
                <w:color w:val="auto"/>
              </w:rPr>
              <w:t>Off-balance sheet</w:t>
            </w:r>
          </w:p>
        </w:tc>
        <w:tc>
          <w:tcPr>
            <w:tcW w:w="9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4620" w:type="dxa"/>
            <w:vAlign w:val="bottom"/>
            <w:vMerge w:val="continue"/>
          </w:tcPr>
          <w:p>
            <w:pPr>
              <w:spacing w:after="0"/>
              <w:rPr>
                <w:sz w:val="9"/>
                <w:szCs w:val="9"/>
                <w:color w:val="auto"/>
              </w:rPr>
            </w:pPr>
          </w:p>
        </w:tc>
        <w:tc>
          <w:tcPr>
            <w:tcW w:w="940" w:type="dxa"/>
            <w:vAlign w:val="bottom"/>
          </w:tcPr>
          <w:p>
            <w:pPr>
              <w:jc w:val="right"/>
              <w:spacing w:after="0" w:line="112" w:lineRule="exact"/>
              <w:rPr>
                <w:sz w:val="20"/>
                <w:szCs w:val="20"/>
                <w:color w:val="auto"/>
              </w:rPr>
            </w:pPr>
            <w:r>
              <w:rPr>
                <w:rFonts w:ascii="Arial" w:cs="Arial" w:eastAsia="Arial" w:hAnsi="Arial"/>
                <w:sz w:val="12"/>
                <w:szCs w:val="12"/>
                <w:color w:val="auto"/>
              </w:rPr>
              <w:t>65,840,952</w:t>
            </w:r>
          </w:p>
        </w:tc>
        <w:tc>
          <w:tcPr>
            <w:tcW w:w="6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80" w:type="dxa"/>
            <w:vAlign w:val="bottom"/>
          </w:tcPr>
          <w:p>
            <w:pPr>
              <w:jc w:val="right"/>
              <w:spacing w:after="0" w:line="112" w:lineRule="exact"/>
              <w:rPr>
                <w:sz w:val="20"/>
                <w:szCs w:val="20"/>
                <w:color w:val="auto"/>
              </w:rPr>
            </w:pPr>
            <w:r>
              <w:rPr>
                <w:rFonts w:ascii="Arial" w:cs="Arial" w:eastAsia="Arial" w:hAnsi="Arial"/>
                <w:sz w:val="12"/>
                <w:szCs w:val="12"/>
                <w:color w:val="auto"/>
              </w:rPr>
              <w:t>121,222,849</w:t>
            </w:r>
          </w:p>
        </w:tc>
        <w:tc>
          <w:tcPr>
            <w:tcW w:w="220" w:type="dxa"/>
            <w:vAlign w:val="bottom"/>
            <w:vMerge w:val="continue"/>
          </w:tcPr>
          <w:p>
            <w:pPr>
              <w:spacing w:after="0"/>
              <w:rPr>
                <w:sz w:val="9"/>
                <w:szCs w:val="9"/>
                <w:color w:val="auto"/>
              </w:rPr>
            </w:pPr>
          </w:p>
        </w:tc>
        <w:tc>
          <w:tcPr>
            <w:tcW w:w="900" w:type="dxa"/>
            <w:vAlign w:val="bottom"/>
          </w:tcPr>
          <w:p>
            <w:pPr>
              <w:jc w:val="right"/>
              <w:spacing w:after="0" w:line="112" w:lineRule="exact"/>
              <w:rPr>
                <w:sz w:val="20"/>
                <w:szCs w:val="20"/>
                <w:color w:val="auto"/>
              </w:rPr>
            </w:pPr>
            <w:r>
              <w:rPr>
                <w:rFonts w:ascii="Arial" w:cs="Arial" w:eastAsia="Arial" w:hAnsi="Arial"/>
                <w:sz w:val="12"/>
                <w:szCs w:val="12"/>
                <w:color w:val="auto"/>
              </w:rPr>
              <w:t>125,344,301</w:t>
            </w:r>
          </w:p>
        </w:tc>
        <w:tc>
          <w:tcPr>
            <w:tcW w:w="220" w:type="dxa"/>
            <w:vAlign w:val="bottom"/>
            <w:vMerge w:val="continue"/>
          </w:tcPr>
          <w:p>
            <w:pPr>
              <w:spacing w:after="0"/>
              <w:rPr>
                <w:sz w:val="9"/>
                <w:szCs w:val="9"/>
                <w:color w:val="auto"/>
              </w:rPr>
            </w:pPr>
          </w:p>
        </w:tc>
        <w:tc>
          <w:tcPr>
            <w:tcW w:w="900" w:type="dxa"/>
            <w:vAlign w:val="bottom"/>
          </w:tcPr>
          <w:p>
            <w:pPr>
              <w:jc w:val="right"/>
              <w:spacing w:after="0" w:line="112" w:lineRule="exact"/>
              <w:rPr>
                <w:sz w:val="20"/>
                <w:szCs w:val="20"/>
                <w:color w:val="auto"/>
              </w:rPr>
            </w:pPr>
            <w:r>
              <w:rPr>
                <w:rFonts w:ascii="Arial" w:cs="Arial" w:eastAsia="Arial" w:hAnsi="Arial"/>
                <w:sz w:val="12"/>
                <w:szCs w:val="12"/>
                <w:color w:val="auto"/>
              </w:rPr>
              <w:t>36,469,101</w:t>
            </w:r>
          </w:p>
        </w:tc>
        <w:tc>
          <w:tcPr>
            <w:tcW w:w="220" w:type="dxa"/>
            <w:vAlign w:val="bottom"/>
            <w:vMerge w:val="continue"/>
          </w:tcPr>
          <w:p>
            <w:pPr>
              <w:spacing w:after="0"/>
              <w:rPr>
                <w:sz w:val="9"/>
                <w:szCs w:val="9"/>
                <w:color w:val="auto"/>
              </w:rPr>
            </w:pPr>
          </w:p>
        </w:tc>
        <w:tc>
          <w:tcPr>
            <w:tcW w:w="900" w:type="dxa"/>
            <w:vAlign w:val="bottom"/>
          </w:tcPr>
          <w:p>
            <w:pPr>
              <w:jc w:val="right"/>
              <w:spacing w:after="0" w:line="112" w:lineRule="exact"/>
              <w:rPr>
                <w:sz w:val="20"/>
                <w:szCs w:val="20"/>
                <w:color w:val="auto"/>
              </w:rPr>
            </w:pPr>
            <w:r>
              <w:rPr>
                <w:rFonts w:ascii="Arial" w:cs="Arial" w:eastAsia="Arial" w:hAnsi="Arial"/>
                <w:sz w:val="12"/>
                <w:szCs w:val="12"/>
                <w:color w:val="auto"/>
              </w:rPr>
              <w:t>131,725,399</w:t>
            </w:r>
          </w:p>
        </w:tc>
        <w:tc>
          <w:tcPr>
            <w:tcW w:w="220" w:type="dxa"/>
            <w:vAlign w:val="bottom"/>
            <w:vMerge w:val="continue"/>
          </w:tcPr>
          <w:p>
            <w:pPr>
              <w:spacing w:after="0"/>
              <w:rPr>
                <w:sz w:val="9"/>
                <w:szCs w:val="9"/>
                <w:color w:val="auto"/>
              </w:rPr>
            </w:pPr>
          </w:p>
        </w:tc>
        <w:tc>
          <w:tcPr>
            <w:tcW w:w="900" w:type="dxa"/>
            <w:vAlign w:val="bottom"/>
          </w:tcPr>
          <w:p>
            <w:pPr>
              <w:jc w:val="right"/>
              <w:spacing w:after="0" w:line="112" w:lineRule="exact"/>
              <w:rPr>
                <w:sz w:val="20"/>
                <w:szCs w:val="20"/>
                <w:color w:val="auto"/>
              </w:rPr>
            </w:pPr>
            <w:r>
              <w:rPr>
                <w:rFonts w:ascii="Arial" w:cs="Arial" w:eastAsia="Arial" w:hAnsi="Arial"/>
                <w:sz w:val="12"/>
                <w:szCs w:val="12"/>
                <w:color w:val="auto"/>
              </w:rPr>
              <w:t>38,325,691</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performance bonds, stand-by and L/Cs.</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19,369,559</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20,774,271</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21,081,035</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6,133,557</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20,426,402</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5,943,090</w:t>
            </w:r>
          </w:p>
        </w:tc>
        <w:tc>
          <w:tcPr>
            <w:tcW w:w="0" w:type="dxa"/>
            <w:vAlign w:val="bottom"/>
          </w:tcPr>
          <w:p>
            <w:pPr>
              <w:spacing w:after="0"/>
              <w:rPr>
                <w:sz w:val="1"/>
                <w:szCs w:val="1"/>
                <w:color w:val="auto"/>
              </w:rPr>
            </w:pPr>
          </w:p>
        </w:tc>
      </w:tr>
      <w:tr>
        <w:trPr>
          <w:trHeight w:val="135"/>
        </w:trPr>
        <w:tc>
          <w:tcPr>
            <w:tcW w:w="4620" w:type="dxa"/>
            <w:vAlign w:val="bottom"/>
          </w:tcPr>
          <w:p>
            <w:pPr>
              <w:spacing w:after="0" w:line="135" w:lineRule="exact"/>
              <w:rPr>
                <w:sz w:val="20"/>
                <w:szCs w:val="20"/>
                <w:color w:val="auto"/>
              </w:rPr>
            </w:pPr>
            <w:r>
              <w:rPr>
                <w:rFonts w:ascii="Arial" w:cs="Arial" w:eastAsia="Arial" w:hAnsi="Arial"/>
                <w:sz w:val="13"/>
                <w:szCs w:val="13"/>
                <w:color w:val="auto"/>
              </w:rPr>
              <w:t>Undrawn credit lines, advised but not committed</w:t>
            </w:r>
          </w:p>
        </w:tc>
        <w:tc>
          <w:tcPr>
            <w:tcW w:w="10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23,553,406</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74,234,033</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75,613,805</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21,999,943</w:t>
            </w: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79,703,253</w:t>
            </w:r>
          </w:p>
        </w:tc>
        <w:tc>
          <w:tcPr>
            <w:tcW w:w="2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23,189,774</w:t>
            </w:r>
          </w:p>
        </w:tc>
        <w:tc>
          <w:tcPr>
            <w:tcW w:w="0" w:type="dxa"/>
            <w:vAlign w:val="bottom"/>
          </w:tcPr>
          <w:p>
            <w:pPr>
              <w:spacing w:after="0"/>
              <w:rPr>
                <w:sz w:val="1"/>
                <w:szCs w:val="1"/>
                <w:color w:val="auto"/>
              </w:rPr>
            </w:pPr>
          </w:p>
        </w:tc>
      </w:tr>
      <w:tr>
        <w:trPr>
          <w:trHeight w:val="135"/>
        </w:trPr>
        <w:tc>
          <w:tcPr>
            <w:tcW w:w="4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derivatives (notional) and others</w:t>
            </w: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22,917,987</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26,214,545</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28,649,461</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8,335,601</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31,595,744</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9,192,826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178625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83" w:lineRule="exact"/>
        <w:rPr>
          <w:sz w:val="20"/>
          <w:szCs w:val="20"/>
          <w:color w:val="auto"/>
        </w:rPr>
      </w:pPr>
    </w:p>
    <w:p>
      <w:pPr>
        <w:ind w:left="302" w:right="260" w:hanging="302"/>
        <w:spacing w:after="0" w:line="241" w:lineRule="auto"/>
        <w:tabs>
          <w:tab w:leader="none" w:pos="302" w:val="left"/>
        </w:tabs>
        <w:numPr>
          <w:ilvl w:val="0"/>
          <w:numId w:val="132"/>
        </w:numPr>
        <w:rPr>
          <w:rFonts w:ascii="Arial" w:cs="Arial" w:eastAsia="Arial" w:hAnsi="Arial"/>
          <w:sz w:val="13"/>
          <w:szCs w:val="13"/>
          <w:color w:val="auto"/>
        </w:rPr>
      </w:pPr>
      <w:r>
        <w:rPr>
          <w:rFonts w:ascii="Arial" w:cs="Arial" w:eastAsia="Arial" w:hAnsi="Arial"/>
          <w:sz w:val="13"/>
          <w:szCs w:val="13"/>
          <w:color w:val="auto"/>
        </w:rPr>
        <w:t>For the convenience of the reader data as of and for the three months ended March 31, 2020 and the year ended December 31, 2019 have been translated from Soles into U.S. dollars at a rate of S/3.437 for U.S.$1.00 (the March 31, 2020 exchange rate as published by the SBS).</w:t>
      </w:r>
    </w:p>
    <w:p>
      <w:pPr>
        <w:spacing w:after="0" w:line="166" w:lineRule="exact"/>
        <w:rPr>
          <w:rFonts w:ascii="Arial" w:cs="Arial" w:eastAsia="Arial" w:hAnsi="Arial"/>
          <w:sz w:val="13"/>
          <w:szCs w:val="13"/>
          <w:color w:val="auto"/>
        </w:rPr>
      </w:pPr>
    </w:p>
    <w:p>
      <w:pPr>
        <w:ind w:left="302" w:right="20" w:hanging="302"/>
        <w:spacing w:after="0" w:line="241" w:lineRule="auto"/>
        <w:tabs>
          <w:tab w:leader="none" w:pos="302"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The amounts differ from those previously reported in 2018 period, due to the reclassification to the item “Cash collateral, reverse repurchase agreements and securities borrowing” mainly for the cash collateral in dollars delivered to the BCRP, previously presented in the item “Cash and due from banks.”</w:t>
      </w:r>
    </w:p>
    <w:p>
      <w:pPr>
        <w:spacing w:after="0" w:line="166" w:lineRule="exact"/>
        <w:rPr>
          <w:rFonts w:ascii="Arial" w:cs="Arial" w:eastAsia="Arial" w:hAnsi="Arial"/>
          <w:sz w:val="13"/>
          <w:szCs w:val="13"/>
          <w:color w:val="auto"/>
        </w:rPr>
      </w:pPr>
    </w:p>
    <w:p>
      <w:pPr>
        <w:ind w:left="302" w:hanging="302"/>
        <w:spacing w:after="0"/>
        <w:tabs>
          <w:tab w:leader="none" w:pos="302" w:val="left"/>
        </w:tabs>
        <w:numPr>
          <w:ilvl w:val="0"/>
          <w:numId w:val="132"/>
        </w:numPr>
        <w:rPr>
          <w:rFonts w:ascii="Arial" w:cs="Arial" w:eastAsia="Arial" w:hAnsi="Arial"/>
          <w:sz w:val="13"/>
          <w:szCs w:val="13"/>
          <w:color w:val="auto"/>
        </w:rPr>
      </w:pPr>
      <w:r>
        <w:rPr>
          <w:rFonts w:ascii="Arial" w:cs="Arial" w:eastAsia="Arial" w:hAnsi="Arial"/>
          <w:sz w:val="13"/>
          <w:szCs w:val="13"/>
          <w:color w:val="auto"/>
        </w:rPr>
        <w:t>In the 2019 period, this item was opened in the statement of financial position; previously presented under the item “Investments at fair value through profit or loss.”</w:t>
      </w:r>
    </w:p>
    <w:p>
      <w:pPr>
        <w:spacing w:after="0" w:line="182" w:lineRule="exact"/>
        <w:rPr>
          <w:rFonts w:ascii="Arial" w:cs="Arial" w:eastAsia="Arial" w:hAnsi="Arial"/>
          <w:sz w:val="13"/>
          <w:szCs w:val="13"/>
          <w:color w:val="auto"/>
        </w:rPr>
      </w:pPr>
    </w:p>
    <w:p>
      <w:pPr>
        <w:ind w:left="302" w:right="40" w:hanging="302"/>
        <w:spacing w:after="0" w:line="241" w:lineRule="auto"/>
        <w:tabs>
          <w:tab w:leader="none" w:pos="302"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The amounts differ from those previously reported in 2018 period, due to the reclassification of the expenses on improvements in building for rent, previously presented in the item “Other assets.” Likewise, in 2019, the asset for the right to use the lease contracts was incorporated, in application of IFRS 16.</w:t>
      </w:r>
    </w:p>
    <w:p>
      <w:pPr>
        <w:spacing w:after="0" w:line="166" w:lineRule="exact"/>
        <w:rPr>
          <w:rFonts w:ascii="Arial" w:cs="Arial" w:eastAsia="Arial" w:hAnsi="Arial"/>
          <w:sz w:val="13"/>
          <w:szCs w:val="13"/>
          <w:color w:val="auto"/>
        </w:rPr>
      </w:pPr>
    </w:p>
    <w:p>
      <w:pPr>
        <w:ind w:left="302" w:hanging="302"/>
        <w:spacing w:after="0"/>
        <w:tabs>
          <w:tab w:leader="none" w:pos="302" w:val="left"/>
        </w:tabs>
        <w:numPr>
          <w:ilvl w:val="0"/>
          <w:numId w:val="132"/>
        </w:numPr>
        <w:rPr>
          <w:rFonts w:ascii="Arial" w:cs="Arial" w:eastAsia="Arial" w:hAnsi="Arial"/>
          <w:sz w:val="13"/>
          <w:szCs w:val="13"/>
          <w:color w:val="auto"/>
        </w:rPr>
      </w:pPr>
      <w:r>
        <w:rPr>
          <w:rFonts w:ascii="Arial" w:cs="Arial" w:eastAsia="Arial" w:hAnsi="Arial"/>
          <w:sz w:val="13"/>
          <w:szCs w:val="13"/>
          <w:color w:val="auto"/>
        </w:rPr>
        <w:t>Includes investments in associates, mainly Banmedica and Visanet, among others.</w:t>
      </w:r>
    </w:p>
    <w:p>
      <w:pPr>
        <w:spacing w:after="0" w:line="182" w:lineRule="exact"/>
        <w:rPr>
          <w:rFonts w:ascii="Arial" w:cs="Arial" w:eastAsia="Arial" w:hAnsi="Arial"/>
          <w:sz w:val="13"/>
          <w:szCs w:val="13"/>
          <w:color w:val="auto"/>
        </w:rPr>
      </w:pPr>
    </w:p>
    <w:p>
      <w:pPr>
        <w:ind w:left="302" w:hanging="302"/>
        <w:spacing w:after="0"/>
        <w:tabs>
          <w:tab w:leader="none" w:pos="302" w:val="left"/>
        </w:tabs>
        <w:numPr>
          <w:ilvl w:val="0"/>
          <w:numId w:val="132"/>
        </w:numPr>
        <w:rPr>
          <w:rFonts w:ascii="Arial" w:cs="Arial" w:eastAsia="Arial" w:hAnsi="Arial"/>
          <w:sz w:val="13"/>
          <w:szCs w:val="13"/>
          <w:color w:val="auto"/>
        </w:rPr>
      </w:pPr>
      <w:r>
        <w:rPr>
          <w:rFonts w:ascii="Arial" w:cs="Arial" w:eastAsia="Arial" w:hAnsi="Arial"/>
          <w:sz w:val="13"/>
          <w:szCs w:val="13"/>
          <w:color w:val="auto"/>
        </w:rPr>
        <w:t>Includes mainly accounts receivables from brokerage and others.</w:t>
      </w:r>
    </w:p>
    <w:p>
      <w:pPr>
        <w:spacing w:after="0" w:line="182" w:lineRule="exact"/>
        <w:rPr>
          <w:rFonts w:ascii="Arial" w:cs="Arial" w:eastAsia="Arial" w:hAnsi="Arial"/>
          <w:sz w:val="13"/>
          <w:szCs w:val="13"/>
          <w:color w:val="auto"/>
        </w:rPr>
      </w:pPr>
    </w:p>
    <w:p>
      <w:pPr>
        <w:ind w:left="302" w:hanging="302"/>
        <w:spacing w:after="0"/>
        <w:tabs>
          <w:tab w:leader="none" w:pos="302" w:val="left"/>
        </w:tabs>
        <w:numPr>
          <w:ilvl w:val="0"/>
          <w:numId w:val="132"/>
        </w:numPr>
        <w:rPr>
          <w:rFonts w:ascii="Arial" w:cs="Arial" w:eastAsia="Arial" w:hAnsi="Arial"/>
          <w:sz w:val="13"/>
          <w:szCs w:val="13"/>
          <w:color w:val="auto"/>
        </w:rPr>
      </w:pPr>
      <w:r>
        <w:rPr>
          <w:rFonts w:ascii="Arial" w:cs="Arial" w:eastAsia="Arial" w:hAnsi="Arial"/>
          <w:sz w:val="13"/>
          <w:szCs w:val="13"/>
          <w:color w:val="auto"/>
        </w:rPr>
        <w:t>In the 2019 period, this item was opened in the statement of financial position; previously presented in the item “Other liabilities.”</w:t>
      </w:r>
    </w:p>
    <w:p>
      <w:pPr>
        <w:spacing w:after="0" w:line="200" w:lineRule="exact"/>
        <w:rPr>
          <w:sz w:val="20"/>
          <w:szCs w:val="20"/>
          <w:color w:val="auto"/>
        </w:rPr>
      </w:pPr>
    </w:p>
    <w:p>
      <w:pPr>
        <w:spacing w:after="0" w:line="37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40" w:right="339" w:bottom="1440" w:gutter="0" w:footer="0" w:header="0"/>
        </w:sectPr>
      </w:pPr>
    </w:p>
    <w:bookmarkStart w:id="122" w:name="page123"/>
    <w:bookmarkEnd w:id="122"/>
    <w:p>
      <w:pPr>
        <w:ind w:left="2"/>
        <w:spacing w:after="0"/>
        <w:rPr>
          <w:sz w:val="20"/>
          <w:szCs w:val="20"/>
          <w:color w:val="auto"/>
        </w:rPr>
      </w:pPr>
      <w:r>
        <w:rPr>
          <w:rFonts w:ascii="Arial" w:cs="Arial" w:eastAsia="Arial" w:hAnsi="Arial"/>
          <w:sz w:val="16"/>
          <w:szCs w:val="16"/>
          <w:b w:val="1"/>
          <w:bCs w:val="1"/>
          <w:color w:val="auto"/>
        </w:rPr>
        <w:t>Other Financial Data</w:t>
      </w:r>
    </w:p>
    <w:p>
      <w:pPr>
        <w:spacing w:after="0" w:line="213" w:lineRule="exact"/>
        <w:rPr>
          <w:sz w:val="20"/>
          <w:szCs w:val="20"/>
          <w:color w:val="auto"/>
        </w:rPr>
      </w:pPr>
    </w:p>
    <w:p>
      <w:pPr>
        <w:ind w:left="2" w:firstLine="295"/>
        <w:spacing w:after="0" w:line="271" w:lineRule="auto"/>
        <w:rPr>
          <w:sz w:val="20"/>
          <w:szCs w:val="20"/>
          <w:color w:val="auto"/>
        </w:rPr>
      </w:pPr>
      <w:r>
        <w:rPr>
          <w:rFonts w:ascii="Arial" w:cs="Arial" w:eastAsia="Arial" w:hAnsi="Arial"/>
          <w:sz w:val="16"/>
          <w:szCs w:val="16"/>
          <w:color w:val="auto"/>
        </w:rPr>
        <w:t>The following selected financial and operating data as of and for each of the three months ended March 31, 2020 and 2019 and as of and for the years ended December 31, 2019, 2018 and 2017 have been derived from the financial statements. This information should be read in conjunction with the financial statements and the notes thereto.</w:t>
      </w:r>
    </w:p>
    <w:p>
      <w:pPr>
        <w:spacing w:after="0" w:line="163"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2720" w:type="dxa"/>
            <w:vAlign w:val="bottom"/>
            <w:gridSpan w:val="2"/>
          </w:tcPr>
          <w:p>
            <w:pPr>
              <w:jc w:val="center"/>
              <w:ind w:left="666"/>
              <w:spacing w:after="0"/>
              <w:rPr>
                <w:sz w:val="20"/>
                <w:szCs w:val="20"/>
                <w:color w:val="auto"/>
              </w:rPr>
            </w:pPr>
            <w:r>
              <w:rPr>
                <w:rFonts w:ascii="Arial" w:cs="Arial" w:eastAsia="Arial" w:hAnsi="Arial"/>
                <w:sz w:val="15"/>
                <w:szCs w:val="15"/>
                <w:b w:val="1"/>
                <w:bCs w:val="1"/>
                <w:color w:val="auto"/>
                <w:w w:val="88"/>
              </w:rPr>
              <w:t>As of and for the Years Ended</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80" w:type="dxa"/>
            <w:vAlign w:val="bottom"/>
            <w:gridSpan w:val="5"/>
          </w:tcPr>
          <w:p>
            <w:pPr>
              <w:jc w:val="center"/>
              <w:ind w:right="100"/>
              <w:spacing w:after="0"/>
              <w:rPr>
                <w:sz w:val="20"/>
                <w:szCs w:val="20"/>
                <w:color w:val="auto"/>
              </w:rPr>
            </w:pPr>
            <w:r>
              <w:rPr>
                <w:rFonts w:ascii="Arial" w:cs="Arial" w:eastAsia="Arial" w:hAnsi="Arial"/>
                <w:sz w:val="15"/>
                <w:szCs w:val="15"/>
                <w:b w:val="1"/>
                <w:bCs w:val="1"/>
                <w:color w:val="auto"/>
                <w:w w:val="89"/>
              </w:rPr>
              <w:t>As of and for the Three Months Ended</w:t>
            </w:r>
          </w:p>
        </w:tc>
      </w:tr>
      <w:tr>
        <w:trPr>
          <w:trHeight w:val="194"/>
        </w:trPr>
        <w:tc>
          <w:tcPr>
            <w:tcW w:w="39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86"/>
              <w:spacing w:after="0"/>
              <w:rPr>
                <w:sz w:val="20"/>
                <w:szCs w:val="20"/>
                <w:color w:val="auto"/>
              </w:rPr>
            </w:pPr>
            <w:r>
              <w:rPr>
                <w:rFonts w:ascii="Arial" w:cs="Arial" w:eastAsia="Arial" w:hAnsi="Arial"/>
                <w:sz w:val="15"/>
                <w:szCs w:val="15"/>
                <w:b w:val="1"/>
                <w:bCs w:val="1"/>
                <w:color w:val="auto"/>
                <w:w w:val="88"/>
              </w:rPr>
              <w:t>December 31,</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w w:val="92"/>
              </w:rPr>
              <w:t>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7"/>
        </w:trPr>
        <w:tc>
          <w:tcPr>
            <w:tcW w:w="3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89"/>
              </w:rPr>
              <w:t>2020 (U.S.</w:t>
            </w:r>
          </w:p>
        </w:tc>
        <w:tc>
          <w:tcPr>
            <w:tcW w:w="100" w:type="dxa"/>
            <w:vAlign w:val="bottom"/>
          </w:tcPr>
          <w:p>
            <w:pPr>
              <w:spacing w:after="0"/>
              <w:rPr>
                <w:sz w:val="14"/>
                <w:szCs w:val="14"/>
                <w:color w:val="auto"/>
              </w:rPr>
            </w:pPr>
          </w:p>
        </w:tc>
      </w:tr>
      <w:tr>
        <w:trPr>
          <w:trHeight w:val="184"/>
        </w:trPr>
        <w:tc>
          <w:tcPr>
            <w:tcW w:w="3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9"/>
              </w:rPr>
              <w:t>dollars in</w:t>
            </w:r>
          </w:p>
        </w:tc>
      </w:tr>
      <w:tr>
        <w:trPr>
          <w:trHeight w:val="184"/>
        </w:trPr>
        <w:tc>
          <w:tcPr>
            <w:tcW w:w="3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4"/>
              </w:rPr>
              <w:t>thousands,</w:t>
            </w:r>
          </w:p>
        </w:tc>
      </w:tr>
      <w:tr>
        <w:trPr>
          <w:trHeight w:val="184"/>
        </w:trPr>
        <w:tc>
          <w:tcPr>
            <w:tcW w:w="3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7"/>
              </w:rPr>
              <w:t>where</w:t>
            </w:r>
          </w:p>
        </w:tc>
      </w:tr>
      <w:tr>
        <w:trPr>
          <w:trHeight w:val="194"/>
        </w:trPr>
        <w:tc>
          <w:tcPr>
            <w:tcW w:w="3920" w:type="dxa"/>
            <w:vAlign w:val="bottom"/>
          </w:tcPr>
          <w:p>
            <w:pPr>
              <w:spacing w:after="0"/>
              <w:rPr>
                <w:sz w:val="16"/>
                <w:szCs w:val="16"/>
                <w:color w:val="auto"/>
              </w:rPr>
            </w:pPr>
          </w:p>
        </w:tc>
        <w:tc>
          <w:tcPr>
            <w:tcW w:w="1240" w:type="dxa"/>
            <w:vAlign w:val="bottom"/>
          </w:tcPr>
          <w:p>
            <w:pPr>
              <w:jc w:val="right"/>
              <w:ind w:right="506"/>
              <w:spacing w:after="0"/>
              <w:rPr>
                <w:sz w:val="20"/>
                <w:szCs w:val="20"/>
                <w:color w:val="auto"/>
              </w:rPr>
            </w:pPr>
            <w:r>
              <w:rPr>
                <w:rFonts w:ascii="Arial" w:cs="Arial" w:eastAsia="Arial" w:hAnsi="Arial"/>
                <w:sz w:val="15"/>
                <w:szCs w:val="15"/>
                <w:b w:val="1"/>
                <w:bCs w:val="1"/>
                <w:color w:val="auto"/>
              </w:rPr>
              <w:t>2017</w:t>
            </w:r>
          </w:p>
        </w:tc>
        <w:tc>
          <w:tcPr>
            <w:tcW w:w="1480" w:type="dxa"/>
            <w:vAlign w:val="bottom"/>
          </w:tcPr>
          <w:p>
            <w:pPr>
              <w:jc w:val="center"/>
              <w:ind w:right="386"/>
              <w:spacing w:after="0"/>
              <w:rPr>
                <w:sz w:val="20"/>
                <w:szCs w:val="20"/>
                <w:color w:val="auto"/>
              </w:rPr>
            </w:pPr>
            <w:r>
              <w:rPr>
                <w:rFonts w:ascii="Arial" w:cs="Arial" w:eastAsia="Arial" w:hAnsi="Arial"/>
                <w:sz w:val="15"/>
                <w:szCs w:val="15"/>
                <w:b w:val="1"/>
                <w:bCs w:val="1"/>
                <w:color w:val="auto"/>
                <w:w w:val="89"/>
              </w:rPr>
              <w:t>2018</w:t>
            </w:r>
          </w:p>
        </w:tc>
        <w:tc>
          <w:tcPr>
            <w:tcW w:w="780" w:type="dxa"/>
            <w:vAlign w:val="bottom"/>
          </w:tcPr>
          <w:p>
            <w:pPr>
              <w:jc w:val="right"/>
              <w:ind w:right="286"/>
              <w:spacing w:after="0"/>
              <w:rPr>
                <w:sz w:val="20"/>
                <w:szCs w:val="20"/>
                <w:color w:val="auto"/>
              </w:rPr>
            </w:pPr>
            <w:r>
              <w:rPr>
                <w:rFonts w:ascii="Arial" w:cs="Arial" w:eastAsia="Arial" w:hAnsi="Arial"/>
                <w:sz w:val="15"/>
                <w:szCs w:val="15"/>
                <w:b w:val="1"/>
                <w:bCs w:val="1"/>
                <w:color w:val="auto"/>
              </w:rPr>
              <w:t>2019</w:t>
            </w:r>
          </w:p>
        </w:tc>
        <w:tc>
          <w:tcPr>
            <w:tcW w:w="240" w:type="dxa"/>
            <w:vAlign w:val="bottom"/>
          </w:tcPr>
          <w:p>
            <w:pPr>
              <w:spacing w:after="0"/>
              <w:rPr>
                <w:sz w:val="16"/>
                <w:szCs w:val="16"/>
                <w:color w:val="auto"/>
              </w:rPr>
            </w:pPr>
          </w:p>
        </w:tc>
        <w:tc>
          <w:tcPr>
            <w:tcW w:w="1260" w:type="dxa"/>
            <w:vAlign w:val="bottom"/>
          </w:tcPr>
          <w:p>
            <w:pPr>
              <w:jc w:val="right"/>
              <w:ind w:right="546"/>
              <w:spacing w:after="0"/>
              <w:rPr>
                <w:sz w:val="20"/>
                <w:szCs w:val="20"/>
                <w:color w:val="auto"/>
              </w:rPr>
            </w:pPr>
            <w:r>
              <w:rPr>
                <w:rFonts w:ascii="Arial" w:cs="Arial" w:eastAsia="Arial" w:hAnsi="Arial"/>
                <w:sz w:val="15"/>
                <w:szCs w:val="15"/>
                <w:b w:val="1"/>
                <w:bCs w:val="1"/>
                <w:color w:val="auto"/>
              </w:rPr>
              <w:t>2019</w:t>
            </w:r>
          </w:p>
        </w:tc>
        <w:tc>
          <w:tcPr>
            <w:tcW w:w="980" w:type="dxa"/>
            <w:vAlign w:val="bottom"/>
          </w:tcPr>
          <w:p>
            <w:pPr>
              <w:jc w:val="center"/>
              <w:spacing w:after="0"/>
              <w:rPr>
                <w:sz w:val="20"/>
                <w:szCs w:val="20"/>
                <w:color w:val="auto"/>
              </w:rPr>
            </w:pPr>
            <w:r>
              <w:rPr>
                <w:rFonts w:ascii="Arial" w:cs="Arial" w:eastAsia="Arial" w:hAnsi="Arial"/>
                <w:sz w:val="15"/>
                <w:szCs w:val="15"/>
                <w:b w:val="1"/>
                <w:bCs w:val="1"/>
                <w:color w:val="auto"/>
                <w:w w:val="89"/>
              </w:rPr>
              <w:t>2020</w:t>
            </w:r>
          </w:p>
        </w:tc>
        <w:tc>
          <w:tcPr>
            <w:tcW w:w="24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9"/>
              </w:rPr>
              <w:t>applicable)</w:t>
            </w:r>
          </w:p>
        </w:tc>
      </w:tr>
      <w:tr>
        <w:trPr>
          <w:trHeight w:val="179"/>
        </w:trPr>
        <w:tc>
          <w:tcPr>
            <w:tcW w:w="39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760" w:type="dxa"/>
            <w:vAlign w:val="bottom"/>
            <w:tcBorders>
              <w:top w:val="single" w:sz="8" w:color="auto"/>
            </w:tcBorders>
            <w:gridSpan w:val="4"/>
          </w:tcPr>
          <w:p>
            <w:pPr>
              <w:jc w:val="right"/>
              <w:ind w:right="346"/>
              <w:spacing w:after="0"/>
              <w:rPr>
                <w:sz w:val="20"/>
                <w:szCs w:val="20"/>
                <w:color w:val="auto"/>
              </w:rPr>
            </w:pPr>
            <w:r>
              <w:rPr>
                <w:rFonts w:ascii="Arial" w:cs="Arial" w:eastAsia="Arial" w:hAnsi="Arial"/>
                <w:sz w:val="15"/>
                <w:szCs w:val="15"/>
                <w:b w:val="1"/>
                <w:bCs w:val="1"/>
                <w:color w:val="auto"/>
                <w:w w:val="90"/>
              </w:rPr>
              <w:t>(Soles in thousands, except as otherwise indicated)</w:t>
            </w: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Net interest income</w:t>
            </w:r>
          </w:p>
        </w:tc>
        <w:tc>
          <w:tcPr>
            <w:tcW w:w="12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8,071,487</w:t>
            </w:r>
          </w:p>
        </w:tc>
        <w:tc>
          <w:tcPr>
            <w:tcW w:w="148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rPr>
              <w:t>8,489,105</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9,090,797</w:t>
            </w:r>
          </w:p>
        </w:tc>
        <w:tc>
          <w:tcPr>
            <w:tcW w:w="12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2,197,168</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2,379,300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692,261</w:t>
            </w:r>
          </w:p>
        </w:tc>
      </w:tr>
      <w:tr>
        <w:trPr>
          <w:trHeight w:val="176"/>
        </w:trPr>
        <w:tc>
          <w:tcPr>
            <w:tcW w:w="3920" w:type="dxa"/>
            <w:vAlign w:val="bottom"/>
          </w:tcPr>
          <w:p>
            <w:pPr>
              <w:spacing w:after="0"/>
              <w:rPr>
                <w:sz w:val="20"/>
                <w:szCs w:val="20"/>
                <w:color w:val="auto"/>
              </w:rPr>
            </w:pPr>
            <w:r>
              <w:rPr>
                <w:rFonts w:ascii="Arial" w:cs="Arial" w:eastAsia="Arial" w:hAnsi="Arial"/>
                <w:sz w:val="15"/>
                <w:szCs w:val="15"/>
                <w:color w:val="auto"/>
              </w:rPr>
              <w:t>Provision for credit losses on</w:t>
            </w: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3920" w:type="dxa"/>
            <w:vAlign w:val="bottom"/>
          </w:tcPr>
          <w:p>
            <w:pPr>
              <w:ind w:left="140"/>
              <w:spacing w:after="0"/>
              <w:rPr>
                <w:sz w:val="20"/>
                <w:szCs w:val="20"/>
                <w:color w:val="auto"/>
              </w:rPr>
            </w:pPr>
            <w:r>
              <w:rPr>
                <w:rFonts w:ascii="Arial" w:cs="Arial" w:eastAsia="Arial" w:hAnsi="Arial"/>
                <w:sz w:val="15"/>
                <w:szCs w:val="15"/>
                <w:color w:val="auto"/>
              </w:rPr>
              <w:t>loan portfolio, net of</w:t>
            </w: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3920" w:type="dxa"/>
            <w:vAlign w:val="bottom"/>
          </w:tcPr>
          <w:p>
            <w:pPr>
              <w:ind w:left="140"/>
              <w:spacing w:after="0"/>
              <w:rPr>
                <w:sz w:val="20"/>
                <w:szCs w:val="20"/>
                <w:color w:val="auto"/>
              </w:rPr>
            </w:pPr>
            <w:r>
              <w:rPr>
                <w:rFonts w:ascii="Arial" w:cs="Arial" w:eastAsia="Arial" w:hAnsi="Arial"/>
                <w:sz w:val="15"/>
                <w:szCs w:val="15"/>
                <w:color w:val="auto"/>
              </w:rPr>
              <w:t>recoveries</w:t>
            </w: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(1,789,165)</w:t>
            </w:r>
          </w:p>
        </w:tc>
        <w:tc>
          <w:tcPr>
            <w:tcW w:w="1480" w:type="dxa"/>
            <w:vAlign w:val="bottom"/>
          </w:tcPr>
          <w:p>
            <w:pPr>
              <w:jc w:val="right"/>
              <w:ind w:right="346"/>
              <w:spacing w:after="0"/>
              <w:rPr>
                <w:sz w:val="20"/>
                <w:szCs w:val="20"/>
                <w:color w:val="auto"/>
              </w:rPr>
            </w:pPr>
            <w:r>
              <w:rPr>
                <w:rFonts w:ascii="Arial" w:cs="Arial" w:eastAsia="Arial" w:hAnsi="Arial"/>
                <w:sz w:val="15"/>
                <w:szCs w:val="15"/>
                <w:color w:val="auto"/>
              </w:rPr>
              <w:t>(1,531,708)</w:t>
            </w: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(1,845,936)</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(383,211)</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(1,341,481)</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(390,306)</w:t>
            </w:r>
          </w:p>
        </w:tc>
      </w:tr>
      <w:tr>
        <w:trPr>
          <w:trHeight w:val="177"/>
        </w:trPr>
        <w:tc>
          <w:tcPr>
            <w:tcW w:w="3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Risk-adjusted net interest</w:t>
            </w:r>
          </w:p>
        </w:tc>
        <w:tc>
          <w:tcPr>
            <w:tcW w:w="1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392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income</w:t>
            </w:r>
          </w:p>
        </w:tc>
        <w:tc>
          <w:tcPr>
            <w:tcW w:w="1240" w:type="dxa"/>
            <w:vAlign w:val="bottom"/>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6,282,322</w:t>
            </w:r>
          </w:p>
        </w:tc>
        <w:tc>
          <w:tcPr>
            <w:tcW w:w="1480" w:type="dxa"/>
            <w:vAlign w:val="bottom"/>
            <w:shd w:val="clear" w:color="auto" w:fill="CCEEFF"/>
          </w:tcPr>
          <w:p>
            <w:pPr>
              <w:jc w:val="right"/>
              <w:ind w:right="386"/>
              <w:spacing w:after="0"/>
              <w:rPr>
                <w:sz w:val="20"/>
                <w:szCs w:val="20"/>
                <w:color w:val="auto"/>
              </w:rPr>
            </w:pPr>
            <w:r>
              <w:rPr>
                <w:rFonts w:ascii="Arial" w:cs="Arial" w:eastAsia="Arial" w:hAnsi="Arial"/>
                <w:sz w:val="15"/>
                <w:szCs w:val="15"/>
                <w:b w:val="1"/>
                <w:bCs w:val="1"/>
                <w:color w:val="auto"/>
              </w:rPr>
              <w:t>6,957,397</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7,244,861</w:t>
            </w:r>
          </w:p>
        </w:tc>
        <w:tc>
          <w:tcPr>
            <w:tcW w:w="1260" w:type="dxa"/>
            <w:vAlign w:val="bottom"/>
            <w:shd w:val="clear" w:color="auto" w:fill="CCEEFF"/>
          </w:tcPr>
          <w:p>
            <w:pPr>
              <w:jc w:val="right"/>
              <w:ind w:right="186"/>
              <w:spacing w:after="0"/>
              <w:rPr>
                <w:sz w:val="20"/>
                <w:szCs w:val="20"/>
                <w:color w:val="auto"/>
              </w:rPr>
            </w:pPr>
            <w:r>
              <w:rPr>
                <w:rFonts w:ascii="Arial" w:cs="Arial" w:eastAsia="Arial" w:hAnsi="Arial"/>
                <w:sz w:val="15"/>
                <w:szCs w:val="15"/>
                <w:b w:val="1"/>
                <w:bCs w:val="1"/>
                <w:color w:val="auto"/>
              </w:rPr>
              <w:t>1,813,957</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1,037,819</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301,955</w:t>
            </w:r>
          </w:p>
        </w:tc>
      </w:tr>
      <w:tr>
        <w:trPr>
          <w:trHeight w:val="184"/>
        </w:trPr>
        <w:tc>
          <w:tcPr>
            <w:tcW w:w="3920" w:type="dxa"/>
            <w:vAlign w:val="bottom"/>
          </w:tcPr>
          <w:p>
            <w:pPr>
              <w:spacing w:after="0"/>
              <w:rPr>
                <w:sz w:val="20"/>
                <w:szCs w:val="20"/>
                <w:color w:val="auto"/>
              </w:rPr>
            </w:pPr>
            <w:r>
              <w:rPr>
                <w:rFonts w:ascii="Arial" w:cs="Arial" w:eastAsia="Arial" w:hAnsi="Arial"/>
                <w:sz w:val="15"/>
                <w:szCs w:val="15"/>
                <w:color w:val="auto"/>
              </w:rPr>
              <w:t>Non-financial income</w:t>
            </w:r>
          </w:p>
        </w:tc>
        <w:tc>
          <w:tcPr>
            <w:tcW w:w="1240" w:type="dxa"/>
            <w:vAlign w:val="bottom"/>
          </w:tcPr>
          <w:p>
            <w:pPr>
              <w:jc w:val="right"/>
              <w:ind w:right="146"/>
              <w:spacing w:after="0"/>
              <w:rPr>
                <w:sz w:val="20"/>
                <w:szCs w:val="20"/>
                <w:color w:val="auto"/>
              </w:rPr>
            </w:pPr>
            <w:r>
              <w:rPr>
                <w:rFonts w:ascii="Arial" w:cs="Arial" w:eastAsia="Arial" w:hAnsi="Arial"/>
                <w:sz w:val="15"/>
                <w:szCs w:val="15"/>
                <w:color w:val="auto"/>
              </w:rPr>
              <w:t>4,692,579</w:t>
            </w:r>
          </w:p>
        </w:tc>
        <w:tc>
          <w:tcPr>
            <w:tcW w:w="1480" w:type="dxa"/>
            <w:vAlign w:val="bottom"/>
          </w:tcPr>
          <w:p>
            <w:pPr>
              <w:jc w:val="right"/>
              <w:ind w:right="386"/>
              <w:spacing w:after="0"/>
              <w:rPr>
                <w:sz w:val="20"/>
                <w:szCs w:val="20"/>
                <w:color w:val="auto"/>
              </w:rPr>
            </w:pPr>
            <w:r>
              <w:rPr>
                <w:rFonts w:ascii="Arial" w:cs="Arial" w:eastAsia="Arial" w:hAnsi="Arial"/>
                <w:sz w:val="15"/>
                <w:szCs w:val="15"/>
                <w:color w:val="auto"/>
              </w:rPr>
              <w:t>4,410,806</w:t>
            </w: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4,897,984</w:t>
            </w:r>
          </w:p>
        </w:tc>
        <w:tc>
          <w:tcPr>
            <w:tcW w:w="1260" w:type="dxa"/>
            <w:vAlign w:val="bottom"/>
          </w:tcPr>
          <w:p>
            <w:pPr>
              <w:jc w:val="right"/>
              <w:ind w:right="186"/>
              <w:spacing w:after="0"/>
              <w:rPr>
                <w:sz w:val="20"/>
                <w:szCs w:val="20"/>
                <w:color w:val="auto"/>
              </w:rPr>
            </w:pPr>
            <w:r>
              <w:rPr>
                <w:rFonts w:ascii="Arial" w:cs="Arial" w:eastAsia="Arial" w:hAnsi="Arial"/>
                <w:sz w:val="15"/>
                <w:szCs w:val="15"/>
                <w:color w:val="auto"/>
              </w:rPr>
              <w:t>1,176,337</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957,864</w:t>
            </w: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278,692</w:t>
            </w:r>
          </w:p>
        </w:tc>
      </w:tr>
      <w:tr>
        <w:trPr>
          <w:trHeight w:val="184"/>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Insurance underwriting result</w:t>
            </w:r>
          </w:p>
        </w:tc>
        <w:tc>
          <w:tcPr>
            <w:tcW w:w="12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488,165</w:t>
            </w:r>
          </w:p>
        </w:tc>
        <w:tc>
          <w:tcPr>
            <w:tcW w:w="148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rPr>
              <w:t>471,421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499,024</w:t>
            </w:r>
          </w:p>
        </w:tc>
        <w:tc>
          <w:tcPr>
            <w:tcW w:w="12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109,111</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141,926</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41,294</w:t>
            </w:r>
          </w:p>
        </w:tc>
      </w:tr>
      <w:tr>
        <w:trPr>
          <w:trHeight w:val="184"/>
        </w:trPr>
        <w:tc>
          <w:tcPr>
            <w:tcW w:w="3920" w:type="dxa"/>
            <w:vAlign w:val="bottom"/>
          </w:tcPr>
          <w:p>
            <w:pPr>
              <w:spacing w:after="0"/>
              <w:rPr>
                <w:sz w:val="20"/>
                <w:szCs w:val="20"/>
                <w:color w:val="auto"/>
              </w:rPr>
            </w:pPr>
            <w:r>
              <w:rPr>
                <w:rFonts w:ascii="Arial" w:cs="Arial" w:eastAsia="Arial" w:hAnsi="Arial"/>
                <w:sz w:val="15"/>
                <w:szCs w:val="15"/>
                <w:color w:val="auto"/>
              </w:rPr>
              <w:t>Total expenses</w:t>
            </w: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(5,888,132)</w:t>
            </w:r>
          </w:p>
        </w:tc>
        <w:tc>
          <w:tcPr>
            <w:tcW w:w="1480" w:type="dxa"/>
            <w:vAlign w:val="bottom"/>
          </w:tcPr>
          <w:p>
            <w:pPr>
              <w:jc w:val="right"/>
              <w:ind w:right="346"/>
              <w:spacing w:after="0"/>
              <w:rPr>
                <w:sz w:val="20"/>
                <w:szCs w:val="20"/>
                <w:color w:val="auto"/>
              </w:rPr>
            </w:pPr>
            <w:r>
              <w:rPr>
                <w:rFonts w:ascii="Arial" w:cs="Arial" w:eastAsia="Arial" w:hAnsi="Arial"/>
                <w:sz w:val="15"/>
                <w:szCs w:val="15"/>
                <w:color w:val="auto"/>
              </w:rPr>
              <w:t>(6,247,410)</w:t>
            </w: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(6,666,461)</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(1,553,976)</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(1,778,635)</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(517,496)</w:t>
            </w:r>
          </w:p>
        </w:tc>
      </w:tr>
      <w:tr>
        <w:trPr>
          <w:trHeight w:val="184"/>
        </w:trPr>
        <w:tc>
          <w:tcPr>
            <w:tcW w:w="3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Profit before income tax</w:t>
            </w:r>
          </w:p>
        </w:tc>
        <w:tc>
          <w:tcPr>
            <w:tcW w:w="1240" w:type="dxa"/>
            <w:vAlign w:val="bottom"/>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5,574,934</w:t>
            </w:r>
          </w:p>
        </w:tc>
        <w:tc>
          <w:tcPr>
            <w:tcW w:w="1480" w:type="dxa"/>
            <w:vAlign w:val="bottom"/>
            <w:shd w:val="clear" w:color="auto" w:fill="CCEEFF"/>
          </w:tcPr>
          <w:p>
            <w:pPr>
              <w:jc w:val="right"/>
              <w:ind w:right="386"/>
              <w:spacing w:after="0"/>
              <w:rPr>
                <w:sz w:val="20"/>
                <w:szCs w:val="20"/>
                <w:color w:val="auto"/>
              </w:rPr>
            </w:pPr>
            <w:r>
              <w:rPr>
                <w:rFonts w:ascii="Arial" w:cs="Arial" w:eastAsia="Arial" w:hAnsi="Arial"/>
                <w:sz w:val="15"/>
                <w:szCs w:val="15"/>
                <w:b w:val="1"/>
                <w:bCs w:val="1"/>
                <w:color w:val="auto"/>
              </w:rPr>
              <w:t>5,592,214</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5,975,408</w:t>
            </w:r>
          </w:p>
        </w:tc>
        <w:tc>
          <w:tcPr>
            <w:tcW w:w="1260" w:type="dxa"/>
            <w:vAlign w:val="bottom"/>
            <w:shd w:val="clear" w:color="auto" w:fill="CCEEFF"/>
          </w:tcPr>
          <w:p>
            <w:pPr>
              <w:jc w:val="right"/>
              <w:ind w:right="186"/>
              <w:spacing w:after="0"/>
              <w:rPr>
                <w:sz w:val="20"/>
                <w:szCs w:val="20"/>
                <w:color w:val="auto"/>
              </w:rPr>
            </w:pPr>
            <w:r>
              <w:rPr>
                <w:rFonts w:ascii="Arial" w:cs="Arial" w:eastAsia="Arial" w:hAnsi="Arial"/>
                <w:sz w:val="15"/>
                <w:szCs w:val="15"/>
                <w:b w:val="1"/>
                <w:bCs w:val="1"/>
                <w:color w:val="auto"/>
              </w:rPr>
              <w:t>1,545,429</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358,974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104,444</w:t>
            </w:r>
          </w:p>
        </w:tc>
      </w:tr>
      <w:tr>
        <w:trPr>
          <w:trHeight w:val="184"/>
        </w:trPr>
        <w:tc>
          <w:tcPr>
            <w:tcW w:w="3920" w:type="dxa"/>
            <w:vAlign w:val="bottom"/>
          </w:tcPr>
          <w:p>
            <w:pPr>
              <w:spacing w:after="0"/>
              <w:rPr>
                <w:sz w:val="20"/>
                <w:szCs w:val="20"/>
                <w:color w:val="auto"/>
              </w:rPr>
            </w:pPr>
            <w:r>
              <w:rPr>
                <w:rFonts w:ascii="Arial" w:cs="Arial" w:eastAsia="Arial" w:hAnsi="Arial"/>
                <w:sz w:val="15"/>
                <w:szCs w:val="15"/>
                <w:color w:val="auto"/>
              </w:rPr>
              <w:t>Income taxes</w:t>
            </w: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(1,393,286)</w:t>
            </w:r>
          </w:p>
        </w:tc>
        <w:tc>
          <w:tcPr>
            <w:tcW w:w="1480" w:type="dxa"/>
            <w:vAlign w:val="bottom"/>
          </w:tcPr>
          <w:p>
            <w:pPr>
              <w:jc w:val="right"/>
              <w:ind w:right="346"/>
              <w:spacing w:after="0"/>
              <w:rPr>
                <w:sz w:val="20"/>
                <w:szCs w:val="20"/>
                <w:color w:val="auto"/>
              </w:rPr>
            </w:pPr>
            <w:r>
              <w:rPr>
                <w:rFonts w:ascii="Arial" w:cs="Arial" w:eastAsia="Arial" w:hAnsi="Arial"/>
                <w:sz w:val="15"/>
                <w:szCs w:val="15"/>
                <w:color w:val="auto"/>
              </w:rPr>
              <w:t>(1,520,909)</w:t>
            </w: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(1,623,077)</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(422,165)</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(145,799)</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(42,420)</w:t>
            </w:r>
          </w:p>
        </w:tc>
      </w:tr>
      <w:tr>
        <w:trPr>
          <w:trHeight w:val="184"/>
        </w:trPr>
        <w:tc>
          <w:tcPr>
            <w:tcW w:w="3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profit</w:t>
            </w:r>
          </w:p>
        </w:tc>
        <w:tc>
          <w:tcPr>
            <w:tcW w:w="1240" w:type="dxa"/>
            <w:vAlign w:val="bottom"/>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4,181,648</w:t>
            </w:r>
          </w:p>
        </w:tc>
        <w:tc>
          <w:tcPr>
            <w:tcW w:w="1480" w:type="dxa"/>
            <w:vAlign w:val="bottom"/>
            <w:shd w:val="clear" w:color="auto" w:fill="CCEEFF"/>
          </w:tcPr>
          <w:p>
            <w:pPr>
              <w:jc w:val="right"/>
              <w:ind w:right="386"/>
              <w:spacing w:after="0"/>
              <w:rPr>
                <w:sz w:val="20"/>
                <w:szCs w:val="20"/>
                <w:color w:val="auto"/>
              </w:rPr>
            </w:pPr>
            <w:r>
              <w:rPr>
                <w:rFonts w:ascii="Arial" w:cs="Arial" w:eastAsia="Arial" w:hAnsi="Arial"/>
                <w:sz w:val="15"/>
                <w:szCs w:val="15"/>
                <w:b w:val="1"/>
                <w:bCs w:val="1"/>
                <w:color w:val="auto"/>
              </w:rPr>
              <w:t>4,071,305</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4,352,331</w:t>
            </w:r>
          </w:p>
        </w:tc>
        <w:tc>
          <w:tcPr>
            <w:tcW w:w="1260" w:type="dxa"/>
            <w:vAlign w:val="bottom"/>
            <w:shd w:val="clear" w:color="auto" w:fill="CCEEFF"/>
          </w:tcPr>
          <w:p>
            <w:pPr>
              <w:jc w:val="right"/>
              <w:ind w:right="186"/>
              <w:spacing w:after="0"/>
              <w:rPr>
                <w:sz w:val="20"/>
                <w:szCs w:val="20"/>
                <w:color w:val="auto"/>
              </w:rPr>
            </w:pPr>
            <w:r>
              <w:rPr>
                <w:rFonts w:ascii="Arial" w:cs="Arial" w:eastAsia="Arial" w:hAnsi="Arial"/>
                <w:sz w:val="15"/>
                <w:szCs w:val="15"/>
                <w:b w:val="1"/>
                <w:bCs w:val="1"/>
                <w:color w:val="auto"/>
              </w:rPr>
              <w:t>1,123,264</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213,175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62,024</w:t>
            </w:r>
          </w:p>
        </w:tc>
      </w:tr>
      <w:tr>
        <w:trPr>
          <w:trHeight w:val="184"/>
        </w:trPr>
        <w:tc>
          <w:tcPr>
            <w:tcW w:w="3920" w:type="dxa"/>
            <w:vAlign w:val="bottom"/>
          </w:tcPr>
          <w:p>
            <w:pPr>
              <w:spacing w:after="0"/>
              <w:rPr>
                <w:sz w:val="20"/>
                <w:szCs w:val="20"/>
                <w:color w:val="auto"/>
              </w:rPr>
            </w:pPr>
            <w:r>
              <w:rPr>
                <w:rFonts w:ascii="Arial" w:cs="Arial" w:eastAsia="Arial" w:hAnsi="Arial"/>
                <w:sz w:val="15"/>
                <w:szCs w:val="15"/>
                <w:color w:val="auto"/>
              </w:rPr>
              <w:t>Non-controlling interest</w:t>
            </w:r>
          </w:p>
        </w:tc>
        <w:tc>
          <w:tcPr>
            <w:tcW w:w="1240" w:type="dxa"/>
            <w:vAlign w:val="bottom"/>
          </w:tcPr>
          <w:p>
            <w:pPr>
              <w:jc w:val="right"/>
              <w:ind w:right="146"/>
              <w:spacing w:after="0"/>
              <w:rPr>
                <w:sz w:val="20"/>
                <w:szCs w:val="20"/>
                <w:color w:val="auto"/>
              </w:rPr>
            </w:pPr>
            <w:r>
              <w:rPr>
                <w:rFonts w:ascii="Arial" w:cs="Arial" w:eastAsia="Arial" w:hAnsi="Arial"/>
                <w:sz w:val="15"/>
                <w:szCs w:val="15"/>
                <w:color w:val="auto"/>
              </w:rPr>
              <w:t>89,895</w:t>
            </w:r>
          </w:p>
        </w:tc>
        <w:tc>
          <w:tcPr>
            <w:tcW w:w="1480" w:type="dxa"/>
            <w:vAlign w:val="bottom"/>
          </w:tcPr>
          <w:p>
            <w:pPr>
              <w:jc w:val="right"/>
              <w:ind w:right="386"/>
              <w:spacing w:after="0"/>
              <w:rPr>
                <w:sz w:val="20"/>
                <w:szCs w:val="20"/>
                <w:color w:val="auto"/>
              </w:rPr>
            </w:pPr>
            <w:r>
              <w:rPr>
                <w:rFonts w:ascii="Arial" w:cs="Arial" w:eastAsia="Arial" w:hAnsi="Arial"/>
                <w:sz w:val="15"/>
                <w:szCs w:val="15"/>
                <w:color w:val="auto"/>
              </w:rPr>
              <w:t>87,440</w:t>
            </w: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87,027</w:t>
            </w:r>
          </w:p>
        </w:tc>
        <w:tc>
          <w:tcPr>
            <w:tcW w:w="1260" w:type="dxa"/>
            <w:vAlign w:val="bottom"/>
          </w:tcPr>
          <w:p>
            <w:pPr>
              <w:jc w:val="right"/>
              <w:ind w:right="186"/>
              <w:spacing w:after="0"/>
              <w:rPr>
                <w:sz w:val="20"/>
                <w:szCs w:val="20"/>
                <w:color w:val="auto"/>
              </w:rPr>
            </w:pPr>
            <w:r>
              <w:rPr>
                <w:rFonts w:ascii="Arial" w:cs="Arial" w:eastAsia="Arial" w:hAnsi="Arial"/>
                <w:sz w:val="15"/>
                <w:szCs w:val="15"/>
                <w:color w:val="auto"/>
              </w:rPr>
              <w:t>22,397</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3,901</w:t>
            </w: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1,135</w:t>
            </w:r>
          </w:p>
        </w:tc>
      </w:tr>
      <w:tr>
        <w:trPr>
          <w:trHeight w:val="172"/>
        </w:trPr>
        <w:tc>
          <w:tcPr>
            <w:tcW w:w="3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profit attributable to</w:t>
            </w:r>
          </w:p>
        </w:tc>
        <w:tc>
          <w:tcPr>
            <w:tcW w:w="1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96"/>
        </w:trPr>
        <w:tc>
          <w:tcPr>
            <w:tcW w:w="392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Credicorp</w:t>
            </w:r>
          </w:p>
        </w:tc>
        <w:tc>
          <w:tcPr>
            <w:tcW w:w="1240" w:type="dxa"/>
            <w:vAlign w:val="bottom"/>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4,091,753</w:t>
            </w:r>
          </w:p>
        </w:tc>
        <w:tc>
          <w:tcPr>
            <w:tcW w:w="1480" w:type="dxa"/>
            <w:vAlign w:val="bottom"/>
            <w:shd w:val="clear" w:color="auto" w:fill="CCEEFF"/>
          </w:tcPr>
          <w:p>
            <w:pPr>
              <w:jc w:val="right"/>
              <w:ind w:right="386"/>
              <w:spacing w:after="0"/>
              <w:rPr>
                <w:sz w:val="20"/>
                <w:szCs w:val="20"/>
                <w:color w:val="auto"/>
              </w:rPr>
            </w:pPr>
            <w:r>
              <w:rPr>
                <w:rFonts w:ascii="Arial" w:cs="Arial" w:eastAsia="Arial" w:hAnsi="Arial"/>
                <w:sz w:val="15"/>
                <w:szCs w:val="15"/>
                <w:b w:val="1"/>
                <w:bCs w:val="1"/>
                <w:color w:val="auto"/>
              </w:rPr>
              <w:t>3,983,865</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4,265,304</w:t>
            </w:r>
          </w:p>
        </w:tc>
        <w:tc>
          <w:tcPr>
            <w:tcW w:w="1260" w:type="dxa"/>
            <w:vAlign w:val="bottom"/>
            <w:shd w:val="clear" w:color="auto" w:fill="CCEEFF"/>
          </w:tcPr>
          <w:p>
            <w:pPr>
              <w:jc w:val="right"/>
              <w:ind w:right="186"/>
              <w:spacing w:after="0"/>
              <w:rPr>
                <w:sz w:val="20"/>
                <w:szCs w:val="20"/>
                <w:color w:val="auto"/>
              </w:rPr>
            </w:pPr>
            <w:r>
              <w:rPr>
                <w:rFonts w:ascii="Arial" w:cs="Arial" w:eastAsia="Arial" w:hAnsi="Arial"/>
                <w:sz w:val="15"/>
                <w:szCs w:val="15"/>
                <w:b w:val="1"/>
                <w:bCs w:val="1"/>
                <w:color w:val="auto"/>
              </w:rPr>
              <w:t>1,100,867</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209,274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60,889</w:t>
            </w:r>
          </w:p>
        </w:tc>
      </w:tr>
      <w:tr>
        <w:trPr>
          <w:trHeight w:val="184"/>
        </w:trPr>
        <w:tc>
          <w:tcPr>
            <w:tcW w:w="3920" w:type="dxa"/>
            <w:vAlign w:val="bottom"/>
          </w:tcPr>
          <w:p>
            <w:pPr>
              <w:spacing w:after="0"/>
              <w:rPr>
                <w:sz w:val="20"/>
                <w:szCs w:val="20"/>
                <w:color w:val="auto"/>
              </w:rPr>
            </w:pPr>
            <w:r>
              <w:rPr>
                <w:rFonts w:ascii="Arial" w:cs="Arial" w:eastAsia="Arial" w:hAnsi="Arial"/>
                <w:sz w:val="15"/>
                <w:szCs w:val="15"/>
                <w:color w:val="auto"/>
              </w:rPr>
              <w:t>Net income / share (S/)</w:t>
            </w:r>
          </w:p>
        </w:tc>
        <w:tc>
          <w:tcPr>
            <w:tcW w:w="1240" w:type="dxa"/>
            <w:vAlign w:val="bottom"/>
          </w:tcPr>
          <w:p>
            <w:pPr>
              <w:jc w:val="right"/>
              <w:ind w:right="146"/>
              <w:spacing w:after="0"/>
              <w:rPr>
                <w:sz w:val="20"/>
                <w:szCs w:val="20"/>
                <w:color w:val="auto"/>
              </w:rPr>
            </w:pPr>
            <w:r>
              <w:rPr>
                <w:rFonts w:ascii="Arial" w:cs="Arial" w:eastAsia="Arial" w:hAnsi="Arial"/>
                <w:sz w:val="15"/>
                <w:szCs w:val="15"/>
                <w:color w:val="auto"/>
              </w:rPr>
              <w:t>51</w:t>
            </w:r>
          </w:p>
        </w:tc>
        <w:tc>
          <w:tcPr>
            <w:tcW w:w="1480" w:type="dxa"/>
            <w:vAlign w:val="bottom"/>
          </w:tcPr>
          <w:p>
            <w:pPr>
              <w:jc w:val="right"/>
              <w:ind w:right="386"/>
              <w:spacing w:after="0"/>
              <w:rPr>
                <w:sz w:val="20"/>
                <w:szCs w:val="20"/>
                <w:color w:val="auto"/>
              </w:rPr>
            </w:pPr>
            <w:r>
              <w:rPr>
                <w:rFonts w:ascii="Arial" w:cs="Arial" w:eastAsia="Arial" w:hAnsi="Arial"/>
                <w:sz w:val="15"/>
                <w:szCs w:val="15"/>
                <w:color w:val="auto"/>
              </w:rPr>
              <w:t>50</w:t>
            </w: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54</w:t>
            </w:r>
          </w:p>
        </w:tc>
        <w:tc>
          <w:tcPr>
            <w:tcW w:w="1260" w:type="dxa"/>
            <w:vAlign w:val="bottom"/>
          </w:tcPr>
          <w:p>
            <w:pPr>
              <w:jc w:val="right"/>
              <w:ind w:right="186"/>
              <w:spacing w:after="0"/>
              <w:rPr>
                <w:sz w:val="20"/>
                <w:szCs w:val="20"/>
                <w:color w:val="auto"/>
              </w:rPr>
            </w:pPr>
            <w:r>
              <w:rPr>
                <w:rFonts w:ascii="Arial" w:cs="Arial" w:eastAsia="Arial" w:hAnsi="Arial"/>
                <w:sz w:val="15"/>
                <w:szCs w:val="15"/>
                <w:color w:val="auto"/>
              </w:rPr>
              <w:t>14</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3</w:t>
            </w: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w:t>
            </w:r>
          </w:p>
        </w:tc>
      </w:tr>
      <w:tr>
        <w:trPr>
          <w:trHeight w:val="184"/>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Loans</w:t>
            </w:r>
          </w:p>
        </w:tc>
        <w:tc>
          <w:tcPr>
            <w:tcW w:w="12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100,477,775</w:t>
            </w:r>
          </w:p>
        </w:tc>
        <w:tc>
          <w:tcPr>
            <w:tcW w:w="148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rPr>
              <w:t>110,759,390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1"/>
              </w:rPr>
              <w:t>115,609,679</w:t>
            </w:r>
          </w:p>
        </w:tc>
        <w:tc>
          <w:tcPr>
            <w:tcW w:w="12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108,350,384</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120,708,515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35,120,313</w:t>
            </w:r>
          </w:p>
        </w:tc>
      </w:tr>
      <w:tr>
        <w:trPr>
          <w:trHeight w:val="184"/>
        </w:trPr>
        <w:tc>
          <w:tcPr>
            <w:tcW w:w="3920" w:type="dxa"/>
            <w:vAlign w:val="bottom"/>
          </w:tcPr>
          <w:p>
            <w:pPr>
              <w:spacing w:after="0"/>
              <w:rPr>
                <w:sz w:val="20"/>
                <w:szCs w:val="20"/>
                <w:color w:val="auto"/>
              </w:rPr>
            </w:pPr>
            <w:r>
              <w:rPr>
                <w:rFonts w:ascii="Arial" w:cs="Arial" w:eastAsia="Arial" w:hAnsi="Arial"/>
                <w:sz w:val="15"/>
                <w:szCs w:val="15"/>
                <w:color w:val="auto"/>
              </w:rPr>
              <w:t>Deposits and obligations</w:t>
            </w:r>
          </w:p>
        </w:tc>
        <w:tc>
          <w:tcPr>
            <w:tcW w:w="1240" w:type="dxa"/>
            <w:vAlign w:val="bottom"/>
          </w:tcPr>
          <w:p>
            <w:pPr>
              <w:jc w:val="right"/>
              <w:ind w:right="146"/>
              <w:spacing w:after="0"/>
              <w:rPr>
                <w:sz w:val="20"/>
                <w:szCs w:val="20"/>
                <w:color w:val="auto"/>
              </w:rPr>
            </w:pPr>
            <w:r>
              <w:rPr>
                <w:rFonts w:ascii="Arial" w:cs="Arial" w:eastAsia="Arial" w:hAnsi="Arial"/>
                <w:sz w:val="15"/>
                <w:szCs w:val="15"/>
                <w:color w:val="auto"/>
              </w:rPr>
              <w:t>97,170,411</w:t>
            </w:r>
          </w:p>
        </w:tc>
        <w:tc>
          <w:tcPr>
            <w:tcW w:w="1480" w:type="dxa"/>
            <w:vAlign w:val="bottom"/>
          </w:tcPr>
          <w:p>
            <w:pPr>
              <w:jc w:val="right"/>
              <w:ind w:right="386"/>
              <w:spacing w:after="0"/>
              <w:rPr>
                <w:sz w:val="20"/>
                <w:szCs w:val="20"/>
                <w:color w:val="auto"/>
              </w:rPr>
            </w:pPr>
            <w:r>
              <w:rPr>
                <w:rFonts w:ascii="Arial" w:cs="Arial" w:eastAsia="Arial" w:hAnsi="Arial"/>
                <w:sz w:val="15"/>
                <w:szCs w:val="15"/>
                <w:color w:val="auto"/>
              </w:rPr>
              <w:t>104,551,310</w:t>
            </w: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w w:val="91"/>
              </w:rPr>
              <w:t>112,005,385</w:t>
            </w:r>
          </w:p>
        </w:tc>
        <w:tc>
          <w:tcPr>
            <w:tcW w:w="1260" w:type="dxa"/>
            <w:vAlign w:val="bottom"/>
          </w:tcPr>
          <w:p>
            <w:pPr>
              <w:jc w:val="right"/>
              <w:ind w:right="186"/>
              <w:spacing w:after="0"/>
              <w:rPr>
                <w:sz w:val="20"/>
                <w:szCs w:val="20"/>
                <w:color w:val="auto"/>
              </w:rPr>
            </w:pPr>
            <w:r>
              <w:rPr>
                <w:rFonts w:ascii="Arial" w:cs="Arial" w:eastAsia="Arial" w:hAnsi="Arial"/>
                <w:sz w:val="15"/>
                <w:szCs w:val="15"/>
                <w:color w:val="auto"/>
              </w:rPr>
              <w:t>103,727,257</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119,563,545</w:t>
            </w: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34,787,182</w:t>
            </w:r>
          </w:p>
        </w:tc>
      </w:tr>
      <w:tr>
        <w:trPr>
          <w:trHeight w:val="184"/>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Net equity</w:t>
            </w:r>
          </w:p>
        </w:tc>
        <w:tc>
          <w:tcPr>
            <w:tcW w:w="12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21,756,567</w:t>
            </w:r>
          </w:p>
        </w:tc>
        <w:tc>
          <w:tcPr>
            <w:tcW w:w="148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rPr>
              <w:t>23,839,243</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26,237,960</w:t>
            </w:r>
          </w:p>
        </w:tc>
        <w:tc>
          <w:tcPr>
            <w:tcW w:w="12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23,692,091</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23,205,639</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6,751,713</w:t>
            </w:r>
          </w:p>
        </w:tc>
      </w:tr>
      <w:tr>
        <w:trPr>
          <w:trHeight w:val="184"/>
        </w:trPr>
        <w:tc>
          <w:tcPr>
            <w:tcW w:w="3920" w:type="dxa"/>
            <w:vAlign w:val="bottom"/>
          </w:tcPr>
          <w:p>
            <w:pPr>
              <w:spacing w:after="0"/>
              <w:rPr>
                <w:sz w:val="20"/>
                <w:szCs w:val="20"/>
                <w:color w:val="auto"/>
              </w:rPr>
            </w:pPr>
            <w:r>
              <w:rPr>
                <w:rFonts w:ascii="Arial" w:cs="Arial" w:eastAsia="Arial" w:hAnsi="Arial"/>
                <w:sz w:val="15"/>
                <w:szCs w:val="15"/>
                <w:b w:val="1"/>
                <w:bCs w:val="1"/>
                <w:color w:val="auto"/>
              </w:rPr>
              <w:t>Profitability</w:t>
            </w: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Net interest margin(1)</w:t>
            </w:r>
          </w:p>
        </w:tc>
        <w:tc>
          <w:tcPr>
            <w:tcW w:w="12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5.32%</w:t>
            </w:r>
          </w:p>
        </w:tc>
        <w:tc>
          <w:tcPr>
            <w:tcW w:w="148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5.28%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5.40%</w:t>
            </w: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5.39%</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5.35%</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6"/>
        </w:trPr>
        <w:tc>
          <w:tcPr>
            <w:tcW w:w="3920" w:type="dxa"/>
            <w:vAlign w:val="bottom"/>
          </w:tcPr>
          <w:p>
            <w:pPr>
              <w:spacing w:after="0"/>
              <w:rPr>
                <w:sz w:val="20"/>
                <w:szCs w:val="20"/>
                <w:color w:val="auto"/>
              </w:rPr>
            </w:pPr>
            <w:r>
              <w:rPr>
                <w:rFonts w:ascii="Arial" w:cs="Arial" w:eastAsia="Arial" w:hAnsi="Arial"/>
                <w:sz w:val="15"/>
                <w:szCs w:val="15"/>
                <w:color w:val="auto"/>
              </w:rPr>
              <w:t>Risk-adjusted Net interest</w:t>
            </w: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3920" w:type="dxa"/>
            <w:vAlign w:val="bottom"/>
          </w:tcPr>
          <w:p>
            <w:pPr>
              <w:ind w:left="140"/>
              <w:spacing w:after="0"/>
              <w:rPr>
                <w:sz w:val="20"/>
                <w:szCs w:val="20"/>
                <w:color w:val="auto"/>
              </w:rPr>
            </w:pPr>
            <w:r>
              <w:rPr>
                <w:rFonts w:ascii="Arial" w:cs="Arial" w:eastAsia="Arial" w:hAnsi="Arial"/>
                <w:sz w:val="15"/>
                <w:szCs w:val="15"/>
                <w:color w:val="auto"/>
              </w:rPr>
              <w:t>margin(1)</w:t>
            </w:r>
          </w:p>
        </w:tc>
        <w:tc>
          <w:tcPr>
            <w:tcW w:w="1240" w:type="dxa"/>
            <w:vAlign w:val="bottom"/>
          </w:tcPr>
          <w:p>
            <w:pPr>
              <w:jc w:val="right"/>
              <w:ind w:right="26"/>
              <w:spacing w:after="0"/>
              <w:rPr>
                <w:sz w:val="20"/>
                <w:szCs w:val="20"/>
                <w:color w:val="auto"/>
              </w:rPr>
            </w:pPr>
            <w:r>
              <w:rPr>
                <w:rFonts w:ascii="Arial" w:cs="Arial" w:eastAsia="Arial" w:hAnsi="Arial"/>
                <w:sz w:val="15"/>
                <w:szCs w:val="15"/>
                <w:color w:val="auto"/>
              </w:rPr>
              <w:t>4.14%</w:t>
            </w:r>
          </w:p>
        </w:tc>
        <w:tc>
          <w:tcPr>
            <w:tcW w:w="1480" w:type="dxa"/>
            <w:vAlign w:val="bottom"/>
          </w:tcPr>
          <w:p>
            <w:pPr>
              <w:jc w:val="right"/>
              <w:ind w:right="266"/>
              <w:spacing w:after="0"/>
              <w:rPr>
                <w:sz w:val="20"/>
                <w:szCs w:val="20"/>
                <w:color w:val="auto"/>
              </w:rPr>
            </w:pPr>
            <w:r>
              <w:rPr>
                <w:rFonts w:ascii="Arial" w:cs="Arial" w:eastAsia="Arial" w:hAnsi="Arial"/>
                <w:sz w:val="15"/>
                <w:szCs w:val="15"/>
                <w:color w:val="auto"/>
              </w:rPr>
              <w:t>4.33%</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4.30%</w:t>
            </w:r>
          </w:p>
        </w:tc>
        <w:tc>
          <w:tcPr>
            <w:tcW w:w="1260" w:type="dxa"/>
            <w:vAlign w:val="bottom"/>
          </w:tcPr>
          <w:p>
            <w:pPr>
              <w:jc w:val="right"/>
              <w:ind w:right="66"/>
              <w:spacing w:after="0"/>
              <w:rPr>
                <w:sz w:val="20"/>
                <w:szCs w:val="20"/>
                <w:color w:val="auto"/>
              </w:rPr>
            </w:pPr>
            <w:r>
              <w:rPr>
                <w:rFonts w:ascii="Arial" w:cs="Arial" w:eastAsia="Arial" w:hAnsi="Arial"/>
                <w:sz w:val="15"/>
                <w:szCs w:val="15"/>
                <w:color w:val="auto"/>
              </w:rPr>
              <w:t>4.45%</w:t>
            </w: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2.33%</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Funding cost(1)</w:t>
            </w:r>
          </w:p>
        </w:tc>
        <w:tc>
          <w:tcPr>
            <w:tcW w:w="12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2.31%</w:t>
            </w:r>
          </w:p>
        </w:tc>
        <w:tc>
          <w:tcPr>
            <w:tcW w:w="148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2.25%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2.36%</w:t>
            </w: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2.38%</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2.13%</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6"/>
        </w:trPr>
        <w:tc>
          <w:tcPr>
            <w:tcW w:w="3920" w:type="dxa"/>
            <w:vAlign w:val="bottom"/>
          </w:tcPr>
          <w:p>
            <w:pPr>
              <w:spacing w:after="0"/>
              <w:rPr>
                <w:sz w:val="20"/>
                <w:szCs w:val="20"/>
                <w:color w:val="auto"/>
              </w:rPr>
            </w:pPr>
            <w:r>
              <w:rPr>
                <w:rFonts w:ascii="Arial" w:cs="Arial" w:eastAsia="Arial" w:hAnsi="Arial"/>
                <w:sz w:val="15"/>
                <w:szCs w:val="15"/>
                <w:color w:val="auto"/>
              </w:rPr>
              <w:t>Return on average equity -</w:t>
            </w: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3920" w:type="dxa"/>
            <w:vAlign w:val="bottom"/>
          </w:tcPr>
          <w:p>
            <w:pPr>
              <w:ind w:left="140"/>
              <w:spacing w:after="0"/>
              <w:rPr>
                <w:sz w:val="20"/>
                <w:szCs w:val="20"/>
                <w:color w:val="auto"/>
              </w:rPr>
            </w:pPr>
            <w:r>
              <w:rPr>
                <w:rFonts w:ascii="Arial" w:cs="Arial" w:eastAsia="Arial" w:hAnsi="Arial"/>
                <w:sz w:val="15"/>
                <w:szCs w:val="15"/>
                <w:color w:val="auto"/>
              </w:rPr>
              <w:t>ROAE(1)</w:t>
            </w:r>
          </w:p>
        </w:tc>
        <w:tc>
          <w:tcPr>
            <w:tcW w:w="1240" w:type="dxa"/>
            <w:vAlign w:val="bottom"/>
          </w:tcPr>
          <w:p>
            <w:pPr>
              <w:jc w:val="right"/>
              <w:ind w:right="26"/>
              <w:spacing w:after="0"/>
              <w:rPr>
                <w:sz w:val="20"/>
                <w:szCs w:val="20"/>
                <w:color w:val="auto"/>
              </w:rPr>
            </w:pPr>
            <w:r>
              <w:rPr>
                <w:rFonts w:ascii="Arial" w:cs="Arial" w:eastAsia="Arial" w:hAnsi="Arial"/>
                <w:sz w:val="15"/>
                <w:szCs w:val="15"/>
                <w:color w:val="auto"/>
              </w:rPr>
              <w:t>19.8%</w:t>
            </w:r>
          </w:p>
        </w:tc>
        <w:tc>
          <w:tcPr>
            <w:tcW w:w="1480" w:type="dxa"/>
            <w:vAlign w:val="bottom"/>
          </w:tcPr>
          <w:p>
            <w:pPr>
              <w:jc w:val="right"/>
              <w:ind w:right="266"/>
              <w:spacing w:after="0"/>
              <w:rPr>
                <w:sz w:val="20"/>
                <w:szCs w:val="20"/>
                <w:color w:val="auto"/>
              </w:rPr>
            </w:pPr>
            <w:r>
              <w:rPr>
                <w:rFonts w:ascii="Arial" w:cs="Arial" w:eastAsia="Arial" w:hAnsi="Arial"/>
                <w:sz w:val="15"/>
                <w:szCs w:val="15"/>
                <w:color w:val="auto"/>
              </w:rPr>
              <w:t>17.5%</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17.0%</w:t>
            </w:r>
          </w:p>
        </w:tc>
        <w:tc>
          <w:tcPr>
            <w:tcW w:w="1260" w:type="dxa"/>
            <w:vAlign w:val="bottom"/>
          </w:tcPr>
          <w:p>
            <w:pPr>
              <w:jc w:val="right"/>
              <w:ind w:right="66"/>
              <w:spacing w:after="0"/>
              <w:rPr>
                <w:sz w:val="20"/>
                <w:szCs w:val="20"/>
                <w:color w:val="auto"/>
              </w:rPr>
            </w:pPr>
            <w:r>
              <w:rPr>
                <w:rFonts w:ascii="Arial" w:cs="Arial" w:eastAsia="Arial" w:hAnsi="Arial"/>
                <w:sz w:val="15"/>
                <w:szCs w:val="15"/>
                <w:color w:val="auto"/>
              </w:rPr>
              <w:t>18.5%</w:t>
            </w: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3.4%</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1"/>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Return on average total assets –</w:t>
            </w:r>
          </w:p>
        </w:tc>
        <w:tc>
          <w:tcPr>
            <w:tcW w:w="1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2"/>
        </w:trPr>
        <w:tc>
          <w:tcPr>
            <w:tcW w:w="3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ROAA(1)</w:t>
            </w:r>
          </w:p>
        </w:tc>
        <w:tc>
          <w:tcPr>
            <w:tcW w:w="12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2.50%</w:t>
            </w:r>
          </w:p>
        </w:tc>
        <w:tc>
          <w:tcPr>
            <w:tcW w:w="148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2.29%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2.34%</w:t>
            </w: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2.50%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0.40%</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3920" w:type="dxa"/>
            <w:vAlign w:val="bottom"/>
          </w:tcPr>
          <w:p>
            <w:pPr>
              <w:spacing w:after="0"/>
              <w:rPr>
                <w:sz w:val="20"/>
                <w:szCs w:val="20"/>
                <w:color w:val="auto"/>
              </w:rPr>
            </w:pPr>
            <w:r>
              <w:rPr>
                <w:rFonts w:ascii="Arial" w:cs="Arial" w:eastAsia="Arial" w:hAnsi="Arial"/>
                <w:sz w:val="15"/>
                <w:szCs w:val="15"/>
                <w:b w:val="1"/>
                <w:bCs w:val="1"/>
                <w:color w:val="auto"/>
              </w:rPr>
              <w:t>Loan portfolio quality</w:t>
            </w: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IOL ratio(2)</w:t>
            </w:r>
          </w:p>
        </w:tc>
        <w:tc>
          <w:tcPr>
            <w:tcW w:w="12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3.00%</w:t>
            </w:r>
          </w:p>
        </w:tc>
        <w:tc>
          <w:tcPr>
            <w:tcW w:w="148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2.81%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2.85%</w:t>
            </w: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2.91%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2.97%</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3920" w:type="dxa"/>
            <w:vAlign w:val="bottom"/>
          </w:tcPr>
          <w:p>
            <w:pPr>
              <w:spacing w:after="0"/>
              <w:rPr>
                <w:sz w:val="20"/>
                <w:szCs w:val="20"/>
                <w:color w:val="auto"/>
              </w:rPr>
            </w:pPr>
            <w:r>
              <w:rPr>
                <w:rFonts w:ascii="Arial" w:cs="Arial" w:eastAsia="Arial" w:hAnsi="Arial"/>
                <w:sz w:val="15"/>
                <w:szCs w:val="15"/>
                <w:color w:val="auto"/>
              </w:rPr>
              <w:t>IOL over 90 days ratio</w:t>
            </w:r>
          </w:p>
        </w:tc>
        <w:tc>
          <w:tcPr>
            <w:tcW w:w="1240" w:type="dxa"/>
            <w:vAlign w:val="bottom"/>
          </w:tcPr>
          <w:p>
            <w:pPr>
              <w:jc w:val="right"/>
              <w:ind w:right="26"/>
              <w:spacing w:after="0"/>
              <w:rPr>
                <w:sz w:val="20"/>
                <w:szCs w:val="20"/>
                <w:color w:val="auto"/>
              </w:rPr>
            </w:pPr>
            <w:r>
              <w:rPr>
                <w:rFonts w:ascii="Arial" w:cs="Arial" w:eastAsia="Arial" w:hAnsi="Arial"/>
                <w:sz w:val="15"/>
                <w:szCs w:val="15"/>
                <w:color w:val="auto"/>
              </w:rPr>
              <w:t>2.26%</w:t>
            </w:r>
          </w:p>
        </w:tc>
        <w:tc>
          <w:tcPr>
            <w:tcW w:w="1480" w:type="dxa"/>
            <w:vAlign w:val="bottom"/>
          </w:tcPr>
          <w:p>
            <w:pPr>
              <w:jc w:val="right"/>
              <w:ind w:right="266"/>
              <w:spacing w:after="0"/>
              <w:rPr>
                <w:sz w:val="20"/>
                <w:szCs w:val="20"/>
                <w:color w:val="auto"/>
              </w:rPr>
            </w:pPr>
            <w:r>
              <w:rPr>
                <w:rFonts w:ascii="Arial" w:cs="Arial" w:eastAsia="Arial" w:hAnsi="Arial"/>
                <w:sz w:val="15"/>
                <w:szCs w:val="15"/>
                <w:color w:val="auto"/>
              </w:rPr>
              <w:t>2.13%</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2.15%</w:t>
            </w:r>
          </w:p>
        </w:tc>
        <w:tc>
          <w:tcPr>
            <w:tcW w:w="1260" w:type="dxa"/>
            <w:vAlign w:val="bottom"/>
          </w:tcPr>
          <w:p>
            <w:pPr>
              <w:jc w:val="right"/>
              <w:ind w:right="66"/>
              <w:spacing w:after="0"/>
              <w:rPr>
                <w:sz w:val="20"/>
                <w:szCs w:val="20"/>
                <w:color w:val="auto"/>
              </w:rPr>
            </w:pPr>
            <w:r>
              <w:rPr>
                <w:rFonts w:ascii="Arial" w:cs="Arial" w:eastAsia="Arial" w:hAnsi="Arial"/>
                <w:sz w:val="15"/>
                <w:szCs w:val="15"/>
                <w:color w:val="auto"/>
              </w:rPr>
              <w:t>2.09%</w:t>
            </w: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1.86%</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NPL ratio(3)</w:t>
            </w:r>
          </w:p>
        </w:tc>
        <w:tc>
          <w:tcPr>
            <w:tcW w:w="12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3.92%</w:t>
            </w:r>
          </w:p>
        </w:tc>
        <w:tc>
          <w:tcPr>
            <w:tcW w:w="148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3.97%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3.88%</w:t>
            </w: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4.09%</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3.90%</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3920" w:type="dxa"/>
            <w:vAlign w:val="bottom"/>
          </w:tcPr>
          <w:p>
            <w:pPr>
              <w:spacing w:after="0"/>
              <w:rPr>
                <w:sz w:val="20"/>
                <w:szCs w:val="20"/>
                <w:color w:val="auto"/>
              </w:rPr>
            </w:pPr>
            <w:r>
              <w:rPr>
                <w:rFonts w:ascii="Arial" w:cs="Arial" w:eastAsia="Arial" w:hAnsi="Arial"/>
                <w:sz w:val="15"/>
                <w:szCs w:val="15"/>
                <w:color w:val="auto"/>
              </w:rPr>
              <w:t>Cost of risk(1)(4)</w:t>
            </w:r>
          </w:p>
        </w:tc>
        <w:tc>
          <w:tcPr>
            <w:tcW w:w="1240" w:type="dxa"/>
            <w:vAlign w:val="bottom"/>
          </w:tcPr>
          <w:p>
            <w:pPr>
              <w:jc w:val="right"/>
              <w:ind w:right="26"/>
              <w:spacing w:after="0"/>
              <w:rPr>
                <w:sz w:val="20"/>
                <w:szCs w:val="20"/>
                <w:color w:val="auto"/>
              </w:rPr>
            </w:pPr>
            <w:r>
              <w:rPr>
                <w:rFonts w:ascii="Arial" w:cs="Arial" w:eastAsia="Arial" w:hAnsi="Arial"/>
                <w:sz w:val="15"/>
                <w:szCs w:val="15"/>
                <w:color w:val="auto"/>
              </w:rPr>
              <w:t>1.78%</w:t>
            </w:r>
          </w:p>
        </w:tc>
        <w:tc>
          <w:tcPr>
            <w:tcW w:w="1480" w:type="dxa"/>
            <w:vAlign w:val="bottom"/>
          </w:tcPr>
          <w:p>
            <w:pPr>
              <w:jc w:val="right"/>
              <w:ind w:right="266"/>
              <w:spacing w:after="0"/>
              <w:rPr>
                <w:sz w:val="20"/>
                <w:szCs w:val="20"/>
                <w:color w:val="auto"/>
              </w:rPr>
            </w:pPr>
            <w:r>
              <w:rPr>
                <w:rFonts w:ascii="Arial" w:cs="Arial" w:eastAsia="Arial" w:hAnsi="Arial"/>
                <w:sz w:val="15"/>
                <w:szCs w:val="15"/>
                <w:color w:val="auto"/>
              </w:rPr>
              <w:t>1.38%</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1.60%</w:t>
            </w:r>
          </w:p>
        </w:tc>
        <w:tc>
          <w:tcPr>
            <w:tcW w:w="1260" w:type="dxa"/>
            <w:vAlign w:val="bottom"/>
          </w:tcPr>
          <w:p>
            <w:pPr>
              <w:jc w:val="right"/>
              <w:ind w:right="66"/>
              <w:spacing w:after="0"/>
              <w:rPr>
                <w:sz w:val="20"/>
                <w:szCs w:val="20"/>
                <w:color w:val="auto"/>
              </w:rPr>
            </w:pPr>
            <w:r>
              <w:rPr>
                <w:rFonts w:ascii="Arial" w:cs="Arial" w:eastAsia="Arial" w:hAnsi="Arial"/>
                <w:sz w:val="15"/>
                <w:szCs w:val="15"/>
                <w:color w:val="auto"/>
              </w:rPr>
              <w:t>1.41%</w:t>
            </w: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4.45%</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Coverage ratio of IOLs</w:t>
            </w:r>
          </w:p>
        </w:tc>
        <w:tc>
          <w:tcPr>
            <w:tcW w:w="12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149.1%</w:t>
            </w:r>
          </w:p>
        </w:tc>
        <w:tc>
          <w:tcPr>
            <w:tcW w:w="148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158.9%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155.4%</w:t>
            </w: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154.2%</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165.7%</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3920" w:type="dxa"/>
            <w:vAlign w:val="bottom"/>
          </w:tcPr>
          <w:p>
            <w:pPr>
              <w:spacing w:after="0"/>
              <w:rPr>
                <w:sz w:val="20"/>
                <w:szCs w:val="20"/>
                <w:color w:val="auto"/>
              </w:rPr>
            </w:pPr>
            <w:r>
              <w:rPr>
                <w:rFonts w:ascii="Arial" w:cs="Arial" w:eastAsia="Arial" w:hAnsi="Arial"/>
                <w:sz w:val="15"/>
                <w:szCs w:val="15"/>
                <w:color w:val="auto"/>
              </w:rPr>
              <w:t>Coverage ratio of IOL 90-days</w:t>
            </w:r>
          </w:p>
        </w:tc>
        <w:tc>
          <w:tcPr>
            <w:tcW w:w="1240" w:type="dxa"/>
            <w:vAlign w:val="bottom"/>
          </w:tcPr>
          <w:p>
            <w:pPr>
              <w:jc w:val="right"/>
              <w:ind w:right="26"/>
              <w:spacing w:after="0"/>
              <w:rPr>
                <w:sz w:val="20"/>
                <w:szCs w:val="20"/>
                <w:color w:val="auto"/>
              </w:rPr>
            </w:pPr>
            <w:r>
              <w:rPr>
                <w:rFonts w:ascii="Arial" w:cs="Arial" w:eastAsia="Arial" w:hAnsi="Arial"/>
                <w:sz w:val="15"/>
                <w:szCs w:val="15"/>
                <w:color w:val="auto"/>
              </w:rPr>
              <w:t>197.9%</w:t>
            </w:r>
          </w:p>
        </w:tc>
        <w:tc>
          <w:tcPr>
            <w:tcW w:w="1480" w:type="dxa"/>
            <w:vAlign w:val="bottom"/>
          </w:tcPr>
          <w:p>
            <w:pPr>
              <w:jc w:val="right"/>
              <w:ind w:right="266"/>
              <w:spacing w:after="0"/>
              <w:rPr>
                <w:sz w:val="20"/>
                <w:szCs w:val="20"/>
                <w:color w:val="auto"/>
              </w:rPr>
            </w:pPr>
            <w:r>
              <w:rPr>
                <w:rFonts w:ascii="Arial" w:cs="Arial" w:eastAsia="Arial" w:hAnsi="Arial"/>
                <w:sz w:val="15"/>
                <w:szCs w:val="15"/>
                <w:color w:val="auto"/>
              </w:rPr>
              <w:t>210.4%</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204.5%</w:t>
            </w:r>
          </w:p>
        </w:tc>
        <w:tc>
          <w:tcPr>
            <w:tcW w:w="1260" w:type="dxa"/>
            <w:vAlign w:val="bottom"/>
          </w:tcPr>
          <w:p>
            <w:pPr>
              <w:jc w:val="right"/>
              <w:ind w:right="66"/>
              <w:spacing w:after="0"/>
              <w:rPr>
                <w:sz w:val="20"/>
                <w:szCs w:val="20"/>
                <w:color w:val="auto"/>
              </w:rPr>
            </w:pPr>
            <w:r>
              <w:rPr>
                <w:rFonts w:ascii="Arial" w:cs="Arial" w:eastAsia="Arial" w:hAnsi="Arial"/>
                <w:sz w:val="15"/>
                <w:szCs w:val="15"/>
                <w:color w:val="auto"/>
              </w:rPr>
              <w:t>214.8%</w:t>
            </w: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264.8%</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Coverage ratio of NPLs(5)</w:t>
            </w:r>
          </w:p>
        </w:tc>
        <w:tc>
          <w:tcPr>
            <w:tcW w:w="12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114.4%</w:t>
            </w:r>
          </w:p>
        </w:tc>
        <w:tc>
          <w:tcPr>
            <w:tcW w:w="148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112.7%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114.4%</w:t>
            </w: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109.7%</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126.1%</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3920" w:type="dxa"/>
            <w:vAlign w:val="bottom"/>
          </w:tcPr>
          <w:p>
            <w:pPr>
              <w:spacing w:after="0"/>
              <w:rPr>
                <w:sz w:val="20"/>
                <w:szCs w:val="20"/>
                <w:color w:val="auto"/>
              </w:rPr>
            </w:pPr>
            <w:r>
              <w:rPr>
                <w:rFonts w:ascii="Arial" w:cs="Arial" w:eastAsia="Arial" w:hAnsi="Arial"/>
                <w:sz w:val="15"/>
                <w:szCs w:val="15"/>
                <w:b w:val="1"/>
                <w:bCs w:val="1"/>
                <w:color w:val="auto"/>
              </w:rPr>
              <w:t>Operating efficiency</w:t>
            </w: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Efficiency ratio(6)</w:t>
            </w:r>
          </w:p>
        </w:tc>
        <w:tc>
          <w:tcPr>
            <w:tcW w:w="12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43.5%</w:t>
            </w:r>
          </w:p>
        </w:tc>
        <w:tc>
          <w:tcPr>
            <w:tcW w:w="148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43.8%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43.5%</w:t>
            </w: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42.4%</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43.4%</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6"/>
        </w:trPr>
        <w:tc>
          <w:tcPr>
            <w:tcW w:w="3920" w:type="dxa"/>
            <w:vAlign w:val="bottom"/>
          </w:tcPr>
          <w:p>
            <w:pPr>
              <w:spacing w:after="0"/>
              <w:rPr>
                <w:sz w:val="20"/>
                <w:szCs w:val="20"/>
                <w:color w:val="auto"/>
              </w:rPr>
            </w:pPr>
            <w:r>
              <w:rPr>
                <w:rFonts w:ascii="Arial" w:cs="Arial" w:eastAsia="Arial" w:hAnsi="Arial"/>
                <w:sz w:val="15"/>
                <w:szCs w:val="15"/>
                <w:color w:val="auto"/>
              </w:rPr>
              <w:t>Operating expenses / Total</w:t>
            </w: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3920" w:type="dxa"/>
            <w:vAlign w:val="bottom"/>
          </w:tcPr>
          <w:p>
            <w:pPr>
              <w:ind w:left="140"/>
              <w:spacing w:after="0"/>
              <w:rPr>
                <w:sz w:val="20"/>
                <w:szCs w:val="20"/>
                <w:color w:val="auto"/>
              </w:rPr>
            </w:pPr>
            <w:r>
              <w:rPr>
                <w:rFonts w:ascii="Arial" w:cs="Arial" w:eastAsia="Arial" w:hAnsi="Arial"/>
                <w:sz w:val="15"/>
                <w:szCs w:val="15"/>
                <w:color w:val="auto"/>
              </w:rPr>
              <w:t>average assets(7)</w:t>
            </w:r>
          </w:p>
        </w:tc>
        <w:tc>
          <w:tcPr>
            <w:tcW w:w="1240" w:type="dxa"/>
            <w:vAlign w:val="bottom"/>
          </w:tcPr>
          <w:p>
            <w:pPr>
              <w:jc w:val="right"/>
              <w:ind w:right="26"/>
              <w:spacing w:after="0"/>
              <w:rPr>
                <w:sz w:val="20"/>
                <w:szCs w:val="20"/>
                <w:color w:val="auto"/>
              </w:rPr>
            </w:pPr>
            <w:r>
              <w:rPr>
                <w:rFonts w:ascii="Arial" w:cs="Arial" w:eastAsia="Arial" w:hAnsi="Arial"/>
                <w:sz w:val="15"/>
                <w:szCs w:val="15"/>
                <w:color w:val="auto"/>
              </w:rPr>
              <w:t>3.63%</w:t>
            </w:r>
          </w:p>
        </w:tc>
        <w:tc>
          <w:tcPr>
            <w:tcW w:w="1480" w:type="dxa"/>
            <w:vAlign w:val="bottom"/>
          </w:tcPr>
          <w:p>
            <w:pPr>
              <w:jc w:val="right"/>
              <w:ind w:right="266"/>
              <w:spacing w:after="0"/>
              <w:rPr>
                <w:sz w:val="20"/>
                <w:szCs w:val="20"/>
                <w:color w:val="auto"/>
              </w:rPr>
            </w:pPr>
            <w:r>
              <w:rPr>
                <w:rFonts w:ascii="Arial" w:cs="Arial" w:eastAsia="Arial" w:hAnsi="Arial"/>
                <w:sz w:val="15"/>
                <w:szCs w:val="15"/>
                <w:color w:val="auto"/>
              </w:rPr>
              <w:t>3.67%</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3.72%</w:t>
            </w:r>
          </w:p>
        </w:tc>
        <w:tc>
          <w:tcPr>
            <w:tcW w:w="1260" w:type="dxa"/>
            <w:vAlign w:val="bottom"/>
          </w:tcPr>
          <w:p>
            <w:pPr>
              <w:jc w:val="right"/>
              <w:ind w:right="66"/>
              <w:spacing w:after="0"/>
              <w:rPr>
                <w:sz w:val="20"/>
                <w:szCs w:val="20"/>
                <w:color w:val="auto"/>
              </w:rPr>
            </w:pPr>
            <w:r>
              <w:rPr>
                <w:rFonts w:ascii="Arial" w:cs="Arial" w:eastAsia="Arial" w:hAnsi="Arial"/>
                <w:sz w:val="15"/>
                <w:szCs w:val="15"/>
                <w:color w:val="auto"/>
              </w:rPr>
              <w:t>3.60%</w:t>
            </w: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3.57%</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9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Insurance ratios</w:t>
            </w:r>
          </w:p>
        </w:tc>
        <w:tc>
          <w:tcPr>
            <w:tcW w:w="1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3920" w:type="dxa"/>
            <w:vAlign w:val="bottom"/>
          </w:tcPr>
          <w:p>
            <w:pPr>
              <w:spacing w:after="0"/>
              <w:rPr>
                <w:sz w:val="20"/>
                <w:szCs w:val="20"/>
                <w:color w:val="auto"/>
              </w:rPr>
            </w:pPr>
            <w:r>
              <w:rPr>
                <w:rFonts w:ascii="Arial" w:cs="Arial" w:eastAsia="Arial" w:hAnsi="Arial"/>
                <w:sz w:val="15"/>
                <w:szCs w:val="15"/>
                <w:color w:val="auto"/>
              </w:rPr>
              <w:t>Combined ratio of P&amp;C(8)(9)</w:t>
            </w:r>
          </w:p>
        </w:tc>
        <w:tc>
          <w:tcPr>
            <w:tcW w:w="1240" w:type="dxa"/>
            <w:vAlign w:val="bottom"/>
          </w:tcPr>
          <w:p>
            <w:pPr>
              <w:jc w:val="right"/>
              <w:ind w:right="26"/>
              <w:spacing w:after="0"/>
              <w:rPr>
                <w:sz w:val="20"/>
                <w:szCs w:val="20"/>
                <w:color w:val="auto"/>
              </w:rPr>
            </w:pPr>
            <w:r>
              <w:rPr>
                <w:rFonts w:ascii="Arial" w:cs="Arial" w:eastAsia="Arial" w:hAnsi="Arial"/>
                <w:sz w:val="15"/>
                <w:szCs w:val="15"/>
                <w:color w:val="auto"/>
              </w:rPr>
              <w:t>97.1%</w:t>
            </w:r>
          </w:p>
        </w:tc>
        <w:tc>
          <w:tcPr>
            <w:tcW w:w="1480" w:type="dxa"/>
            <w:vAlign w:val="bottom"/>
          </w:tcPr>
          <w:p>
            <w:pPr>
              <w:jc w:val="right"/>
              <w:ind w:right="266"/>
              <w:spacing w:after="0"/>
              <w:rPr>
                <w:sz w:val="20"/>
                <w:szCs w:val="20"/>
                <w:color w:val="auto"/>
              </w:rPr>
            </w:pPr>
            <w:r>
              <w:rPr>
                <w:rFonts w:ascii="Arial" w:cs="Arial" w:eastAsia="Arial" w:hAnsi="Arial"/>
                <w:sz w:val="15"/>
                <w:szCs w:val="15"/>
                <w:color w:val="auto"/>
              </w:rPr>
              <w:t>100.3%</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98.4%</w:t>
            </w:r>
          </w:p>
        </w:tc>
        <w:tc>
          <w:tcPr>
            <w:tcW w:w="1260" w:type="dxa"/>
            <w:vAlign w:val="bottom"/>
          </w:tcPr>
          <w:p>
            <w:pPr>
              <w:jc w:val="right"/>
              <w:ind w:right="66"/>
              <w:spacing w:after="0"/>
              <w:rPr>
                <w:sz w:val="20"/>
                <w:szCs w:val="20"/>
                <w:color w:val="auto"/>
              </w:rPr>
            </w:pPr>
            <w:r>
              <w:rPr>
                <w:rFonts w:ascii="Arial" w:cs="Arial" w:eastAsia="Arial" w:hAnsi="Arial"/>
                <w:sz w:val="15"/>
                <w:szCs w:val="15"/>
                <w:color w:val="auto"/>
              </w:rPr>
              <w:t>104.4%</w:t>
            </w: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94.4%</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Loss ratio(9)(10)</w:t>
            </w:r>
          </w:p>
        </w:tc>
        <w:tc>
          <w:tcPr>
            <w:tcW w:w="12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58.8%</w:t>
            </w:r>
          </w:p>
        </w:tc>
        <w:tc>
          <w:tcPr>
            <w:tcW w:w="148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59.0%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64.0%</w:t>
            </w: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65.6%</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59.9%</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3920" w:type="dxa"/>
            <w:vAlign w:val="bottom"/>
          </w:tcPr>
          <w:p>
            <w:pPr>
              <w:spacing w:after="0"/>
              <w:rPr>
                <w:sz w:val="20"/>
                <w:szCs w:val="20"/>
                <w:color w:val="auto"/>
              </w:rPr>
            </w:pPr>
            <w:r>
              <w:rPr>
                <w:rFonts w:ascii="Arial" w:cs="Arial" w:eastAsia="Arial" w:hAnsi="Arial"/>
                <w:sz w:val="15"/>
                <w:szCs w:val="15"/>
                <w:b w:val="1"/>
                <w:bCs w:val="1"/>
                <w:color w:val="auto"/>
              </w:rPr>
              <w:t>Capital adequacy(11)</w:t>
            </w: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BIS ratio(12)</w:t>
            </w:r>
          </w:p>
        </w:tc>
        <w:tc>
          <w:tcPr>
            <w:tcW w:w="12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15.05%</w:t>
            </w:r>
          </w:p>
        </w:tc>
        <w:tc>
          <w:tcPr>
            <w:tcW w:w="148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14.17%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14.47%</w:t>
            </w: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15.49%</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13.52%</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3920" w:type="dxa"/>
            <w:vAlign w:val="bottom"/>
          </w:tcPr>
          <w:p>
            <w:pPr>
              <w:spacing w:after="0"/>
              <w:rPr>
                <w:sz w:val="20"/>
                <w:szCs w:val="20"/>
                <w:color w:val="auto"/>
              </w:rPr>
            </w:pPr>
            <w:r>
              <w:rPr>
                <w:rFonts w:ascii="Arial" w:cs="Arial" w:eastAsia="Arial" w:hAnsi="Arial"/>
                <w:sz w:val="15"/>
                <w:szCs w:val="15"/>
                <w:color w:val="auto"/>
              </w:rPr>
              <w:t>Tier I ratio(13)</w:t>
            </w:r>
          </w:p>
        </w:tc>
        <w:tc>
          <w:tcPr>
            <w:tcW w:w="1240" w:type="dxa"/>
            <w:vAlign w:val="bottom"/>
          </w:tcPr>
          <w:p>
            <w:pPr>
              <w:jc w:val="right"/>
              <w:ind w:right="26"/>
              <w:spacing w:after="0"/>
              <w:rPr>
                <w:sz w:val="20"/>
                <w:szCs w:val="20"/>
                <w:color w:val="auto"/>
              </w:rPr>
            </w:pPr>
            <w:r>
              <w:rPr>
                <w:rFonts w:ascii="Arial" w:cs="Arial" w:eastAsia="Arial" w:hAnsi="Arial"/>
                <w:sz w:val="15"/>
                <w:szCs w:val="15"/>
                <w:color w:val="auto"/>
              </w:rPr>
              <w:t>10.84%</w:t>
            </w:r>
          </w:p>
        </w:tc>
        <w:tc>
          <w:tcPr>
            <w:tcW w:w="1480" w:type="dxa"/>
            <w:vAlign w:val="bottom"/>
          </w:tcPr>
          <w:p>
            <w:pPr>
              <w:jc w:val="right"/>
              <w:ind w:right="266"/>
              <w:spacing w:after="0"/>
              <w:rPr>
                <w:sz w:val="20"/>
                <w:szCs w:val="20"/>
                <w:color w:val="auto"/>
              </w:rPr>
            </w:pPr>
            <w:r>
              <w:rPr>
                <w:rFonts w:ascii="Arial" w:cs="Arial" w:eastAsia="Arial" w:hAnsi="Arial"/>
                <w:sz w:val="15"/>
                <w:szCs w:val="15"/>
                <w:color w:val="auto"/>
              </w:rPr>
              <w:t>10.28%</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11.07%</w:t>
            </w:r>
          </w:p>
        </w:tc>
        <w:tc>
          <w:tcPr>
            <w:tcW w:w="1260" w:type="dxa"/>
            <w:vAlign w:val="bottom"/>
          </w:tcPr>
          <w:p>
            <w:pPr>
              <w:jc w:val="right"/>
              <w:ind w:right="66"/>
              <w:spacing w:after="0"/>
              <w:rPr>
                <w:sz w:val="20"/>
                <w:szCs w:val="20"/>
                <w:color w:val="auto"/>
              </w:rPr>
            </w:pPr>
            <w:r>
              <w:rPr>
                <w:rFonts w:ascii="Arial" w:cs="Arial" w:eastAsia="Arial" w:hAnsi="Arial"/>
                <w:sz w:val="15"/>
                <w:szCs w:val="15"/>
                <w:color w:val="auto"/>
              </w:rPr>
              <w:t>11.73%</w:t>
            </w: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10.33%</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Common equity tier I ratio(14)</w:t>
            </w:r>
          </w:p>
        </w:tc>
        <w:tc>
          <w:tcPr>
            <w:tcW w:w="12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11.83%</w:t>
            </w:r>
          </w:p>
        </w:tc>
        <w:tc>
          <w:tcPr>
            <w:tcW w:w="148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11.55%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12.35%</w:t>
            </w:r>
          </w:p>
        </w:tc>
        <w:tc>
          <w:tcPr>
            <w:tcW w:w="12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11.39%</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11.89%</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3920" w:type="dxa"/>
            <w:vAlign w:val="bottom"/>
          </w:tcPr>
          <w:p>
            <w:pPr>
              <w:spacing w:after="0"/>
              <w:rPr>
                <w:sz w:val="20"/>
                <w:szCs w:val="20"/>
                <w:color w:val="auto"/>
              </w:rPr>
            </w:pPr>
            <w:r>
              <w:rPr>
                <w:rFonts w:ascii="Arial" w:cs="Arial" w:eastAsia="Arial" w:hAnsi="Arial"/>
                <w:sz w:val="15"/>
                <w:szCs w:val="15"/>
                <w:b w:val="1"/>
                <w:bCs w:val="1"/>
                <w:color w:val="auto"/>
              </w:rPr>
              <w:t>Share Information</w:t>
            </w: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Outstanding Shares</w:t>
            </w:r>
          </w:p>
        </w:tc>
        <w:tc>
          <w:tcPr>
            <w:tcW w:w="12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94,382</w:t>
            </w:r>
          </w:p>
        </w:tc>
        <w:tc>
          <w:tcPr>
            <w:tcW w:w="148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rPr>
              <w:t>94,382</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94,382</w:t>
            </w:r>
          </w:p>
        </w:tc>
        <w:tc>
          <w:tcPr>
            <w:tcW w:w="12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94,382</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94,382</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3920" w:type="dxa"/>
            <w:vAlign w:val="bottom"/>
          </w:tcPr>
          <w:p>
            <w:pPr>
              <w:spacing w:after="0"/>
              <w:rPr>
                <w:sz w:val="20"/>
                <w:szCs w:val="20"/>
                <w:color w:val="auto"/>
              </w:rPr>
            </w:pPr>
            <w:r>
              <w:rPr>
                <w:rFonts w:ascii="Arial" w:cs="Arial" w:eastAsia="Arial" w:hAnsi="Arial"/>
                <w:sz w:val="15"/>
                <w:szCs w:val="15"/>
                <w:color w:val="auto"/>
              </w:rPr>
              <w:t>Treasury Shares(15)</w:t>
            </w:r>
          </w:p>
        </w:tc>
        <w:tc>
          <w:tcPr>
            <w:tcW w:w="1240" w:type="dxa"/>
            <w:vAlign w:val="bottom"/>
          </w:tcPr>
          <w:p>
            <w:pPr>
              <w:jc w:val="right"/>
              <w:ind w:right="146"/>
              <w:spacing w:after="0"/>
              <w:rPr>
                <w:sz w:val="20"/>
                <w:szCs w:val="20"/>
                <w:color w:val="auto"/>
              </w:rPr>
            </w:pPr>
            <w:r>
              <w:rPr>
                <w:rFonts w:ascii="Arial" w:cs="Arial" w:eastAsia="Arial" w:hAnsi="Arial"/>
                <w:sz w:val="15"/>
                <w:szCs w:val="15"/>
                <w:color w:val="auto"/>
              </w:rPr>
              <w:t>14,902</w:t>
            </w:r>
          </w:p>
        </w:tc>
        <w:tc>
          <w:tcPr>
            <w:tcW w:w="1480" w:type="dxa"/>
            <w:vAlign w:val="bottom"/>
          </w:tcPr>
          <w:p>
            <w:pPr>
              <w:jc w:val="right"/>
              <w:ind w:right="386"/>
              <w:spacing w:after="0"/>
              <w:rPr>
                <w:sz w:val="20"/>
                <w:szCs w:val="20"/>
                <w:color w:val="auto"/>
              </w:rPr>
            </w:pPr>
            <w:r>
              <w:rPr>
                <w:rFonts w:ascii="Arial" w:cs="Arial" w:eastAsia="Arial" w:hAnsi="Arial"/>
                <w:sz w:val="15"/>
                <w:szCs w:val="15"/>
                <w:color w:val="auto"/>
              </w:rPr>
              <w:t>14,883</w:t>
            </w: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14,872</w:t>
            </w:r>
          </w:p>
        </w:tc>
        <w:tc>
          <w:tcPr>
            <w:tcW w:w="1260" w:type="dxa"/>
            <w:vAlign w:val="bottom"/>
          </w:tcPr>
          <w:p>
            <w:pPr>
              <w:jc w:val="right"/>
              <w:ind w:right="186"/>
              <w:spacing w:after="0"/>
              <w:rPr>
                <w:sz w:val="20"/>
                <w:szCs w:val="20"/>
                <w:color w:val="auto"/>
              </w:rPr>
            </w:pPr>
            <w:r>
              <w:rPr>
                <w:rFonts w:ascii="Arial" w:cs="Arial" w:eastAsia="Arial" w:hAnsi="Arial"/>
                <w:sz w:val="15"/>
                <w:szCs w:val="15"/>
                <w:color w:val="auto"/>
              </w:rPr>
              <w:t>14,876</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14,977</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Floating Shares</w:t>
            </w:r>
          </w:p>
        </w:tc>
        <w:tc>
          <w:tcPr>
            <w:tcW w:w="124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79,480</w:t>
            </w:r>
          </w:p>
        </w:tc>
        <w:tc>
          <w:tcPr>
            <w:tcW w:w="148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rPr>
              <w:t>79,499</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79,510</w:t>
            </w:r>
          </w:p>
        </w:tc>
        <w:tc>
          <w:tcPr>
            <w:tcW w:w="12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79,506</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79,405</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8625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01" w:lineRule="exact"/>
        <w:rPr>
          <w:sz w:val="20"/>
          <w:szCs w:val="20"/>
          <w:color w:val="auto"/>
        </w:rPr>
      </w:pPr>
    </w:p>
    <w:p>
      <w:pPr>
        <w:ind w:left="302" w:hanging="302"/>
        <w:spacing w:after="0"/>
        <w:tabs>
          <w:tab w:leader="none" w:pos="30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Annualized.</w:t>
      </w:r>
    </w:p>
    <w:p>
      <w:pPr>
        <w:spacing w:after="0" w:line="209" w:lineRule="exact"/>
        <w:rPr>
          <w:rFonts w:ascii="Arial" w:cs="Arial" w:eastAsia="Arial" w:hAnsi="Arial"/>
          <w:sz w:val="16"/>
          <w:szCs w:val="16"/>
          <w:color w:val="auto"/>
        </w:rPr>
      </w:pPr>
    </w:p>
    <w:p>
      <w:pPr>
        <w:ind w:left="302" w:right="300" w:hanging="302"/>
        <w:spacing w:after="0" w:line="287" w:lineRule="auto"/>
        <w:tabs>
          <w:tab w:leader="none" w:pos="30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Internal overdue loans: includes overdue loans and loans under legal collection, according to our internal policy for overdue loans. Internal Overdue ratio: Internal overdue loans / Total loans.</w:t>
      </w:r>
    </w:p>
    <w:p>
      <w:pPr>
        <w:spacing w:after="0" w:line="149" w:lineRule="exact"/>
        <w:rPr>
          <w:rFonts w:ascii="Arial" w:cs="Arial" w:eastAsia="Arial" w:hAnsi="Arial"/>
          <w:sz w:val="16"/>
          <w:szCs w:val="16"/>
          <w:color w:val="auto"/>
        </w:rPr>
      </w:pPr>
    </w:p>
    <w:p>
      <w:pPr>
        <w:ind w:left="302" w:hanging="302"/>
        <w:spacing w:after="0"/>
        <w:tabs>
          <w:tab w:leader="none" w:pos="30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Non-performing loans (NPL): Internal overdue loans plus Refinanced loans. NPL ratio: NPL / Total loans.</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Cost of risk: Annualized Provision for credit losses on loan portfolio, net of recoveries / Total loans.</w:t>
      </w:r>
    </w:p>
    <w:p>
      <w:pPr>
        <w:spacing w:after="0" w:line="209" w:lineRule="exact"/>
        <w:rPr>
          <w:rFonts w:ascii="Arial" w:cs="Arial" w:eastAsia="Arial" w:hAnsi="Arial"/>
          <w:sz w:val="16"/>
          <w:szCs w:val="16"/>
          <w:color w:val="auto"/>
        </w:rPr>
      </w:pPr>
    </w:p>
    <w:p>
      <w:pPr>
        <w:ind w:left="302" w:right="220" w:hanging="302"/>
        <w:spacing w:after="0" w:line="287" w:lineRule="auto"/>
        <w:tabs>
          <w:tab w:leader="none" w:pos="30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Coverage ratio of Non-performing loans: Allowance for loans losses divided by Overdue loans and loans under legal collection, according to our internal policy for overdue loans plus refinanced loans.</w:t>
      </w:r>
    </w:p>
    <w:p>
      <w:pPr>
        <w:spacing w:after="0" w:line="149" w:lineRule="exact"/>
        <w:rPr>
          <w:rFonts w:ascii="Arial" w:cs="Arial" w:eastAsia="Arial" w:hAnsi="Arial"/>
          <w:sz w:val="16"/>
          <w:szCs w:val="16"/>
          <w:color w:val="auto"/>
        </w:rPr>
      </w:pPr>
    </w:p>
    <w:p>
      <w:pPr>
        <w:ind w:left="302" w:right="140" w:hanging="302"/>
        <w:spacing w:after="0" w:line="271" w:lineRule="auto"/>
        <w:tabs>
          <w:tab w:leader="none" w:pos="30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Efficiency ratio is equal to (Salaries and employee benefits plus Administrative expenses plus Depreciation and amortization plus Association in participation plus Acquisition costs) / (Net interest income plus Fee Income plus Net gain on foreign exchange transactions plus Net Gain From associates plus Net gain on derivatives held for trading plus Result on exchange differences plus Net Premiums Earned).</w:t>
      </w:r>
    </w:p>
    <w:p>
      <w:pPr>
        <w:spacing w:after="0" w:line="162" w:lineRule="exact"/>
        <w:rPr>
          <w:rFonts w:ascii="Arial" w:cs="Arial" w:eastAsia="Arial" w:hAnsi="Arial"/>
          <w:sz w:val="16"/>
          <w:szCs w:val="16"/>
          <w:color w:val="auto"/>
        </w:rPr>
      </w:pPr>
    </w:p>
    <w:p>
      <w:pPr>
        <w:ind w:left="302" w:hanging="302"/>
        <w:spacing w:after="0"/>
        <w:tabs>
          <w:tab w:leader="none" w:pos="30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Operating expenses / Average of Total Assets. Average is calculated with period-beginning and period-ending balances. “</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33"/>
        </w:numPr>
        <w:rPr>
          <w:rFonts w:ascii="Arial" w:cs="Arial" w:eastAsia="Arial" w:hAnsi="Arial"/>
          <w:sz w:val="15"/>
          <w:szCs w:val="15"/>
          <w:color w:val="auto"/>
        </w:rPr>
      </w:pPr>
      <w:r>
        <w:rPr>
          <w:rFonts w:ascii="Arial" w:cs="Arial" w:eastAsia="Arial" w:hAnsi="Arial"/>
          <w:sz w:val="15"/>
          <w:szCs w:val="15"/>
          <w:color w:val="auto"/>
        </w:rPr>
        <w:t>Combined ratio is equal to (Net claims / Net earned premiums) plus (Acquisition costs plus Operating expenses) / Net earned premiums. Does not include the life</w:t>
      </w:r>
    </w:p>
    <w:p>
      <w:pPr>
        <w:sectPr>
          <w:pgSz w:w="11900" w:h="16838" w:orient="portrait"/>
          <w:cols w:equalWidth="0" w:num="1">
            <w:col w:w="11242"/>
          </w:cols>
          <w:pgMar w:left="318" w:top="516" w:right="339" w:bottom="0" w:gutter="0" w:footer="0" w:header="0"/>
        </w:sectPr>
      </w:pPr>
    </w:p>
    <w:bookmarkStart w:id="123" w:name="page124"/>
    <w:bookmarkEnd w:id="123"/>
    <w:p>
      <w:pPr>
        <w:ind w:left="302"/>
        <w:spacing w:after="0"/>
        <w:rPr>
          <w:sz w:val="20"/>
          <w:szCs w:val="20"/>
          <w:color w:val="auto"/>
        </w:rPr>
      </w:pPr>
      <w:r>
        <w:rPr>
          <w:rFonts w:ascii="Arial" w:cs="Arial" w:eastAsia="Arial" w:hAnsi="Arial"/>
          <w:sz w:val="16"/>
          <w:szCs w:val="16"/>
          <w:color w:val="auto"/>
        </w:rPr>
        <w:t>insurance business.</w:t>
      </w:r>
    </w:p>
    <w:p>
      <w:pPr>
        <w:spacing w:after="0" w:line="209" w:lineRule="exact"/>
        <w:rPr>
          <w:sz w:val="20"/>
          <w:szCs w:val="20"/>
          <w:color w:val="auto"/>
        </w:rPr>
      </w:pPr>
    </w:p>
    <w:p>
      <w:pPr>
        <w:ind w:left="302" w:hanging="302"/>
        <w:spacing w:after="0"/>
        <w:tabs>
          <w:tab w:leader="none" w:pos="30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Considers amounts for Grupo Pacifico before eliminations for consolidation with Credicorp.</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Net claims / Net earned premiums.</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All Capital ratios are for BCP Stand-alone and based on generally accepted accounting principles in Peru (“Peruvian GAAP”).</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Regulatory Capital / Risk-Weighted Assets (the legal minimum has been 10% since July 2011).</w:t>
      </w:r>
    </w:p>
    <w:p>
      <w:pPr>
        <w:spacing w:after="0" w:line="209" w:lineRule="exact"/>
        <w:rPr>
          <w:rFonts w:ascii="Arial" w:cs="Arial" w:eastAsia="Arial" w:hAnsi="Arial"/>
          <w:sz w:val="16"/>
          <w:szCs w:val="16"/>
          <w:color w:val="auto"/>
        </w:rPr>
      </w:pPr>
    </w:p>
    <w:p>
      <w:pPr>
        <w:ind w:left="302" w:hanging="302"/>
        <w:spacing w:after="0" w:line="298" w:lineRule="auto"/>
        <w:tabs>
          <w:tab w:leader="none" w:pos="302"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Tier I is equal to Capital plus Legal and other capital reserves plus Accumulated earnings with capitalization agreement plus (0.5 x Unrealized profit and net income in subsidiaries) less Goodwill less (0.5 x Investment in subsidiaries) plus Perpetual subordinated debt (maximum amount that can be included is 17.65% of Capital plus Reserves plus Accumulated earnings with capitalization agreement plus Unrealized profit and net income in subsidiaries less Goodwill).</w:t>
      </w:r>
    </w:p>
    <w:p>
      <w:pPr>
        <w:spacing w:after="0" w:line="143" w:lineRule="exact"/>
        <w:rPr>
          <w:rFonts w:ascii="Arial" w:cs="Arial" w:eastAsia="Arial" w:hAnsi="Arial"/>
          <w:sz w:val="15"/>
          <w:szCs w:val="15"/>
          <w:color w:val="auto"/>
        </w:rPr>
      </w:pPr>
    </w:p>
    <w:p>
      <w:pPr>
        <w:ind w:left="302" w:right="180" w:hanging="302"/>
        <w:spacing w:after="0" w:line="263" w:lineRule="auto"/>
        <w:tabs>
          <w:tab w:leader="none" w:pos="30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Common Equity Tier I is equal to Capital plus Reserves less 100% of applicable deductions (investment in subsidiaries, goodwill, intangibles and net deferred taxes that rely on future profitability) plus retained earnings plus unrealized gains.</w:t>
      </w:r>
    </w:p>
    <w:p>
      <w:pPr>
        <w:spacing w:after="0" w:line="1" w:lineRule="exact"/>
        <w:rPr>
          <w:rFonts w:ascii="Arial" w:cs="Arial" w:eastAsia="Arial" w:hAnsi="Arial"/>
          <w:sz w:val="16"/>
          <w:szCs w:val="16"/>
          <w:color w:val="auto"/>
        </w:rPr>
      </w:pPr>
    </w:p>
    <w:p>
      <w:pPr>
        <w:ind w:left="302" w:right="20"/>
        <w:spacing w:after="0" w:line="306" w:lineRule="auto"/>
        <w:rPr>
          <w:rFonts w:ascii="Arial" w:cs="Arial" w:eastAsia="Arial" w:hAnsi="Arial"/>
          <w:sz w:val="16"/>
          <w:szCs w:val="16"/>
          <w:color w:val="auto"/>
        </w:rPr>
      </w:pPr>
      <w:r>
        <w:rPr>
          <w:rFonts w:ascii="Arial" w:cs="Arial" w:eastAsia="Arial" w:hAnsi="Arial"/>
          <w:sz w:val="15"/>
          <w:szCs w:val="15"/>
          <w:color w:val="auto"/>
        </w:rPr>
        <w:t>Adjusted Risk-Weighted Assets is equal to Risk-Weighted Assets less (RWA Intangible assets, excluding goodwill, plus RWA Deferred tax assets generated as a result of temporary differences in income tax, in excess of 10% of CET1, plus RWA Deferred tax assets generated as a result of past losses).”</w:t>
      </w:r>
    </w:p>
    <w:p>
      <w:pPr>
        <w:spacing w:after="0" w:line="138" w:lineRule="exact"/>
        <w:rPr>
          <w:rFonts w:ascii="Arial" w:cs="Arial" w:eastAsia="Arial" w:hAnsi="Arial"/>
          <w:sz w:val="16"/>
          <w:szCs w:val="16"/>
          <w:color w:val="auto"/>
        </w:rPr>
      </w:pPr>
    </w:p>
    <w:p>
      <w:pPr>
        <w:ind w:left="302" w:hanging="302"/>
        <w:spacing w:after="0"/>
        <w:tabs>
          <w:tab w:leader="none" w:pos="30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Shares held by ASHC.</w:t>
      </w:r>
    </w:p>
    <w:p>
      <w:pPr>
        <w:spacing w:after="0" w:line="200" w:lineRule="exact"/>
        <w:rPr>
          <w:sz w:val="20"/>
          <w:szCs w:val="20"/>
          <w:color w:val="auto"/>
        </w:rPr>
      </w:pPr>
    </w:p>
    <w:p>
      <w:pPr>
        <w:spacing w:after="0" w:line="20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2"/>
          </w:cols>
          <w:pgMar w:left="318" w:top="127" w:right="359" w:bottom="1440" w:gutter="0" w:footer="0" w:header="0"/>
        </w:sectPr>
      </w:pPr>
    </w:p>
    <w:bookmarkStart w:id="124" w:name="page125"/>
    <w:bookmarkEnd w:id="124"/>
    <w:p>
      <w:pPr>
        <w:ind w:left="2"/>
        <w:spacing w:after="0"/>
        <w:rPr>
          <w:sz w:val="20"/>
          <w:szCs w:val="20"/>
          <w:color w:val="auto"/>
        </w:rPr>
      </w:pPr>
      <w:r>
        <w:rPr>
          <w:rFonts w:ascii="Arial" w:cs="Arial" w:eastAsia="Arial" w:hAnsi="Arial"/>
          <w:sz w:val="16"/>
          <w:szCs w:val="16"/>
          <w:b w:val="1"/>
          <w:bCs w:val="1"/>
          <w:color w:val="auto"/>
        </w:rPr>
        <w:t>Data Based on Credicorp Stand-Alone Financial Statements</w:t>
      </w:r>
    </w:p>
    <w:p>
      <w:pPr>
        <w:spacing w:after="0" w:line="213"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following table sets forth certain statement of financial position data on a stand-alone basis for Credicorp as of the dates indicated:</w:t>
      </w:r>
    </w:p>
    <w:p>
      <w:pPr>
        <w:spacing w:after="0" w:line="222" w:lineRule="exact"/>
        <w:rPr>
          <w:sz w:val="20"/>
          <w:szCs w:val="20"/>
          <w:color w:val="auto"/>
        </w:rPr>
      </w:pPr>
    </w:p>
    <w:tbl>
      <w:tblPr>
        <w:tblLayout w:type="fixed"/>
        <w:tblInd w:w="2" w:type="dxa"/>
        <w:tblCellMar>
          <w:top w:w="0" w:type="dxa"/>
          <w:left w:w="0" w:type="dxa"/>
          <w:bottom w:w="0" w:type="dxa"/>
          <w:right w:w="0" w:type="dxa"/>
        </w:tblCellMar>
      </w:tblPr>
      <w:tr>
        <w:trPr>
          <w:trHeight w:val="194"/>
        </w:trPr>
        <w:tc>
          <w:tcPr>
            <w:tcW w:w="3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4"/>
          </w:tcPr>
          <w:p>
            <w:pPr>
              <w:jc w:val="right"/>
              <w:ind w:right="760"/>
              <w:spacing w:after="0"/>
              <w:rPr>
                <w:sz w:val="20"/>
                <w:szCs w:val="20"/>
                <w:color w:val="auto"/>
              </w:rPr>
            </w:pPr>
            <w:r>
              <w:rPr>
                <w:rFonts w:ascii="Arial" w:cs="Arial" w:eastAsia="Arial" w:hAnsi="Arial"/>
                <w:sz w:val="15"/>
                <w:szCs w:val="15"/>
                <w:b w:val="1"/>
                <w:bCs w:val="1"/>
                <w:color w:val="auto"/>
              </w:rPr>
              <w:t>As of December 31,</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620"/>
              <w:spacing w:after="0"/>
              <w:rPr>
                <w:sz w:val="20"/>
                <w:szCs w:val="20"/>
                <w:color w:val="auto"/>
              </w:rPr>
            </w:pPr>
            <w:r>
              <w:rPr>
                <w:rFonts w:ascii="Arial" w:cs="Arial" w:eastAsia="Arial" w:hAnsi="Arial"/>
                <w:sz w:val="15"/>
                <w:szCs w:val="15"/>
                <w:b w:val="1"/>
                <w:bCs w:val="1"/>
                <w:color w:val="auto"/>
              </w:rPr>
              <w:t>As of March 31,</w:t>
            </w:r>
          </w:p>
        </w:tc>
        <w:tc>
          <w:tcPr>
            <w:tcW w:w="0" w:type="dxa"/>
            <w:vAlign w:val="bottom"/>
          </w:tcPr>
          <w:p>
            <w:pPr>
              <w:spacing w:after="0"/>
              <w:rPr>
                <w:sz w:val="1"/>
                <w:szCs w:val="1"/>
                <w:color w:val="auto"/>
              </w:rPr>
            </w:pPr>
          </w:p>
        </w:tc>
      </w:tr>
      <w:tr>
        <w:trPr>
          <w:trHeight w:val="189"/>
        </w:trPr>
        <w:tc>
          <w:tcPr>
            <w:tcW w:w="396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5"/>
                <w:szCs w:val="15"/>
                <w:b w:val="1"/>
                <w:bCs w:val="1"/>
                <w:color w:val="auto"/>
              </w:rPr>
              <w:t>2017</w:t>
            </w:r>
          </w:p>
        </w:tc>
        <w:tc>
          <w:tcPr>
            <w:tcW w:w="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gridSpan w:val="2"/>
          </w:tcPr>
          <w:p>
            <w:pPr>
              <w:jc w:val="right"/>
              <w:ind w:right="286"/>
              <w:spacing w:after="0"/>
              <w:rPr>
                <w:sz w:val="20"/>
                <w:szCs w:val="20"/>
                <w:color w:val="auto"/>
              </w:rPr>
            </w:pPr>
            <w:r>
              <w:rPr>
                <w:rFonts w:ascii="Arial" w:cs="Arial" w:eastAsia="Arial" w:hAnsi="Arial"/>
                <w:sz w:val="15"/>
                <w:szCs w:val="15"/>
                <w:b w:val="1"/>
                <w:bCs w:val="1"/>
                <w:color w:val="auto"/>
              </w:rPr>
              <w:t>2018</w:t>
            </w:r>
          </w:p>
        </w:tc>
        <w:tc>
          <w:tcPr>
            <w:tcW w:w="2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5"/>
                <w:szCs w:val="15"/>
                <w:b w:val="1"/>
                <w:bCs w:val="1"/>
                <w:color w:val="auto"/>
              </w:rPr>
              <w:t>2019</w:t>
            </w: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5"/>
                <w:szCs w:val="15"/>
                <w:b w:val="1"/>
                <w:bCs w:val="1"/>
                <w:color w:val="auto"/>
              </w:rPr>
              <w:t>2019</w:t>
            </w:r>
          </w:p>
        </w:tc>
        <w:tc>
          <w:tcPr>
            <w:tcW w:w="22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2020</w:t>
            </w: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5"/>
                <w:szCs w:val="15"/>
                <w:b w:val="1"/>
                <w:bCs w:val="1"/>
                <w:color w:val="auto"/>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3"/>
              </w:rPr>
              <w:t>(U.S.</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89"/>
              </w:rPr>
              <w:t>(U.S. dollars in</w:t>
            </w:r>
          </w:p>
        </w:tc>
        <w:tc>
          <w:tcPr>
            <w:tcW w:w="12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6"/>
              </w:rPr>
              <w:t>(Soles in</w:t>
            </w:r>
          </w:p>
        </w:tc>
        <w:tc>
          <w:tcPr>
            <w:tcW w:w="110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9"/>
              </w:rPr>
              <w:t>dollars in</w:t>
            </w:r>
          </w:p>
        </w:tc>
        <w:tc>
          <w:tcPr>
            <w:tcW w:w="0" w:type="dxa"/>
            <w:vAlign w:val="bottom"/>
          </w:tcPr>
          <w:p>
            <w:pPr>
              <w:spacing w:after="0"/>
              <w:rPr>
                <w:sz w:val="1"/>
                <w:szCs w:val="1"/>
                <w:color w:val="auto"/>
              </w:rPr>
            </w:pPr>
          </w:p>
        </w:tc>
      </w:tr>
      <w:tr>
        <w:trPr>
          <w:trHeight w:val="194"/>
        </w:trPr>
        <w:tc>
          <w:tcPr>
            <w:tcW w:w="3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5"/>
                <w:szCs w:val="15"/>
                <w:b w:val="1"/>
                <w:bCs w:val="1"/>
                <w:color w:val="auto"/>
                <w:w w:val="85"/>
              </w:rPr>
              <w:t>(Soles in thousands)</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6"/>
              </w:rPr>
              <w:t>thousands)(1)</w:t>
            </w:r>
          </w:p>
        </w:tc>
        <w:tc>
          <w:tcPr>
            <w:tcW w:w="12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6"/>
              </w:rPr>
              <w:t>thousands)</w:t>
            </w:r>
          </w:p>
        </w:tc>
        <w:tc>
          <w:tcPr>
            <w:tcW w:w="110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6"/>
              </w:rPr>
              <w:t>thousands)(1)</w:t>
            </w:r>
          </w:p>
        </w:tc>
        <w:tc>
          <w:tcPr>
            <w:tcW w:w="0" w:type="dxa"/>
            <w:vAlign w:val="bottom"/>
          </w:tcPr>
          <w:p>
            <w:pPr>
              <w:spacing w:after="0"/>
              <w:rPr>
                <w:sz w:val="1"/>
                <w:szCs w:val="1"/>
                <w:color w:val="auto"/>
              </w:rPr>
            </w:pPr>
          </w:p>
        </w:tc>
      </w:tr>
      <w:tr>
        <w:trPr>
          <w:trHeight w:val="179"/>
        </w:trPr>
        <w:tc>
          <w:tcPr>
            <w:tcW w:w="396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5"/>
                <w:szCs w:val="15"/>
                <w:b w:val="1"/>
                <w:bCs w:val="1"/>
                <w:color w:val="auto"/>
              </w:rPr>
              <w:t>(audited)</w:t>
            </w: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top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(audited)</w:t>
            </w:r>
          </w:p>
        </w:tc>
        <w:tc>
          <w:tcPr>
            <w:tcW w:w="220" w:type="dxa"/>
            <w:vAlign w:val="bottom"/>
          </w:tcPr>
          <w:p>
            <w:pPr>
              <w:spacing w:after="0"/>
              <w:rPr>
                <w:sz w:val="15"/>
                <w:szCs w:val="15"/>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(unaudited)</w:t>
            </w:r>
          </w:p>
        </w:tc>
        <w:tc>
          <w:tcPr>
            <w:tcW w:w="220" w:type="dxa"/>
            <w:vAlign w:val="bottom"/>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(unaudited)</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48,205</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818,986</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139,900</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40,704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117,596</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51,672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60" w:type="dxa"/>
            <w:vAlign w:val="bottom"/>
          </w:tcPr>
          <w:p>
            <w:pPr>
              <w:spacing w:after="0"/>
              <w:rPr>
                <w:sz w:val="20"/>
                <w:szCs w:val="20"/>
                <w:color w:val="auto"/>
              </w:rPr>
            </w:pPr>
            <w:r>
              <w:rPr>
                <w:rFonts w:ascii="Arial" w:cs="Arial" w:eastAsia="Arial" w:hAnsi="Arial"/>
                <w:sz w:val="15"/>
                <w:szCs w:val="15"/>
                <w:color w:val="auto"/>
              </w:rPr>
              <w:t>Fair value through profit or loss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960" w:type="dxa"/>
            <w:vAlign w:val="bottom"/>
          </w:tcPr>
          <w:p>
            <w:pPr>
              <w:ind w:left="140"/>
              <w:spacing w:after="0"/>
              <w:rPr>
                <w:sz w:val="20"/>
                <w:szCs w:val="20"/>
                <w:color w:val="auto"/>
              </w:rPr>
            </w:pPr>
            <w:r>
              <w:rPr>
                <w:rFonts w:ascii="Arial" w:cs="Arial" w:eastAsia="Arial" w:hAnsi="Arial"/>
                <w:sz w:val="15"/>
                <w:szCs w:val="15"/>
                <w:color w:val="auto"/>
              </w:rPr>
              <w:t>investments</w:t>
            </w:r>
          </w:p>
        </w:tc>
        <w:tc>
          <w:tcPr>
            <w:tcW w:w="1020" w:type="dxa"/>
            <w:vAlign w:val="bottom"/>
          </w:tcPr>
          <w:p>
            <w:pPr>
              <w:jc w:val="right"/>
              <w:spacing w:after="0"/>
              <w:rPr>
                <w:sz w:val="20"/>
                <w:szCs w:val="20"/>
                <w:color w:val="auto"/>
              </w:rPr>
            </w:pPr>
            <w:r>
              <w:rPr>
                <w:rFonts w:ascii="Arial" w:cs="Arial" w:eastAsia="Arial" w:hAnsi="Arial"/>
                <w:sz w:val="15"/>
                <w:szCs w:val="15"/>
                <w:color w:val="auto"/>
              </w:rPr>
              <w:t>2,051</w:t>
            </w:r>
          </w:p>
        </w:tc>
        <w:tc>
          <w:tcPr>
            <w:tcW w:w="8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1,943</w:t>
            </w:r>
          </w:p>
        </w:tc>
        <w:tc>
          <w:tcPr>
            <w:tcW w:w="2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Fair value through other</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comprehensive income</w:t>
            </w: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investments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586,308</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580,158</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521,939</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151,859</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474,425</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138,035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60" w:type="dxa"/>
            <w:vAlign w:val="bottom"/>
          </w:tcPr>
          <w:p>
            <w:pPr>
              <w:spacing w:after="0"/>
              <w:rPr>
                <w:sz w:val="20"/>
                <w:szCs w:val="20"/>
                <w:color w:val="auto"/>
              </w:rPr>
            </w:pPr>
            <w:r>
              <w:rPr>
                <w:rFonts w:ascii="Arial" w:cs="Arial" w:eastAsia="Arial" w:hAnsi="Arial"/>
                <w:sz w:val="15"/>
                <w:szCs w:val="15"/>
                <w:color w:val="auto"/>
              </w:rPr>
              <w:t>Investments in subsidiaries and</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960" w:type="dxa"/>
            <w:vAlign w:val="bottom"/>
          </w:tcPr>
          <w:p>
            <w:pPr>
              <w:ind w:left="140"/>
              <w:spacing w:after="0"/>
              <w:rPr>
                <w:sz w:val="20"/>
                <w:szCs w:val="20"/>
                <w:color w:val="auto"/>
              </w:rPr>
            </w:pPr>
            <w:r>
              <w:rPr>
                <w:rFonts w:ascii="Arial" w:cs="Arial" w:eastAsia="Arial" w:hAnsi="Arial"/>
                <w:sz w:val="15"/>
                <w:szCs w:val="15"/>
                <w:color w:val="auto"/>
              </w:rPr>
              <w:t>associates</w:t>
            </w:r>
          </w:p>
        </w:tc>
        <w:tc>
          <w:tcPr>
            <w:tcW w:w="1020" w:type="dxa"/>
            <w:vAlign w:val="bottom"/>
          </w:tcPr>
          <w:p>
            <w:pPr>
              <w:jc w:val="right"/>
              <w:spacing w:after="0"/>
              <w:rPr>
                <w:sz w:val="20"/>
                <w:szCs w:val="20"/>
                <w:color w:val="auto"/>
              </w:rPr>
            </w:pPr>
            <w:r>
              <w:rPr>
                <w:rFonts w:ascii="Arial" w:cs="Arial" w:eastAsia="Arial" w:hAnsi="Arial"/>
                <w:sz w:val="15"/>
                <w:szCs w:val="15"/>
                <w:color w:val="auto"/>
              </w:rPr>
              <w:t>23,525,406</w:t>
            </w:r>
          </w:p>
        </w:tc>
        <w:tc>
          <w:tcPr>
            <w:tcW w:w="8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26,279,817</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29,806,937</w:t>
            </w: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8,672,370</w:t>
            </w:r>
          </w:p>
        </w:tc>
        <w:tc>
          <w:tcPr>
            <w:tcW w:w="1020" w:type="dxa"/>
            <w:vAlign w:val="bottom"/>
          </w:tcPr>
          <w:p>
            <w:pPr>
              <w:jc w:val="right"/>
              <w:spacing w:after="0"/>
              <w:rPr>
                <w:sz w:val="20"/>
                <w:szCs w:val="20"/>
                <w:color w:val="auto"/>
              </w:rPr>
            </w:pPr>
            <w:r>
              <w:rPr>
                <w:rFonts w:ascii="Arial" w:cs="Arial" w:eastAsia="Arial" w:hAnsi="Arial"/>
                <w:sz w:val="15"/>
                <w:szCs w:val="15"/>
                <w:color w:val="auto"/>
              </w:rPr>
              <w:t>29,733,748</w:t>
            </w:r>
          </w:p>
        </w:tc>
        <w:tc>
          <w:tcPr>
            <w:tcW w:w="22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8,651,076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Other assets</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9,899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1,665</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970</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282</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2,044</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5"/>
                <w:szCs w:val="15"/>
                <w:color w:val="auto"/>
              </w:rPr>
              <w:t>Total Assets</w:t>
            </w: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96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24,171,869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27,682,569</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30,469,746</w:t>
            </w: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8,865,215</w:t>
            </w:r>
          </w:p>
        </w:tc>
        <w:tc>
          <w:tcPr>
            <w:tcW w:w="1020" w:type="dxa"/>
            <w:vAlign w:val="bottom"/>
          </w:tcPr>
          <w:p>
            <w:pPr>
              <w:jc w:val="right"/>
              <w:spacing w:after="0"/>
              <w:rPr>
                <w:sz w:val="20"/>
                <w:szCs w:val="20"/>
                <w:color w:val="auto"/>
              </w:rPr>
            </w:pPr>
            <w:r>
              <w:rPr>
                <w:rFonts w:ascii="Arial" w:cs="Arial" w:eastAsia="Arial" w:hAnsi="Arial"/>
                <w:sz w:val="15"/>
                <w:szCs w:val="15"/>
                <w:color w:val="auto"/>
              </w:rPr>
              <w:t>30,387,813</w:t>
            </w:r>
          </w:p>
        </w:tc>
        <w:tc>
          <w:tcPr>
            <w:tcW w:w="2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8,841,377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96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5"/>
                <w:szCs w:val="15"/>
                <w:b w:val="1"/>
                <w:bCs w:val="1"/>
                <w:color w:val="auto"/>
              </w:rPr>
              <w:t>LIABILITIES AND EQUITY</w:t>
            </w: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20"/>
                <w:szCs w:val="20"/>
                <w:color w:val="auto"/>
              </w:rPr>
            </w:pPr>
            <w:r>
              <w:rPr>
                <w:rFonts w:ascii="Arial" w:cs="Arial" w:eastAsia="Arial" w:hAnsi="Arial"/>
                <w:sz w:val="15"/>
                <w:szCs w:val="15"/>
                <w:b w:val="1"/>
                <w:bCs w:val="1"/>
                <w:color w:val="auto"/>
              </w:rPr>
              <w:t>Deposits and obligations</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Other liabilities (2)</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76,544</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137,290</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207,597</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60,401</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3,073,999</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894,384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960" w:type="dxa"/>
            <w:vAlign w:val="bottom"/>
          </w:tcPr>
          <w:p>
            <w:pPr>
              <w:spacing w:after="0" w:line="172" w:lineRule="exact"/>
              <w:rPr>
                <w:sz w:val="20"/>
                <w:szCs w:val="20"/>
                <w:color w:val="auto"/>
              </w:rPr>
            </w:pPr>
            <w:r>
              <w:rPr>
                <w:rFonts w:ascii="Arial" w:cs="Arial" w:eastAsia="Arial" w:hAnsi="Arial"/>
                <w:sz w:val="15"/>
                <w:szCs w:val="15"/>
                <w:color w:val="auto"/>
              </w:rPr>
              <w:t>Total Liabilities</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76,544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137,290</w:t>
            </w:r>
          </w:p>
        </w:tc>
        <w:tc>
          <w:tcPr>
            <w:tcW w:w="22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207,597</w:t>
            </w:r>
          </w:p>
        </w:tc>
        <w:tc>
          <w:tcPr>
            <w:tcW w:w="220" w:type="dxa"/>
            <w:vAlign w:val="bottom"/>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60,401</w:t>
            </w:r>
          </w:p>
        </w:tc>
        <w:tc>
          <w:tcPr>
            <w:tcW w:w="22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3,073,999</w:t>
            </w:r>
          </w:p>
        </w:tc>
        <w:tc>
          <w:tcPr>
            <w:tcW w:w="220" w:type="dxa"/>
            <w:vAlign w:val="bottom"/>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894,384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Capital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1,318,993</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1,318,993</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1,318,993</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383,763</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1,318,993</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383,763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20"/>
                <w:szCs w:val="20"/>
                <w:color w:val="auto"/>
              </w:rPr>
            </w:pPr>
            <w:r>
              <w:rPr>
                <w:rFonts w:ascii="Arial" w:cs="Arial" w:eastAsia="Arial" w:hAnsi="Arial"/>
                <w:sz w:val="15"/>
                <w:szCs w:val="15"/>
                <w:color w:val="auto"/>
              </w:rPr>
              <w:t>Treasury stock</w:t>
            </w: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(138)</w:t>
            </w:r>
          </w:p>
        </w:tc>
        <w:tc>
          <w:tcPr>
            <w:tcW w:w="1380" w:type="dxa"/>
            <w:vAlign w:val="bottom"/>
            <w:gridSpan w:val="3"/>
          </w:tcPr>
          <w:p>
            <w:pPr>
              <w:jc w:val="right"/>
              <w:ind w:right="160"/>
              <w:spacing w:after="0"/>
              <w:rPr>
                <w:sz w:val="20"/>
                <w:szCs w:val="20"/>
                <w:color w:val="auto"/>
              </w:rPr>
            </w:pPr>
            <w:r>
              <w:rPr>
                <w:rFonts w:ascii="Arial" w:cs="Arial" w:eastAsia="Arial" w:hAnsi="Arial"/>
                <w:sz w:val="15"/>
                <w:szCs w:val="15"/>
                <w:color w:val="auto"/>
              </w:rPr>
              <w:t>(26)</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(62)</w:t>
            </w: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(18)</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Capital surplus</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389,977</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390,581</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387,429</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112,723</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384,542</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111,883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20"/>
                <w:szCs w:val="20"/>
                <w:color w:val="auto"/>
              </w:rPr>
            </w:pPr>
            <w:r>
              <w:rPr>
                <w:rFonts w:ascii="Arial" w:cs="Arial" w:eastAsia="Arial" w:hAnsi="Arial"/>
                <w:sz w:val="15"/>
                <w:szCs w:val="15"/>
                <w:color w:val="auto"/>
              </w:rPr>
              <w:t>Reserves</w:t>
            </w:r>
          </w:p>
        </w:tc>
        <w:tc>
          <w:tcPr>
            <w:tcW w:w="1020" w:type="dxa"/>
            <w:vAlign w:val="bottom"/>
          </w:tcPr>
          <w:p>
            <w:pPr>
              <w:jc w:val="right"/>
              <w:spacing w:after="0"/>
              <w:rPr>
                <w:sz w:val="20"/>
                <w:szCs w:val="20"/>
                <w:color w:val="auto"/>
              </w:rPr>
            </w:pPr>
            <w:r>
              <w:rPr>
                <w:rFonts w:ascii="Arial" w:cs="Arial" w:eastAsia="Arial" w:hAnsi="Arial"/>
                <w:sz w:val="15"/>
                <w:szCs w:val="15"/>
                <w:color w:val="auto"/>
              </w:rPr>
              <w:t>14,337,890</w:t>
            </w:r>
          </w:p>
        </w:tc>
        <w:tc>
          <w:tcPr>
            <w:tcW w:w="8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17,271,506</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19,093,038</w:t>
            </w: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5,555,228</w:t>
            </w:r>
          </w:p>
        </w:tc>
        <w:tc>
          <w:tcPr>
            <w:tcW w:w="1020" w:type="dxa"/>
            <w:vAlign w:val="bottom"/>
          </w:tcPr>
          <w:p>
            <w:pPr>
              <w:jc w:val="right"/>
              <w:spacing w:after="0"/>
              <w:rPr>
                <w:sz w:val="20"/>
                <w:szCs w:val="20"/>
                <w:color w:val="auto"/>
              </w:rPr>
            </w:pPr>
            <w:r>
              <w:rPr>
                <w:rFonts w:ascii="Arial" w:cs="Arial" w:eastAsia="Arial" w:hAnsi="Arial"/>
                <w:sz w:val="15"/>
                <w:szCs w:val="15"/>
                <w:color w:val="auto"/>
              </w:rPr>
              <w:t>21,070,409</w:t>
            </w:r>
          </w:p>
        </w:tc>
        <w:tc>
          <w:tcPr>
            <w:tcW w:w="22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6,130,465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Unrealized gains and losses</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1,246,921</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496,339</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866,271</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252,043</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138,564</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40,315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20"/>
                <w:szCs w:val="20"/>
                <w:color w:val="auto"/>
              </w:rPr>
            </w:pPr>
            <w:r>
              <w:rPr>
                <w:rFonts w:ascii="Arial" w:cs="Arial" w:eastAsia="Arial" w:hAnsi="Arial"/>
                <w:sz w:val="15"/>
                <w:szCs w:val="15"/>
                <w:color w:val="auto"/>
              </w:rPr>
              <w:t>Retained earnings</w:t>
            </w:r>
          </w:p>
        </w:tc>
        <w:tc>
          <w:tcPr>
            <w:tcW w:w="1020" w:type="dxa"/>
            <w:vAlign w:val="bottom"/>
          </w:tcPr>
          <w:p>
            <w:pPr>
              <w:jc w:val="right"/>
              <w:spacing w:after="0"/>
              <w:rPr>
                <w:sz w:val="20"/>
                <w:szCs w:val="20"/>
                <w:color w:val="auto"/>
              </w:rPr>
            </w:pPr>
            <w:r>
              <w:rPr>
                <w:rFonts w:ascii="Arial" w:cs="Arial" w:eastAsia="Arial" w:hAnsi="Arial"/>
                <w:sz w:val="15"/>
                <w:szCs w:val="15"/>
                <w:color w:val="auto"/>
              </w:rPr>
              <w:t>6,801,682</w:t>
            </w:r>
          </w:p>
        </w:tc>
        <w:tc>
          <w:tcPr>
            <w:tcW w:w="8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8,067,866</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8,596,199</w:t>
            </w: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2,501,076</w:t>
            </w:r>
          </w:p>
        </w:tc>
        <w:tc>
          <w:tcPr>
            <w:tcW w:w="1020" w:type="dxa"/>
            <w:vAlign w:val="bottom"/>
          </w:tcPr>
          <w:p>
            <w:pPr>
              <w:jc w:val="right"/>
              <w:spacing w:after="0"/>
              <w:rPr>
                <w:sz w:val="20"/>
                <w:szCs w:val="20"/>
                <w:color w:val="auto"/>
              </w:rPr>
            </w:pPr>
            <w:r>
              <w:rPr>
                <w:rFonts w:ascii="Arial" w:cs="Arial" w:eastAsia="Arial" w:hAnsi="Arial"/>
                <w:sz w:val="15"/>
                <w:szCs w:val="15"/>
                <w:color w:val="auto"/>
              </w:rPr>
              <w:t>4,401,306</w:t>
            </w:r>
          </w:p>
        </w:tc>
        <w:tc>
          <w:tcPr>
            <w:tcW w:w="22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1,280,566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Total Equity</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24,095,325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27,545,279</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30,262,149</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8,804,815</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27,313,814</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7,946,993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5"/>
                <w:szCs w:val="15"/>
                <w:color w:val="auto"/>
              </w:rPr>
              <w:t>Total liabilities and equity</w:t>
            </w: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960" w:type="dxa"/>
            <w:vAlign w:val="bottom"/>
            <w:vMerge w:val="continue"/>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24,171,869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27,682,569</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30,469,746</w:t>
            </w: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8,865,215</w:t>
            </w:r>
          </w:p>
        </w:tc>
        <w:tc>
          <w:tcPr>
            <w:tcW w:w="1020" w:type="dxa"/>
            <w:vAlign w:val="bottom"/>
          </w:tcPr>
          <w:p>
            <w:pPr>
              <w:jc w:val="right"/>
              <w:spacing w:after="0"/>
              <w:rPr>
                <w:sz w:val="20"/>
                <w:szCs w:val="20"/>
                <w:color w:val="auto"/>
              </w:rPr>
            </w:pPr>
            <w:r>
              <w:rPr>
                <w:rFonts w:ascii="Arial" w:cs="Arial" w:eastAsia="Arial" w:hAnsi="Arial"/>
                <w:sz w:val="15"/>
                <w:szCs w:val="15"/>
                <w:color w:val="auto"/>
              </w:rPr>
              <w:t>30,387,813</w:t>
            </w:r>
          </w:p>
        </w:tc>
        <w:tc>
          <w:tcPr>
            <w:tcW w:w="22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8,841,377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8625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01" w:lineRule="exact"/>
        <w:rPr>
          <w:sz w:val="20"/>
          <w:szCs w:val="20"/>
          <w:color w:val="auto"/>
        </w:rPr>
      </w:pPr>
    </w:p>
    <w:p>
      <w:pPr>
        <w:ind w:left="302" w:right="200" w:hanging="302"/>
        <w:spacing w:after="0" w:line="287" w:lineRule="auto"/>
        <w:tabs>
          <w:tab w:leader="none" w:pos="30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For the convenience of the reader data as of and for the three months ended March 31, 2020 and the year ended December 31, 2019 have been translated from Soles into U.S. dollars at a rate of S/3.437 for U.S.$1.00 (the March 31, 2020 exchange rate as published by the SBS).</w:t>
      </w:r>
    </w:p>
    <w:p>
      <w:pPr>
        <w:spacing w:after="0" w:line="149" w:lineRule="exact"/>
        <w:rPr>
          <w:rFonts w:ascii="Arial" w:cs="Arial" w:eastAsia="Arial" w:hAnsi="Arial"/>
          <w:sz w:val="16"/>
          <w:szCs w:val="16"/>
          <w:color w:val="auto"/>
        </w:rPr>
      </w:pPr>
    </w:p>
    <w:p>
      <w:pPr>
        <w:ind w:left="302" w:hanging="302"/>
        <w:spacing w:after="0"/>
        <w:tabs>
          <w:tab w:leader="none" w:pos="30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Includes provision for income tax on dividends, dividends pending, deferred income tax, among others.</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20" w:right="339" w:bottom="1440" w:gutter="0" w:footer="0" w:header="0"/>
        </w:sectPr>
      </w:pPr>
    </w:p>
    <w:bookmarkStart w:id="125" w:name="page126"/>
    <w:bookmarkEnd w:id="125"/>
    <w:p>
      <w:pPr>
        <w:jc w:val="center"/>
        <w:ind w:right="-39"/>
        <w:spacing w:after="0"/>
        <w:rPr>
          <w:sz w:val="20"/>
          <w:szCs w:val="20"/>
          <w:color w:val="auto"/>
        </w:rPr>
      </w:pPr>
      <w:r>
        <w:rPr>
          <w:rFonts w:ascii="Arial" w:cs="Arial" w:eastAsia="Arial" w:hAnsi="Arial"/>
          <w:sz w:val="16"/>
          <w:szCs w:val="16"/>
          <w:b w:val="1"/>
          <w:bCs w:val="1"/>
          <w:color w:val="auto"/>
        </w:rPr>
        <w:t>MANAGEMENT’S DISCUSSION AND ANALYSIS OF FINANCIAL CONDITION</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AND RESULTS OF OPERATIONS</w:t>
      </w:r>
    </w:p>
    <w:p>
      <w:pPr>
        <w:spacing w:after="0" w:line="198" w:lineRule="exact"/>
        <w:rPr>
          <w:sz w:val="20"/>
          <w:szCs w:val="20"/>
          <w:color w:val="auto"/>
        </w:rPr>
      </w:pPr>
    </w:p>
    <w:p>
      <w:pPr>
        <w:ind w:right="160" w:firstLine="295"/>
        <w:spacing w:after="0" w:line="27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audited consolidated financial statements and our unaudited condensed consolidated interim financial information and other information presented herein. This discussion and analysis should also be read in conjunction with “Item 5. Operating and Financial Review and Prospects” in our 2019 Form 20-F filed on May 29, 2020.</w:t>
      </w:r>
    </w:p>
    <w:p>
      <w:pPr>
        <w:spacing w:after="0" w:line="163" w:lineRule="exact"/>
        <w:rPr>
          <w:sz w:val="20"/>
          <w:szCs w:val="20"/>
          <w:color w:val="auto"/>
        </w:rPr>
      </w:pPr>
    </w:p>
    <w:p>
      <w:pPr>
        <w:ind w:right="220" w:firstLine="295"/>
        <w:spacing w:after="0" w:line="287" w:lineRule="auto"/>
        <w:rPr>
          <w:sz w:val="20"/>
          <w:szCs w:val="20"/>
          <w:color w:val="auto"/>
        </w:rPr>
      </w:pPr>
      <w:r>
        <w:rPr>
          <w:rFonts w:ascii="Arial" w:cs="Arial" w:eastAsia="Arial" w:hAnsi="Arial"/>
          <w:sz w:val="16"/>
          <w:szCs w:val="16"/>
          <w:i w:val="1"/>
          <w:iCs w:val="1"/>
          <w:color w:val="auto"/>
        </w:rPr>
        <w:t>The following discussion and analysis contains forward-looking statements that involve risks and uncertainties. Our actual results may differ materially from those discussed in the forward-looking statements as a result of various factors, including those set forth below under “Forward-Looking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Introduction</w:t>
      </w:r>
    </w:p>
    <w:p>
      <w:pPr>
        <w:spacing w:after="0" w:line="213" w:lineRule="exact"/>
        <w:rPr>
          <w:sz w:val="20"/>
          <w:szCs w:val="20"/>
          <w:color w:val="auto"/>
        </w:rPr>
      </w:pPr>
    </w:p>
    <w:p>
      <w:pPr>
        <w:ind w:firstLine="295"/>
        <w:spacing w:after="0" w:line="287" w:lineRule="auto"/>
        <w:rPr>
          <w:sz w:val="20"/>
          <w:szCs w:val="20"/>
          <w:color w:val="auto"/>
        </w:rPr>
      </w:pPr>
      <w:r>
        <w:rPr>
          <w:rFonts w:ascii="Arial" w:cs="Arial" w:eastAsia="Arial" w:hAnsi="Arial"/>
          <w:sz w:val="16"/>
          <w:szCs w:val="16"/>
          <w:color w:val="auto"/>
        </w:rPr>
        <w:t>The following discussion should be read in conjunction with the interim consolidated financial statements as of March 31, 2020 and for the three months ended March 31, 2019 and 2020 which were prepared in accordance with IFRS, in each case including the notes thereto.</w:t>
      </w:r>
    </w:p>
    <w:p>
      <w:pPr>
        <w:spacing w:after="0" w:line="150" w:lineRule="exact"/>
        <w:rPr>
          <w:sz w:val="20"/>
          <w:szCs w:val="20"/>
          <w:color w:val="auto"/>
        </w:rPr>
      </w:pPr>
    </w:p>
    <w:p>
      <w:pPr>
        <w:jc w:val="both"/>
        <w:ind w:right="20" w:firstLine="295"/>
        <w:spacing w:after="0" w:line="271" w:lineRule="auto"/>
        <w:rPr>
          <w:sz w:val="20"/>
          <w:szCs w:val="20"/>
          <w:color w:val="auto"/>
        </w:rPr>
      </w:pPr>
      <w:r>
        <w:rPr>
          <w:rFonts w:ascii="Arial" w:cs="Arial" w:eastAsia="Arial" w:hAnsi="Arial"/>
          <w:sz w:val="16"/>
          <w:szCs w:val="16"/>
          <w:color w:val="auto"/>
        </w:rPr>
        <w:t>Our financial statements are consolidated with the financial statements of our subsidiaries, which are companies controlled by us. Control is achieved when Credicorp is exposed, or has rights, to variable returns from its involvement with the investee and has the ability to affect those returns through its power over the investee. See note 3(b) to the annual consolidated financial statements included in our 2019 Form 20-F filed on May 29, 2020.</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13" w:lineRule="exact"/>
        <w:rPr>
          <w:sz w:val="20"/>
          <w:szCs w:val="20"/>
          <w:color w:val="auto"/>
        </w:rPr>
      </w:pPr>
    </w:p>
    <w:p>
      <w:pPr>
        <w:ind w:right="80" w:firstLine="295"/>
        <w:spacing w:after="0" w:line="281" w:lineRule="auto"/>
        <w:rPr>
          <w:sz w:val="20"/>
          <w:szCs w:val="20"/>
          <w:color w:val="auto"/>
        </w:rPr>
      </w:pPr>
      <w:r>
        <w:rPr>
          <w:rFonts w:ascii="Arial" w:cs="Arial" w:eastAsia="Arial" w:hAnsi="Arial"/>
          <w:sz w:val="15"/>
          <w:szCs w:val="15"/>
          <w:color w:val="auto"/>
        </w:rPr>
        <w:t>The preparation of our consolidated financial statements requires our management to use judgments, estimates and assumptions that affect the actual presented amounts. Accordingly, we use the best and more updated information available in the market for the preparation of our financial statements. However, due to the uncertainties involved in this type of assessment, materialized assumptions and estimates may differ from expected assumptions and estimates, generating results that require substantial adjustments in the book value of assets and liabilities in future years. See “Item 5. Operating and Financial Review and Prospects—5.A Operating Results—(1) Critical Accounting Policies” of our 2019 Form 20-F and our unaudited condensed consolidated interim financial information as of and for the three months ended March 31, 2020 for a description of the main accounting judgments, estimates and assumptions used in the preparations of our financial statements, which, if changed, may significantly change our disclosed results of operations and shareholders’ equity.</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Declaration of dividends</w:t>
      </w:r>
    </w:p>
    <w:p>
      <w:pPr>
        <w:spacing w:after="0" w:line="209" w:lineRule="exact"/>
        <w:rPr>
          <w:sz w:val="20"/>
          <w:szCs w:val="20"/>
          <w:color w:val="auto"/>
        </w:rPr>
      </w:pPr>
    </w:p>
    <w:p>
      <w:pPr>
        <w:ind w:right="100" w:firstLine="295"/>
        <w:spacing w:after="0" w:line="271" w:lineRule="auto"/>
        <w:rPr>
          <w:sz w:val="20"/>
          <w:szCs w:val="20"/>
          <w:color w:val="auto"/>
        </w:rPr>
      </w:pPr>
      <w:r>
        <w:rPr>
          <w:rFonts w:ascii="Arial" w:cs="Arial" w:eastAsia="Arial" w:hAnsi="Arial"/>
          <w:sz w:val="16"/>
          <w:szCs w:val="16"/>
          <w:color w:val="auto"/>
        </w:rPr>
        <w:t>At a meeting held on February 27, 2020, our Board of Directors approved the distribution of a cash dividend of S/2,831,469,510.00, for a total of 94,382,317 outstanding shares, which is equivalent to S/30.00 per share. The cash dividend was paid on May 8, 2020, without withholding tax at source, to shareholders of record on April 13, 2020.</w:t>
      </w:r>
    </w:p>
    <w:p>
      <w:pPr>
        <w:spacing w:after="0" w:line="163" w:lineRule="exact"/>
        <w:rPr>
          <w:sz w:val="20"/>
          <w:szCs w:val="20"/>
          <w:color w:val="auto"/>
        </w:rPr>
      </w:pPr>
    </w:p>
    <w:p>
      <w:pPr>
        <w:ind w:right="240" w:firstLine="295"/>
        <w:spacing w:after="0" w:line="287" w:lineRule="auto"/>
        <w:rPr>
          <w:sz w:val="20"/>
          <w:szCs w:val="20"/>
          <w:color w:val="auto"/>
        </w:rPr>
      </w:pPr>
      <w:r>
        <w:rPr>
          <w:rFonts w:ascii="Arial" w:cs="Arial" w:eastAsia="Arial" w:hAnsi="Arial"/>
          <w:sz w:val="16"/>
          <w:szCs w:val="16"/>
          <w:color w:val="auto"/>
        </w:rPr>
        <w:t>The dividend was paid in U.S. dollars using the weighted exchange rate reported by the SBS for transactions at the close of business on May 6, 2020 (S/3.4081 per U.S. dollar). As a result, the dividend paid per share was U.S$8.8026, equivalent to the declared dividend of S/30.00 per share.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Results of Operations for the Three Months Ended March 31, 2019 Compared to the Three Months Ended March 31, 2020</w:t>
      </w:r>
    </w:p>
    <w:p>
      <w:pPr>
        <w:spacing w:after="0" w:line="213" w:lineRule="exact"/>
        <w:rPr>
          <w:sz w:val="20"/>
          <w:szCs w:val="20"/>
          <w:color w:val="auto"/>
        </w:rPr>
      </w:pPr>
    </w:p>
    <w:p>
      <w:pPr>
        <w:ind w:right="80" w:firstLine="295"/>
        <w:spacing w:after="0" w:line="266" w:lineRule="auto"/>
        <w:rPr>
          <w:sz w:val="20"/>
          <w:szCs w:val="20"/>
          <w:color w:val="auto"/>
        </w:rPr>
      </w:pPr>
      <w:r>
        <w:rPr>
          <w:rFonts w:ascii="Arial" w:cs="Arial" w:eastAsia="Arial" w:hAnsi="Arial"/>
          <w:sz w:val="16"/>
          <w:szCs w:val="16"/>
          <w:color w:val="auto"/>
        </w:rPr>
        <w:t>The following discussion of our results of operations is based on the interim financial information derived from our unaudited condensed consolidated interim financial information. In the following discussion, references to increases or decreases in any three months ended are made by comparison with the corresponding prior three months ended, as applicable, except as the context otherwise indicates. The discussion in this section is based on a comparison of the three months ended March 31, 2019 with the three months ended March 31, 2020.</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5"/>
          <w:szCs w:val="15"/>
          <w:color w:val="auto"/>
        </w:rPr>
        <w:t>The following table sets forth, for the three months ended March 31, 2019 and the three months ended March 31, 2020, the principal components of our net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40" w:type="dxa"/>
            <w:vAlign w:val="bottom"/>
          </w:tcPr>
          <w:p>
            <w:pPr>
              <w:spacing w:after="0"/>
              <w:rPr>
                <w:sz w:val="17"/>
                <w:szCs w:val="17"/>
                <w:color w:val="auto"/>
              </w:rPr>
            </w:pPr>
          </w:p>
        </w:tc>
        <w:tc>
          <w:tcPr>
            <w:tcW w:w="2800" w:type="dxa"/>
            <w:vAlign w:val="bottom"/>
            <w:gridSpan w:val="5"/>
          </w:tcPr>
          <w:p>
            <w:pPr>
              <w:ind w:left="58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8440" w:type="dxa"/>
            <w:vAlign w:val="bottom"/>
          </w:tcPr>
          <w:p>
            <w:pPr>
              <w:spacing w:after="0"/>
              <w:rPr>
                <w:sz w:val="18"/>
                <w:szCs w:val="18"/>
                <w:color w:val="auto"/>
              </w:rPr>
            </w:pPr>
          </w:p>
        </w:tc>
        <w:tc>
          <w:tcPr>
            <w:tcW w:w="1820" w:type="dxa"/>
            <w:vAlign w:val="bottom"/>
            <w:tcBorders>
              <w:bottom w:val="single" w:sz="8" w:color="auto"/>
            </w:tcBorders>
            <w:gridSpan w:val="3"/>
          </w:tcPr>
          <w:p>
            <w:pPr>
              <w:ind w:left="1000"/>
              <w:spacing w:after="0"/>
              <w:rPr>
                <w:sz w:val="20"/>
                <w:szCs w:val="20"/>
                <w:color w:val="auto"/>
              </w:rPr>
            </w:pPr>
            <w:r>
              <w:rPr>
                <w:rFonts w:ascii="Arial" w:cs="Arial" w:eastAsia="Arial" w:hAnsi="Arial"/>
                <w:sz w:val="16"/>
                <w:szCs w:val="16"/>
                <w:b w:val="1"/>
                <w:bCs w:val="1"/>
                <w:color w:val="auto"/>
              </w:rPr>
              <w:t>March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40" w:type="dxa"/>
            <w:vAlign w:val="bottom"/>
          </w:tcPr>
          <w:p>
            <w:pPr>
              <w:spacing w:after="0"/>
              <w:rPr>
                <w:sz w:val="17"/>
                <w:szCs w:val="17"/>
                <w:color w:val="auto"/>
              </w:rPr>
            </w:pPr>
          </w:p>
        </w:tc>
        <w:tc>
          <w:tcPr>
            <w:tcW w:w="124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440" w:type="dxa"/>
            <w:vAlign w:val="bottom"/>
          </w:tcPr>
          <w:p>
            <w:pPr>
              <w:spacing w:after="0"/>
              <w:rPr>
                <w:sz w:val="16"/>
                <w:szCs w:val="16"/>
                <w:color w:val="auto"/>
              </w:rPr>
            </w:pPr>
          </w:p>
        </w:tc>
        <w:tc>
          <w:tcPr>
            <w:tcW w:w="2700" w:type="dxa"/>
            <w:vAlign w:val="bottom"/>
            <w:gridSpan w:val="4"/>
          </w:tcPr>
          <w:p>
            <w:pPr>
              <w:jc w:val="right"/>
              <w:ind w:right="478"/>
              <w:spacing w:after="0"/>
              <w:rPr>
                <w:sz w:val="20"/>
                <w:szCs w:val="20"/>
                <w:color w:val="auto"/>
              </w:rPr>
            </w:pPr>
            <w:r>
              <w:rPr>
                <w:rFonts w:ascii="Arial" w:cs="Arial" w:eastAsia="Arial" w:hAnsi="Arial"/>
                <w:sz w:val="16"/>
                <w:szCs w:val="16"/>
                <w:b w:val="1"/>
                <w:bCs w:val="1"/>
                <w:color w:val="auto"/>
              </w:rPr>
              <w:t>(in thousands of Soles)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Interest and similar income</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3,001,674</w:t>
            </w: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3,163,609</w:t>
            </w:r>
          </w:p>
        </w:tc>
        <w:tc>
          <w:tcPr>
            <w:tcW w:w="0" w:type="dxa"/>
            <w:vAlign w:val="bottom"/>
          </w:tcPr>
          <w:p>
            <w:pPr>
              <w:spacing w:after="0"/>
              <w:rPr>
                <w:sz w:val="1"/>
                <w:szCs w:val="1"/>
                <w:color w:val="auto"/>
              </w:rPr>
            </w:pPr>
          </w:p>
        </w:tc>
      </w:tr>
      <w:tr>
        <w:trPr>
          <w:trHeight w:val="197"/>
        </w:trPr>
        <w:tc>
          <w:tcPr>
            <w:tcW w:w="8440" w:type="dxa"/>
            <w:vAlign w:val="bottom"/>
          </w:tcPr>
          <w:p>
            <w:pPr>
              <w:spacing w:after="0"/>
              <w:rPr>
                <w:sz w:val="20"/>
                <w:szCs w:val="20"/>
                <w:color w:val="auto"/>
              </w:rPr>
            </w:pPr>
            <w:r>
              <w:rPr>
                <w:rFonts w:ascii="Arial" w:cs="Arial" w:eastAsia="Arial" w:hAnsi="Arial"/>
                <w:sz w:val="16"/>
                <w:szCs w:val="16"/>
                <w:color w:val="auto"/>
              </w:rPr>
              <w:t>Interest and similar expenses</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(804,506)</w:t>
            </w:r>
          </w:p>
        </w:tc>
        <w:tc>
          <w:tcPr>
            <w:tcW w:w="3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(784,309)</w:t>
            </w: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Net interest, similar income and expenses</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2,197,168</w:t>
            </w: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2,379,300</w:t>
            </w:r>
          </w:p>
        </w:tc>
        <w:tc>
          <w:tcPr>
            <w:tcW w:w="0" w:type="dxa"/>
            <w:vAlign w:val="bottom"/>
          </w:tcPr>
          <w:p>
            <w:pPr>
              <w:spacing w:after="0"/>
              <w:rPr>
                <w:sz w:val="1"/>
                <w:szCs w:val="1"/>
                <w:color w:val="auto"/>
              </w:rPr>
            </w:pPr>
          </w:p>
        </w:tc>
      </w:tr>
      <w:tr>
        <w:trPr>
          <w:trHeight w:val="197"/>
        </w:trPr>
        <w:tc>
          <w:tcPr>
            <w:tcW w:w="8440" w:type="dxa"/>
            <w:vAlign w:val="bottom"/>
          </w:tcPr>
          <w:p>
            <w:pPr>
              <w:spacing w:after="0"/>
              <w:rPr>
                <w:sz w:val="20"/>
                <w:szCs w:val="20"/>
                <w:color w:val="auto"/>
              </w:rPr>
            </w:pPr>
            <w:r>
              <w:rPr>
                <w:rFonts w:ascii="Arial" w:cs="Arial" w:eastAsia="Arial" w:hAnsi="Arial"/>
                <w:sz w:val="16"/>
                <w:szCs w:val="16"/>
                <w:color w:val="auto"/>
              </w:rPr>
              <w:t>Provision for credit losses on loan portfolio</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(453,285)</w:t>
            </w:r>
          </w:p>
        </w:tc>
        <w:tc>
          <w:tcPr>
            <w:tcW w:w="3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(1,388,711)</w:t>
            </w: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Recoveries of written-off loans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70,074</w:t>
            </w: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47,230</w:t>
            </w:r>
          </w:p>
        </w:tc>
        <w:tc>
          <w:tcPr>
            <w:tcW w:w="0" w:type="dxa"/>
            <w:vAlign w:val="bottom"/>
          </w:tcPr>
          <w:p>
            <w:pPr>
              <w:spacing w:after="0"/>
              <w:rPr>
                <w:sz w:val="1"/>
                <w:szCs w:val="1"/>
                <w:color w:val="auto"/>
              </w:rPr>
            </w:pPr>
          </w:p>
        </w:tc>
      </w:tr>
      <w:tr>
        <w:trPr>
          <w:trHeight w:val="197"/>
        </w:trPr>
        <w:tc>
          <w:tcPr>
            <w:tcW w:w="8440" w:type="dxa"/>
            <w:vAlign w:val="bottom"/>
          </w:tcPr>
          <w:p>
            <w:pPr>
              <w:spacing w:after="0"/>
              <w:rPr>
                <w:sz w:val="20"/>
                <w:szCs w:val="20"/>
                <w:color w:val="auto"/>
              </w:rPr>
            </w:pPr>
            <w:r>
              <w:rPr>
                <w:rFonts w:ascii="Arial" w:cs="Arial" w:eastAsia="Arial" w:hAnsi="Arial"/>
                <w:sz w:val="16"/>
                <w:szCs w:val="16"/>
                <w:color w:val="auto"/>
              </w:rPr>
              <w:t>Provision for credit losses on loan portfolio, net of recoveries</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(383,211)</w:t>
            </w:r>
          </w:p>
        </w:tc>
        <w:tc>
          <w:tcPr>
            <w:tcW w:w="3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(1,341,481)</w:t>
            </w:r>
          </w:p>
        </w:tc>
        <w:tc>
          <w:tcPr>
            <w:tcW w:w="0" w:type="dxa"/>
            <w:vAlign w:val="bottom"/>
          </w:tcPr>
          <w:p>
            <w:pPr>
              <w:spacing w:after="0"/>
              <w:rPr>
                <w:sz w:val="1"/>
                <w:szCs w:val="1"/>
                <w:color w:val="auto"/>
              </w:rPr>
            </w:pPr>
          </w:p>
        </w:tc>
      </w:tr>
      <w:tr>
        <w:trPr>
          <w:trHeight w:val="184"/>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Net interest, similar income and expenses, after provision for credit losses on</w:t>
            </w: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 portfolio</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1,813,957</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1,037,819</w:t>
            </w:r>
          </w:p>
        </w:tc>
        <w:tc>
          <w:tcPr>
            <w:tcW w:w="0" w:type="dxa"/>
            <w:vAlign w:val="bottom"/>
          </w:tcPr>
          <w:p>
            <w:pPr>
              <w:spacing w:after="0"/>
              <w:rPr>
                <w:sz w:val="1"/>
                <w:szCs w:val="1"/>
                <w:color w:val="auto"/>
              </w:rPr>
            </w:pPr>
          </w:p>
        </w:tc>
      </w:tr>
      <w:tr>
        <w:trPr>
          <w:trHeight w:val="197"/>
        </w:trPr>
        <w:tc>
          <w:tcPr>
            <w:tcW w:w="8440" w:type="dxa"/>
            <w:vAlign w:val="bottom"/>
          </w:tcPr>
          <w:p>
            <w:pPr>
              <w:spacing w:after="0"/>
              <w:rPr>
                <w:sz w:val="20"/>
                <w:szCs w:val="20"/>
                <w:color w:val="auto"/>
              </w:rPr>
            </w:pPr>
            <w:r>
              <w:rPr>
                <w:rFonts w:ascii="Arial" w:cs="Arial" w:eastAsia="Arial" w:hAnsi="Arial"/>
                <w:sz w:val="16"/>
                <w:szCs w:val="16"/>
                <w:color w:val="auto"/>
              </w:rPr>
              <w:t>Total other income</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1,176,337</w:t>
            </w:r>
          </w:p>
        </w:tc>
        <w:tc>
          <w:tcPr>
            <w:tcW w:w="3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957,864</w:t>
            </w: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Total insurance underwriting results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109,111</w:t>
            </w: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141,926</w:t>
            </w:r>
          </w:p>
        </w:tc>
        <w:tc>
          <w:tcPr>
            <w:tcW w:w="0" w:type="dxa"/>
            <w:vAlign w:val="bottom"/>
          </w:tcPr>
          <w:p>
            <w:pPr>
              <w:spacing w:after="0"/>
              <w:rPr>
                <w:sz w:val="1"/>
                <w:szCs w:val="1"/>
                <w:color w:val="auto"/>
              </w:rPr>
            </w:pPr>
          </w:p>
        </w:tc>
      </w:tr>
      <w:tr>
        <w:trPr>
          <w:trHeight w:val="197"/>
        </w:trPr>
        <w:tc>
          <w:tcPr>
            <w:tcW w:w="8440" w:type="dxa"/>
            <w:vAlign w:val="bottom"/>
          </w:tcPr>
          <w:p>
            <w:pPr>
              <w:spacing w:after="0"/>
              <w:rPr>
                <w:sz w:val="20"/>
                <w:szCs w:val="20"/>
                <w:color w:val="auto"/>
              </w:rPr>
            </w:pPr>
            <w:r>
              <w:rPr>
                <w:rFonts w:ascii="Arial" w:cs="Arial" w:eastAsia="Arial" w:hAnsi="Arial"/>
                <w:sz w:val="16"/>
                <w:szCs w:val="16"/>
                <w:color w:val="auto"/>
              </w:rPr>
              <w:t>Total other expenses</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(1,553,976)</w:t>
            </w:r>
          </w:p>
        </w:tc>
        <w:tc>
          <w:tcPr>
            <w:tcW w:w="3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(1,778,635)</w:t>
            </w: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Profit before income tax</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1,545,429</w:t>
            </w: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358,974</w:t>
            </w:r>
          </w:p>
        </w:tc>
        <w:tc>
          <w:tcPr>
            <w:tcW w:w="0" w:type="dxa"/>
            <w:vAlign w:val="bottom"/>
          </w:tcPr>
          <w:p>
            <w:pPr>
              <w:spacing w:after="0"/>
              <w:rPr>
                <w:sz w:val="1"/>
                <w:szCs w:val="1"/>
                <w:color w:val="auto"/>
              </w:rPr>
            </w:pPr>
          </w:p>
        </w:tc>
      </w:tr>
      <w:tr>
        <w:trPr>
          <w:trHeight w:val="208"/>
        </w:trPr>
        <w:tc>
          <w:tcPr>
            <w:tcW w:w="8440" w:type="dxa"/>
            <w:vAlign w:val="bottom"/>
          </w:tcPr>
          <w:p>
            <w:pPr>
              <w:spacing w:after="0"/>
              <w:rPr>
                <w:sz w:val="20"/>
                <w:szCs w:val="20"/>
                <w:color w:val="auto"/>
              </w:rPr>
            </w:pPr>
            <w:r>
              <w:rPr>
                <w:rFonts w:ascii="Arial" w:cs="Arial" w:eastAsia="Arial" w:hAnsi="Arial"/>
                <w:sz w:val="16"/>
                <w:szCs w:val="16"/>
                <w:color w:val="auto"/>
              </w:rPr>
              <w:t>Income tax</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(422,165)</w:t>
            </w:r>
          </w:p>
        </w:tc>
        <w:tc>
          <w:tcPr>
            <w:tcW w:w="3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(145,799)</w:t>
            </w:r>
          </w:p>
        </w:tc>
        <w:tc>
          <w:tcPr>
            <w:tcW w:w="0" w:type="dxa"/>
            <w:vAlign w:val="bottom"/>
          </w:tcPr>
          <w:p>
            <w:pPr>
              <w:spacing w:after="0"/>
              <w:rPr>
                <w:sz w:val="1"/>
                <w:szCs w:val="1"/>
                <w:color w:val="auto"/>
              </w:rPr>
            </w:pPr>
          </w:p>
        </w:tc>
      </w:tr>
      <w:tr>
        <w:trPr>
          <w:trHeight w:val="202"/>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profit</w:t>
            </w:r>
          </w:p>
        </w:tc>
        <w:tc>
          <w:tcPr>
            <w:tcW w:w="12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6"/>
                <w:szCs w:val="16"/>
                <w:b w:val="1"/>
                <w:bCs w:val="1"/>
                <w:color w:val="auto"/>
                <w:w w:val="87"/>
              </w:rPr>
              <w:t>1,123,264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213,175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6"/>
                <w:szCs w:val="16"/>
                <w:color w:val="auto"/>
              </w:rPr>
              <w:t>Net profit attributable to:</w:t>
            </w: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44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Credicorp’s equity holders</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1,100,867</w:t>
            </w: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209,274</w:t>
            </w:r>
          </w:p>
        </w:tc>
        <w:tc>
          <w:tcPr>
            <w:tcW w:w="0" w:type="dxa"/>
            <w:vAlign w:val="bottom"/>
          </w:tcPr>
          <w:p>
            <w:pPr>
              <w:spacing w:after="0"/>
              <w:rPr>
                <w:sz w:val="1"/>
                <w:szCs w:val="1"/>
                <w:color w:val="auto"/>
              </w:rPr>
            </w:pPr>
          </w:p>
        </w:tc>
      </w:tr>
      <w:tr>
        <w:trPr>
          <w:trHeight w:val="208"/>
        </w:trPr>
        <w:tc>
          <w:tcPr>
            <w:tcW w:w="844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22,397</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3,901</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firstLine="295"/>
        <w:spacing w:after="0" w:line="262" w:lineRule="auto"/>
        <w:rPr>
          <w:sz w:val="20"/>
          <w:szCs w:val="20"/>
          <w:color w:val="auto"/>
        </w:rPr>
      </w:pPr>
      <w:r>
        <w:rPr>
          <w:rFonts w:ascii="Arial" w:cs="Arial" w:eastAsia="Arial" w:hAnsi="Arial"/>
          <w:sz w:val="16"/>
          <w:szCs w:val="16"/>
          <w:color w:val="auto"/>
        </w:rPr>
        <w:t>In the three months ended March 31, 2020, the net profit attributable to our equity holders decreased 80.99% compared to the three months ended March 31, 2019. This result was primarily due to (i) higher provision for credit losses on our loan portfolio, given that we expect there will be an economic recession resulting in an increase in the probability of default in certain sectors of clients, in line with IFRS 9; (ii) lower total other income, as a result of a decrease in net gain on securities (attributable to bond issuances at Atlantic Security Bank and BCP Stand-alone in the first half of the three months ended March 31, 2020); and (iii) lower commission and fees. This was partially offset by higher net interest income (an increase of 8.3% compared to the three months ended March 31, 2019) in line with growth in total loans led by retail banking, and by the mortgage and consumer segments in particular.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27" w:name="page128"/>
    <w:bookmarkEnd w:id="127"/>
    <w:tbl>
      <w:tblPr>
        <w:tblLayout w:type="fixed"/>
        <w:tblInd w:w="2" w:type="dxa"/>
        <w:tblCellMar>
          <w:top w:w="0" w:type="dxa"/>
          <w:left w:w="0" w:type="dxa"/>
          <w:bottom w:w="0" w:type="dxa"/>
          <w:right w:w="0" w:type="dxa"/>
        </w:tblCellMar>
      </w:tblPr>
      <w:tr>
        <w:trPr>
          <w:trHeight w:val="208"/>
        </w:trPr>
        <w:tc>
          <w:tcPr>
            <w:tcW w:w="844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Net interest, Similar Income and Expenses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93"/>
        </w:trPr>
        <w:tc>
          <w:tcPr>
            <w:tcW w:w="8440" w:type="dxa"/>
            <w:vAlign w:val="bottom"/>
          </w:tcPr>
          <w:p>
            <w:pPr>
              <w:ind w:left="300"/>
              <w:spacing w:after="0"/>
              <w:rPr>
                <w:sz w:val="20"/>
                <w:szCs w:val="20"/>
                <w:color w:val="auto"/>
              </w:rPr>
            </w:pPr>
            <w:r>
              <w:rPr>
                <w:rFonts w:ascii="Arial" w:cs="Arial" w:eastAsia="Arial" w:hAnsi="Arial"/>
                <w:sz w:val="16"/>
                <w:szCs w:val="16"/>
                <w:color w:val="auto"/>
              </w:rPr>
              <w:t>The following table sets forth the components of net interest, similar income and expenses:</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8440" w:type="dxa"/>
            <w:vAlign w:val="bottom"/>
          </w:tcPr>
          <w:p>
            <w:pPr>
              <w:spacing w:after="0"/>
              <w:rPr>
                <w:sz w:val="24"/>
                <w:szCs w:val="24"/>
                <w:color w:val="auto"/>
              </w:rPr>
            </w:pPr>
          </w:p>
        </w:tc>
        <w:tc>
          <w:tcPr>
            <w:tcW w:w="280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4"/>
              </w:rPr>
              <w:t>Three Months Ended</w:t>
            </w:r>
          </w:p>
        </w:tc>
      </w:tr>
      <w:tr>
        <w:trPr>
          <w:trHeight w:val="212"/>
        </w:trPr>
        <w:tc>
          <w:tcPr>
            <w:tcW w:w="8440" w:type="dxa"/>
            <w:vAlign w:val="bottom"/>
          </w:tcPr>
          <w:p>
            <w:pPr>
              <w:spacing w:after="0"/>
              <w:rPr>
                <w:sz w:val="18"/>
                <w:szCs w:val="18"/>
                <w:color w:val="auto"/>
              </w:rPr>
            </w:pPr>
          </w:p>
        </w:tc>
        <w:tc>
          <w:tcPr>
            <w:tcW w:w="1760" w:type="dxa"/>
            <w:vAlign w:val="bottom"/>
            <w:tcBorders>
              <w:bottom w:val="single" w:sz="8" w:color="auto"/>
            </w:tcBorders>
            <w:gridSpan w:val="3"/>
          </w:tcPr>
          <w:p>
            <w:pPr>
              <w:jc w:val="center"/>
              <w:ind w:left="878"/>
              <w:spacing w:after="0"/>
              <w:rPr>
                <w:sz w:val="20"/>
                <w:szCs w:val="20"/>
                <w:color w:val="auto"/>
              </w:rPr>
            </w:pPr>
            <w:r>
              <w:rPr>
                <w:rFonts w:ascii="Arial" w:cs="Arial" w:eastAsia="Arial" w:hAnsi="Arial"/>
                <w:sz w:val="16"/>
                <w:szCs w:val="16"/>
                <w:b w:val="1"/>
                <w:bCs w:val="1"/>
                <w:color w:val="auto"/>
                <w:w w:val="97"/>
              </w:rPr>
              <w:t>March 31,</w:t>
            </w: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440" w:type="dxa"/>
            <w:vAlign w:val="bottom"/>
          </w:tcPr>
          <w:p>
            <w:pPr>
              <w:spacing w:after="0"/>
              <w:rPr>
                <w:sz w:val="17"/>
                <w:szCs w:val="17"/>
                <w:color w:val="auto"/>
              </w:rPr>
            </w:pPr>
          </w:p>
        </w:tc>
        <w:tc>
          <w:tcPr>
            <w:tcW w:w="124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2020(1)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8440" w:type="dxa"/>
            <w:vAlign w:val="bottom"/>
          </w:tcPr>
          <w:p>
            <w:pPr>
              <w:spacing w:after="0"/>
              <w:rPr>
                <w:sz w:val="16"/>
                <w:szCs w:val="16"/>
                <w:color w:val="auto"/>
              </w:rPr>
            </w:pPr>
          </w:p>
        </w:tc>
        <w:tc>
          <w:tcPr>
            <w:tcW w:w="270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(in thousands of Soles )</w:t>
            </w:r>
          </w:p>
        </w:tc>
        <w:tc>
          <w:tcPr>
            <w:tcW w:w="100" w:type="dxa"/>
            <w:vAlign w:val="bottom"/>
            <w:gridSpan w:val="2"/>
          </w:tcPr>
          <w:p>
            <w:pPr>
              <w:spacing w:after="0"/>
              <w:rPr>
                <w:sz w:val="16"/>
                <w:szCs w:val="16"/>
                <w:color w:val="auto"/>
              </w:rPr>
            </w:pPr>
          </w:p>
        </w:tc>
      </w:tr>
      <w:tr>
        <w:trPr>
          <w:trHeight w:val="197"/>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Interest and similar income:</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7"/>
        </w:trPr>
        <w:tc>
          <w:tcPr>
            <w:tcW w:w="8440" w:type="dxa"/>
            <w:vAlign w:val="bottom"/>
          </w:tcPr>
          <w:p>
            <w:pPr>
              <w:spacing w:after="0"/>
              <w:rPr>
                <w:sz w:val="20"/>
                <w:szCs w:val="20"/>
                <w:color w:val="auto"/>
              </w:rPr>
            </w:pPr>
            <w:r>
              <w:rPr>
                <w:rFonts w:ascii="Arial" w:cs="Arial" w:eastAsia="Arial" w:hAnsi="Arial"/>
                <w:sz w:val="16"/>
                <w:szCs w:val="16"/>
                <w:color w:val="auto"/>
              </w:rPr>
              <w:t>Interest on loans</w:t>
            </w:r>
          </w:p>
        </w:tc>
        <w:tc>
          <w:tcPr>
            <w:tcW w:w="1480" w:type="dxa"/>
            <w:vAlign w:val="bottom"/>
            <w:gridSpan w:val="2"/>
          </w:tcPr>
          <w:p>
            <w:pPr>
              <w:jc w:val="right"/>
              <w:ind w:right="158"/>
              <w:spacing w:after="0"/>
              <w:rPr>
                <w:sz w:val="20"/>
                <w:szCs w:val="20"/>
                <w:color w:val="auto"/>
              </w:rPr>
            </w:pPr>
            <w:r>
              <w:rPr>
                <w:rFonts w:ascii="Arial" w:cs="Arial" w:eastAsia="Arial" w:hAnsi="Arial"/>
                <w:sz w:val="16"/>
                <w:szCs w:val="16"/>
                <w:color w:val="auto"/>
              </w:rPr>
              <w:t>2,562,286</w:t>
            </w:r>
          </w:p>
        </w:tc>
        <w:tc>
          <w:tcPr>
            <w:tcW w:w="2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2,770,351</w:t>
            </w:r>
          </w:p>
        </w:tc>
        <w:tc>
          <w:tcPr>
            <w:tcW w:w="80" w:type="dxa"/>
            <w:vAlign w:val="bottom"/>
          </w:tcPr>
          <w:p>
            <w:pPr>
              <w:spacing w:after="0"/>
              <w:rPr>
                <w:sz w:val="17"/>
                <w:szCs w:val="17"/>
                <w:color w:val="auto"/>
              </w:rPr>
            </w:pPr>
          </w:p>
        </w:tc>
      </w:tr>
      <w:tr>
        <w:trPr>
          <w:trHeight w:val="19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Interest on investments at fair value through other comprehensive income</w:t>
            </w:r>
          </w:p>
        </w:tc>
        <w:tc>
          <w:tcPr>
            <w:tcW w:w="148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269,603</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261,189</w:t>
            </w:r>
          </w:p>
        </w:tc>
        <w:tc>
          <w:tcPr>
            <w:tcW w:w="80" w:type="dxa"/>
            <w:vAlign w:val="bottom"/>
            <w:shd w:val="clear" w:color="auto" w:fill="CCEEFF"/>
          </w:tcPr>
          <w:p>
            <w:pPr>
              <w:spacing w:after="0"/>
              <w:rPr>
                <w:sz w:val="17"/>
                <w:szCs w:val="17"/>
                <w:color w:val="auto"/>
              </w:rPr>
            </w:pPr>
          </w:p>
        </w:tc>
      </w:tr>
      <w:tr>
        <w:trPr>
          <w:trHeight w:val="197"/>
        </w:trPr>
        <w:tc>
          <w:tcPr>
            <w:tcW w:w="8440" w:type="dxa"/>
            <w:vAlign w:val="bottom"/>
          </w:tcPr>
          <w:p>
            <w:pPr>
              <w:spacing w:after="0"/>
              <w:rPr>
                <w:sz w:val="20"/>
                <w:szCs w:val="20"/>
                <w:color w:val="auto"/>
              </w:rPr>
            </w:pPr>
            <w:r>
              <w:rPr>
                <w:rFonts w:ascii="Arial" w:cs="Arial" w:eastAsia="Arial" w:hAnsi="Arial"/>
                <w:sz w:val="16"/>
                <w:szCs w:val="16"/>
                <w:color w:val="auto"/>
              </w:rPr>
              <w:t>Interest on available-for-sale investments</w:t>
            </w:r>
          </w:p>
        </w:tc>
        <w:tc>
          <w:tcPr>
            <w:tcW w:w="176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Interest on investments at amortized cost</w:t>
            </w:r>
          </w:p>
        </w:tc>
        <w:tc>
          <w:tcPr>
            <w:tcW w:w="14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51,531</w:t>
            </w:r>
          </w:p>
        </w:tc>
        <w:tc>
          <w:tcPr>
            <w:tcW w:w="2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50,848</w:t>
            </w:r>
          </w:p>
        </w:tc>
      </w:tr>
      <w:tr>
        <w:trPr>
          <w:trHeight w:val="197"/>
        </w:trPr>
        <w:tc>
          <w:tcPr>
            <w:tcW w:w="8440" w:type="dxa"/>
            <w:vAlign w:val="bottom"/>
          </w:tcPr>
          <w:p>
            <w:pPr>
              <w:spacing w:after="0"/>
              <w:rPr>
                <w:sz w:val="20"/>
                <w:szCs w:val="20"/>
                <w:color w:val="auto"/>
              </w:rPr>
            </w:pPr>
            <w:r>
              <w:rPr>
                <w:rFonts w:ascii="Arial" w:cs="Arial" w:eastAsia="Arial" w:hAnsi="Arial"/>
                <w:sz w:val="16"/>
                <w:szCs w:val="16"/>
                <w:color w:val="auto"/>
              </w:rPr>
              <w:t>Interest on held-to-maturity investments</w:t>
            </w:r>
          </w:p>
        </w:tc>
        <w:tc>
          <w:tcPr>
            <w:tcW w:w="176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19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Interest on due from banks</w:t>
            </w:r>
          </w:p>
        </w:tc>
        <w:tc>
          <w:tcPr>
            <w:tcW w:w="14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86,699</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49,113</w:t>
            </w:r>
          </w:p>
        </w:tc>
        <w:tc>
          <w:tcPr>
            <w:tcW w:w="80" w:type="dxa"/>
            <w:vAlign w:val="bottom"/>
            <w:shd w:val="clear" w:color="auto" w:fill="CCEEFF"/>
          </w:tcPr>
          <w:p>
            <w:pPr>
              <w:spacing w:after="0"/>
              <w:rPr>
                <w:sz w:val="17"/>
                <w:szCs w:val="17"/>
                <w:color w:val="auto"/>
              </w:rPr>
            </w:pPr>
          </w:p>
        </w:tc>
      </w:tr>
      <w:tr>
        <w:trPr>
          <w:trHeight w:val="197"/>
        </w:trPr>
        <w:tc>
          <w:tcPr>
            <w:tcW w:w="8440" w:type="dxa"/>
            <w:vAlign w:val="bottom"/>
          </w:tcPr>
          <w:p>
            <w:pPr>
              <w:spacing w:after="0"/>
              <w:rPr>
                <w:sz w:val="20"/>
                <w:szCs w:val="20"/>
                <w:color w:val="auto"/>
              </w:rPr>
            </w:pPr>
            <w:r>
              <w:rPr>
                <w:rFonts w:ascii="Arial" w:cs="Arial" w:eastAsia="Arial" w:hAnsi="Arial"/>
                <w:sz w:val="16"/>
                <w:szCs w:val="16"/>
                <w:color w:val="auto"/>
              </w:rPr>
              <w:t>Interest on investments at fair value through profit or loss</w:t>
            </w:r>
          </w:p>
        </w:tc>
        <w:tc>
          <w:tcPr>
            <w:tcW w:w="1480" w:type="dxa"/>
            <w:vAlign w:val="bottom"/>
            <w:gridSpan w:val="2"/>
          </w:tcPr>
          <w:p>
            <w:pPr>
              <w:jc w:val="right"/>
              <w:ind w:right="158"/>
              <w:spacing w:after="0"/>
              <w:rPr>
                <w:sz w:val="20"/>
                <w:szCs w:val="20"/>
                <w:color w:val="auto"/>
              </w:rPr>
            </w:pPr>
            <w:r>
              <w:rPr>
                <w:rFonts w:ascii="Arial" w:cs="Arial" w:eastAsia="Arial" w:hAnsi="Arial"/>
                <w:sz w:val="16"/>
                <w:szCs w:val="16"/>
                <w:color w:val="auto"/>
              </w:rPr>
              <w:t>11,654</w:t>
            </w:r>
          </w:p>
        </w:tc>
        <w:tc>
          <w:tcPr>
            <w:tcW w:w="28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10,697</w:t>
            </w:r>
          </w:p>
        </w:tc>
      </w:tr>
      <w:tr>
        <w:trPr>
          <w:trHeight w:val="19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Dividends received</w:t>
            </w:r>
          </w:p>
        </w:tc>
        <w:tc>
          <w:tcPr>
            <w:tcW w:w="148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9,667</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7,879</w:t>
            </w:r>
          </w:p>
        </w:tc>
        <w:tc>
          <w:tcPr>
            <w:tcW w:w="80" w:type="dxa"/>
            <w:vAlign w:val="bottom"/>
            <w:shd w:val="clear" w:color="auto" w:fill="CCEEFF"/>
          </w:tcPr>
          <w:p>
            <w:pPr>
              <w:spacing w:after="0"/>
              <w:rPr>
                <w:sz w:val="17"/>
                <w:szCs w:val="17"/>
                <w:color w:val="auto"/>
              </w:rPr>
            </w:pPr>
          </w:p>
        </w:tc>
      </w:tr>
      <w:tr>
        <w:trPr>
          <w:trHeight w:val="208"/>
        </w:trPr>
        <w:tc>
          <w:tcPr>
            <w:tcW w:w="8440" w:type="dxa"/>
            <w:vAlign w:val="bottom"/>
          </w:tcPr>
          <w:p>
            <w:pPr>
              <w:spacing w:after="0"/>
              <w:rPr>
                <w:sz w:val="20"/>
                <w:szCs w:val="20"/>
                <w:color w:val="auto"/>
              </w:rPr>
            </w:pPr>
            <w:r>
              <w:rPr>
                <w:rFonts w:ascii="Arial" w:cs="Arial" w:eastAsia="Arial" w:hAnsi="Arial"/>
                <w:sz w:val="16"/>
                <w:szCs w:val="16"/>
                <w:color w:val="auto"/>
              </w:rPr>
              <w:t>Other interest and similar income</w:t>
            </w:r>
          </w:p>
        </w:tc>
        <w:tc>
          <w:tcPr>
            <w:tcW w:w="1480" w:type="dxa"/>
            <w:vAlign w:val="bottom"/>
            <w:gridSpan w:val="2"/>
          </w:tcPr>
          <w:p>
            <w:pPr>
              <w:jc w:val="right"/>
              <w:ind w:right="138"/>
              <w:spacing w:after="0"/>
              <w:rPr>
                <w:sz w:val="20"/>
                <w:szCs w:val="20"/>
                <w:color w:val="auto"/>
              </w:rPr>
            </w:pPr>
            <w:r>
              <w:rPr>
                <w:rFonts w:ascii="Arial" w:cs="Arial" w:eastAsia="Arial" w:hAnsi="Arial"/>
                <w:sz w:val="16"/>
                <w:szCs w:val="16"/>
                <w:color w:val="auto"/>
              </w:rPr>
              <w:t>10,234</w:t>
            </w:r>
          </w:p>
        </w:tc>
        <w:tc>
          <w:tcPr>
            <w:tcW w:w="2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13,532</w:t>
            </w:r>
          </w:p>
        </w:tc>
      </w:tr>
      <w:tr>
        <w:trPr>
          <w:trHeight w:val="189"/>
        </w:trPr>
        <w:tc>
          <w:tcPr>
            <w:tcW w:w="84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interest income</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3,001,674</w:t>
            </w:r>
          </w:p>
        </w:tc>
        <w:tc>
          <w:tcPr>
            <w:tcW w:w="2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3,163,609</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89"/>
        </w:trPr>
        <w:tc>
          <w:tcPr>
            <w:tcW w:w="8440" w:type="dxa"/>
            <w:vAlign w:val="bottom"/>
          </w:tcPr>
          <w:p>
            <w:pPr>
              <w:spacing w:after="0"/>
              <w:rPr>
                <w:sz w:val="20"/>
                <w:szCs w:val="20"/>
                <w:color w:val="auto"/>
              </w:rPr>
            </w:pPr>
            <w:r>
              <w:rPr>
                <w:rFonts w:ascii="Arial" w:cs="Arial" w:eastAsia="Arial" w:hAnsi="Arial"/>
                <w:sz w:val="16"/>
                <w:szCs w:val="16"/>
                <w:b w:val="1"/>
                <w:bCs w:val="1"/>
                <w:color w:val="auto"/>
              </w:rPr>
              <w:t>Interest and similar expenses:</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Interest on deposits and obligations</w:t>
            </w:r>
          </w:p>
        </w:tc>
        <w:tc>
          <w:tcPr>
            <w:tcW w:w="148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(353,834)</w:t>
            </w:r>
          </w:p>
        </w:tc>
        <w:tc>
          <w:tcPr>
            <w:tcW w:w="2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(364,107)</w:t>
            </w:r>
          </w:p>
        </w:tc>
      </w:tr>
      <w:tr>
        <w:trPr>
          <w:trHeight w:val="197"/>
        </w:trPr>
        <w:tc>
          <w:tcPr>
            <w:tcW w:w="8440" w:type="dxa"/>
            <w:vAlign w:val="bottom"/>
          </w:tcPr>
          <w:p>
            <w:pPr>
              <w:spacing w:after="0"/>
              <w:rPr>
                <w:sz w:val="20"/>
                <w:szCs w:val="20"/>
                <w:color w:val="auto"/>
              </w:rPr>
            </w:pPr>
            <w:r>
              <w:rPr>
                <w:rFonts w:ascii="Arial" w:cs="Arial" w:eastAsia="Arial" w:hAnsi="Arial"/>
                <w:sz w:val="16"/>
                <w:szCs w:val="16"/>
                <w:color w:val="auto"/>
              </w:rPr>
              <w:t>Interest on bonds and notes issued</w:t>
            </w:r>
          </w:p>
        </w:tc>
        <w:tc>
          <w:tcPr>
            <w:tcW w:w="1480" w:type="dxa"/>
            <w:vAlign w:val="bottom"/>
            <w:gridSpan w:val="2"/>
          </w:tcPr>
          <w:p>
            <w:pPr>
              <w:jc w:val="right"/>
              <w:ind w:right="98"/>
              <w:spacing w:after="0"/>
              <w:rPr>
                <w:sz w:val="20"/>
                <w:szCs w:val="20"/>
                <w:color w:val="auto"/>
              </w:rPr>
            </w:pPr>
            <w:r>
              <w:rPr>
                <w:rFonts w:ascii="Arial" w:cs="Arial" w:eastAsia="Arial" w:hAnsi="Arial"/>
                <w:sz w:val="16"/>
                <w:szCs w:val="16"/>
                <w:color w:val="auto"/>
              </w:rPr>
              <w:t>(226,498)</w:t>
            </w:r>
          </w:p>
        </w:tc>
        <w:tc>
          <w:tcPr>
            <w:tcW w:w="280" w:type="dxa"/>
            <w:vAlign w:val="bottom"/>
          </w:tcPr>
          <w:p>
            <w:pPr>
              <w:spacing w:after="0"/>
              <w:rPr>
                <w:sz w:val="17"/>
                <w:szCs w:val="17"/>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(198,114)</w:t>
            </w:r>
          </w:p>
        </w:tc>
      </w:tr>
      <w:tr>
        <w:trPr>
          <w:trHeight w:val="19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Interest on due to banks and correspondents</w:t>
            </w:r>
          </w:p>
        </w:tc>
        <w:tc>
          <w:tcPr>
            <w:tcW w:w="148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(145,303)</w:t>
            </w:r>
          </w:p>
        </w:tc>
        <w:tc>
          <w:tcPr>
            <w:tcW w:w="2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(137,126)</w:t>
            </w:r>
          </w:p>
        </w:tc>
      </w:tr>
      <w:tr>
        <w:trPr>
          <w:trHeight w:val="197"/>
        </w:trPr>
        <w:tc>
          <w:tcPr>
            <w:tcW w:w="8440" w:type="dxa"/>
            <w:vAlign w:val="bottom"/>
          </w:tcPr>
          <w:p>
            <w:pPr>
              <w:spacing w:after="0"/>
              <w:rPr>
                <w:sz w:val="20"/>
                <w:szCs w:val="20"/>
                <w:color w:val="auto"/>
              </w:rPr>
            </w:pPr>
            <w:r>
              <w:rPr>
                <w:rFonts w:ascii="Arial" w:cs="Arial" w:eastAsia="Arial" w:hAnsi="Arial"/>
                <w:sz w:val="16"/>
                <w:szCs w:val="16"/>
                <w:color w:val="auto"/>
              </w:rPr>
              <w:t>Deposit Insurance Fund</w:t>
            </w:r>
          </w:p>
        </w:tc>
        <w:tc>
          <w:tcPr>
            <w:tcW w:w="1480" w:type="dxa"/>
            <w:vAlign w:val="bottom"/>
            <w:gridSpan w:val="2"/>
          </w:tcPr>
          <w:p>
            <w:pPr>
              <w:jc w:val="right"/>
              <w:ind w:right="98"/>
              <w:spacing w:after="0"/>
              <w:rPr>
                <w:sz w:val="20"/>
                <w:szCs w:val="20"/>
                <w:color w:val="auto"/>
              </w:rPr>
            </w:pPr>
            <w:r>
              <w:rPr>
                <w:rFonts w:ascii="Arial" w:cs="Arial" w:eastAsia="Arial" w:hAnsi="Arial"/>
                <w:sz w:val="16"/>
                <w:szCs w:val="16"/>
                <w:color w:val="auto"/>
              </w:rPr>
              <w:t>(36,857)</w:t>
            </w:r>
          </w:p>
        </w:tc>
        <w:tc>
          <w:tcPr>
            <w:tcW w:w="280" w:type="dxa"/>
            <w:vAlign w:val="bottom"/>
          </w:tcPr>
          <w:p>
            <w:pPr>
              <w:spacing w:after="0"/>
              <w:rPr>
                <w:sz w:val="17"/>
                <w:szCs w:val="17"/>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(40,030)</w:t>
            </w:r>
          </w:p>
        </w:tc>
      </w:tr>
      <w:tr>
        <w:trPr>
          <w:trHeight w:val="19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Interest on lease liabilities</w:t>
            </w:r>
          </w:p>
        </w:tc>
        <w:tc>
          <w:tcPr>
            <w:tcW w:w="148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(5,985)</w:t>
            </w:r>
          </w:p>
        </w:tc>
        <w:tc>
          <w:tcPr>
            <w:tcW w:w="2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(7,803)</w:t>
            </w:r>
          </w:p>
        </w:tc>
      </w:tr>
      <w:tr>
        <w:trPr>
          <w:trHeight w:val="208"/>
        </w:trPr>
        <w:tc>
          <w:tcPr>
            <w:tcW w:w="8440" w:type="dxa"/>
            <w:vAlign w:val="bottom"/>
          </w:tcPr>
          <w:p>
            <w:pPr>
              <w:spacing w:after="0"/>
              <w:rPr>
                <w:sz w:val="20"/>
                <w:szCs w:val="20"/>
                <w:color w:val="auto"/>
              </w:rPr>
            </w:pPr>
            <w:r>
              <w:rPr>
                <w:rFonts w:ascii="Arial" w:cs="Arial" w:eastAsia="Arial" w:hAnsi="Arial"/>
                <w:sz w:val="16"/>
                <w:szCs w:val="16"/>
                <w:color w:val="auto"/>
              </w:rPr>
              <w:t>Other interest expenses and similar expense</w:t>
            </w:r>
          </w:p>
        </w:tc>
        <w:tc>
          <w:tcPr>
            <w:tcW w:w="1480" w:type="dxa"/>
            <w:vAlign w:val="bottom"/>
            <w:gridSpan w:val="2"/>
          </w:tcPr>
          <w:p>
            <w:pPr>
              <w:jc w:val="right"/>
              <w:ind w:right="98"/>
              <w:spacing w:after="0"/>
              <w:rPr>
                <w:sz w:val="20"/>
                <w:szCs w:val="20"/>
                <w:color w:val="auto"/>
              </w:rPr>
            </w:pPr>
            <w:r>
              <w:rPr>
                <w:rFonts w:ascii="Arial" w:cs="Arial" w:eastAsia="Arial" w:hAnsi="Arial"/>
                <w:sz w:val="16"/>
                <w:szCs w:val="16"/>
                <w:color w:val="auto"/>
              </w:rPr>
              <w:t>(36,029)</w:t>
            </w:r>
          </w:p>
        </w:tc>
        <w:tc>
          <w:tcPr>
            <w:tcW w:w="2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(37,129)</w:t>
            </w:r>
          </w:p>
        </w:tc>
      </w:tr>
      <w:tr>
        <w:trPr>
          <w:trHeight w:val="189"/>
        </w:trPr>
        <w:tc>
          <w:tcPr>
            <w:tcW w:w="84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interest expense</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(804,506</w:t>
            </w:r>
          </w:p>
        </w:tc>
        <w:tc>
          <w:tcPr>
            <w:tcW w:w="24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(784,309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1"/>
        </w:trPr>
        <w:tc>
          <w:tcPr>
            <w:tcW w:w="8440" w:type="dxa"/>
            <w:vAlign w:val="bottom"/>
          </w:tcPr>
          <w:p>
            <w:pPr>
              <w:spacing w:after="0"/>
              <w:rPr>
                <w:sz w:val="20"/>
                <w:szCs w:val="20"/>
                <w:color w:val="auto"/>
              </w:rPr>
            </w:pPr>
            <w:r>
              <w:rPr>
                <w:rFonts w:ascii="Arial" w:cs="Arial" w:eastAsia="Arial" w:hAnsi="Arial"/>
                <w:sz w:val="16"/>
                <w:szCs w:val="16"/>
                <w:b w:val="1"/>
                <w:bCs w:val="1"/>
                <w:color w:val="auto"/>
              </w:rPr>
              <w:t>Net interest income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2,197,168</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2,379,300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8625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01" w:lineRule="exact"/>
        <w:rPr>
          <w:sz w:val="20"/>
          <w:szCs w:val="20"/>
          <w:color w:val="auto"/>
        </w:rPr>
      </w:pPr>
    </w:p>
    <w:p>
      <w:pPr>
        <w:ind w:left="302" w:hanging="302"/>
        <w:spacing w:after="0"/>
        <w:tabs>
          <w:tab w:leader="none" w:pos="30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Bancompartir is consolidated within the Microfinance line of business as of the three months ended March 31, 2020.</w:t>
      </w:r>
    </w:p>
    <w:p>
      <w:pPr>
        <w:spacing w:after="0" w:line="209" w:lineRule="exact"/>
        <w:rPr>
          <w:rFonts w:ascii="Arial" w:cs="Arial" w:eastAsia="Arial" w:hAnsi="Arial"/>
          <w:sz w:val="16"/>
          <w:szCs w:val="16"/>
          <w:color w:val="auto"/>
        </w:rPr>
      </w:pPr>
    </w:p>
    <w:p>
      <w:pPr>
        <w:ind w:left="302"/>
        <w:spacing w:after="0"/>
        <w:rPr>
          <w:rFonts w:ascii="Arial" w:cs="Arial" w:eastAsia="Arial" w:hAnsi="Arial"/>
          <w:sz w:val="16"/>
          <w:szCs w:val="16"/>
          <w:color w:val="auto"/>
        </w:rPr>
      </w:pPr>
      <w:r>
        <w:rPr>
          <w:rFonts w:ascii="Arial" w:cs="Arial" w:eastAsia="Arial" w:hAnsi="Arial"/>
          <w:sz w:val="16"/>
          <w:szCs w:val="16"/>
          <w:color w:val="auto"/>
        </w:rPr>
        <w:t>Net interest income increased 8.29% in the three months ended March 31, 2020 compared to the three months ended March 31, 2019.</w:t>
      </w:r>
    </w:p>
    <w:p>
      <w:pPr>
        <w:spacing w:after="0" w:line="209" w:lineRule="exact"/>
        <w:rPr>
          <w:sz w:val="20"/>
          <w:szCs w:val="20"/>
          <w:color w:val="auto"/>
        </w:rPr>
      </w:pPr>
    </w:p>
    <w:p>
      <w:pPr>
        <w:ind w:left="2" w:right="40" w:firstLine="295"/>
        <w:spacing w:after="0" w:line="264" w:lineRule="auto"/>
        <w:rPr>
          <w:sz w:val="20"/>
          <w:szCs w:val="20"/>
          <w:color w:val="auto"/>
        </w:rPr>
      </w:pPr>
      <w:r>
        <w:rPr>
          <w:rFonts w:ascii="Arial" w:cs="Arial" w:eastAsia="Arial" w:hAnsi="Arial"/>
          <w:sz w:val="16"/>
          <w:szCs w:val="16"/>
          <w:color w:val="auto"/>
        </w:rPr>
        <w:t>Interest and similar income increased 5.39% in the three months ended March 31, 2020 compared to the three months ended March 31, 2019. The increase in the three months ended March 31, 2020 was mainly due to an increase of 8.1% in income for interest on loans. This expansion was attributable to (i) volume, due to an acceleration in the growth of average daily balances in all segments with the exception of Atlantic Security Bank, (ii) the mix by segment, given that retail banking represented 40.8% of total loans compared to 39.8% in the three months ended March 31, 2019, and (iii) the currency mix, given that growth in average daily balances was primarily attributable to loan expansion of +10.7% in the LC portfolio.</w:t>
      </w:r>
    </w:p>
    <w:p>
      <w:pPr>
        <w:spacing w:after="0" w:line="167" w:lineRule="exact"/>
        <w:rPr>
          <w:sz w:val="20"/>
          <w:szCs w:val="20"/>
          <w:color w:val="auto"/>
        </w:rPr>
      </w:pPr>
    </w:p>
    <w:p>
      <w:pPr>
        <w:ind w:left="2" w:right="40" w:firstLine="295"/>
        <w:spacing w:after="0" w:line="285" w:lineRule="auto"/>
        <w:rPr>
          <w:sz w:val="20"/>
          <w:szCs w:val="20"/>
          <w:color w:val="auto"/>
        </w:rPr>
      </w:pPr>
      <w:r>
        <w:rPr>
          <w:rFonts w:ascii="Arial" w:cs="Arial" w:eastAsia="Arial" w:hAnsi="Arial"/>
          <w:sz w:val="15"/>
          <w:szCs w:val="15"/>
          <w:color w:val="auto"/>
        </w:rPr>
        <w:t>Interest and similar expense decreased in the three months ended March 31, 2020 by 2.5% to S/784 million compared to an interest expense in the three months ended March 31, 2019 of S/804 million. This was driven by (i) a decrease of 12.5% in interest on bonds and notes issued, as a result of the debt restructuring strategy at BCP Stand-alone, which included liability management transactions in relation to two corporate bonds and the redemption of perpetual subordinated debt; and (ii) a decrease of 5.6% on due to banks and correspondents after rates fell in the international market. This was partially offset by an increase in interest on deposits and obligations, in line with the growth in total deposits mainly driven by an increase in the volume of time deposits.</w:t>
      </w:r>
    </w:p>
    <w:p>
      <w:pPr>
        <w:spacing w:after="0" w:line="155"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844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Provision for Loan Losses</w:t>
            </w:r>
          </w:p>
        </w:tc>
        <w:tc>
          <w:tcPr>
            <w:tcW w:w="1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3"/>
        </w:trPr>
        <w:tc>
          <w:tcPr>
            <w:tcW w:w="8440" w:type="dxa"/>
            <w:vAlign w:val="bottom"/>
          </w:tcPr>
          <w:p>
            <w:pPr>
              <w:ind w:left="300"/>
              <w:spacing w:after="0"/>
              <w:rPr>
                <w:sz w:val="20"/>
                <w:szCs w:val="20"/>
                <w:color w:val="auto"/>
              </w:rPr>
            </w:pPr>
            <w:r>
              <w:rPr>
                <w:rFonts w:ascii="Arial" w:cs="Arial" w:eastAsia="Arial" w:hAnsi="Arial"/>
                <w:sz w:val="16"/>
                <w:szCs w:val="16"/>
                <w:color w:val="auto"/>
              </w:rPr>
              <w:t>The following tables set forth the changes in our allowance for loan losses:</w:t>
            </w:r>
          </w:p>
        </w:tc>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8440" w:type="dxa"/>
            <w:vAlign w:val="bottom"/>
          </w:tcPr>
          <w:p>
            <w:pPr>
              <w:spacing w:after="0"/>
              <w:rPr>
                <w:sz w:val="24"/>
                <w:szCs w:val="24"/>
                <w:color w:val="auto"/>
              </w:rPr>
            </w:pPr>
          </w:p>
        </w:tc>
        <w:tc>
          <w:tcPr>
            <w:tcW w:w="2800" w:type="dxa"/>
            <w:vAlign w:val="bottom"/>
            <w:gridSpan w:val="3"/>
          </w:tcPr>
          <w:p>
            <w:pPr>
              <w:jc w:val="right"/>
              <w:ind w:right="720"/>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844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440" w:type="dxa"/>
            <w:vAlign w:val="bottom"/>
          </w:tcPr>
          <w:p>
            <w:pPr>
              <w:spacing w:after="0"/>
              <w:rPr>
                <w:sz w:val="17"/>
                <w:szCs w:val="17"/>
                <w:color w:val="auto"/>
              </w:rPr>
            </w:pPr>
          </w:p>
        </w:tc>
        <w:tc>
          <w:tcPr>
            <w:tcW w:w="1760" w:type="dxa"/>
            <w:vAlign w:val="bottom"/>
            <w:tcBorders>
              <w:bottom w:val="single" w:sz="8" w:color="auto"/>
            </w:tcBorders>
          </w:tcPr>
          <w:p>
            <w:pPr>
              <w:jc w:val="right"/>
              <w:ind w:right="878"/>
              <w:spacing w:after="0"/>
              <w:rPr>
                <w:sz w:val="20"/>
                <w:szCs w:val="20"/>
                <w:color w:val="auto"/>
              </w:rPr>
            </w:pPr>
            <w:r>
              <w:rPr>
                <w:rFonts w:ascii="Arial" w:cs="Arial" w:eastAsia="Arial" w:hAnsi="Arial"/>
                <w:sz w:val="16"/>
                <w:szCs w:val="16"/>
                <w:b w:val="1"/>
                <w:bCs w:val="1"/>
                <w:color w:val="auto"/>
              </w:rPr>
              <w:t>2019</w:t>
            </w:r>
          </w:p>
        </w:tc>
        <w:tc>
          <w:tcPr>
            <w:tcW w:w="94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2020(1)</w:t>
            </w:r>
          </w:p>
        </w:tc>
        <w:tc>
          <w:tcPr>
            <w:tcW w:w="100" w:type="dxa"/>
            <w:vAlign w:val="bottom"/>
          </w:tcPr>
          <w:p>
            <w:pPr>
              <w:spacing w:after="0"/>
              <w:rPr>
                <w:sz w:val="17"/>
                <w:szCs w:val="17"/>
                <w:color w:val="auto"/>
              </w:rPr>
            </w:pPr>
          </w:p>
        </w:tc>
      </w:tr>
      <w:tr>
        <w:trPr>
          <w:trHeight w:val="189"/>
        </w:trPr>
        <w:tc>
          <w:tcPr>
            <w:tcW w:w="8440" w:type="dxa"/>
            <w:vAlign w:val="bottom"/>
          </w:tcPr>
          <w:p>
            <w:pPr>
              <w:spacing w:after="0"/>
              <w:rPr>
                <w:sz w:val="16"/>
                <w:szCs w:val="16"/>
                <w:color w:val="auto"/>
              </w:rPr>
            </w:pPr>
          </w:p>
        </w:tc>
        <w:tc>
          <w:tcPr>
            <w:tcW w:w="2700" w:type="dxa"/>
            <w:vAlign w:val="bottom"/>
            <w:gridSpan w:val="2"/>
          </w:tcPr>
          <w:p>
            <w:pPr>
              <w:jc w:val="right"/>
              <w:ind w:right="478"/>
              <w:spacing w:after="0"/>
              <w:rPr>
                <w:sz w:val="20"/>
                <w:szCs w:val="20"/>
                <w:color w:val="auto"/>
              </w:rPr>
            </w:pPr>
            <w:r>
              <w:rPr>
                <w:rFonts w:ascii="Arial" w:cs="Arial" w:eastAsia="Arial" w:hAnsi="Arial"/>
                <w:sz w:val="16"/>
                <w:szCs w:val="16"/>
                <w:b w:val="1"/>
                <w:bCs w:val="1"/>
                <w:color w:val="auto"/>
              </w:rPr>
              <w:t>(in thousands of Soles)</w:t>
            </w:r>
          </w:p>
        </w:tc>
        <w:tc>
          <w:tcPr>
            <w:tcW w:w="100" w:type="dxa"/>
            <w:vAlign w:val="bottom"/>
          </w:tcPr>
          <w:p>
            <w:pPr>
              <w:spacing w:after="0"/>
              <w:rPr>
                <w:sz w:val="16"/>
                <w:szCs w:val="16"/>
                <w:color w:val="auto"/>
              </w:rPr>
            </w:pPr>
          </w:p>
        </w:tc>
      </w:tr>
      <w:tr>
        <w:trPr>
          <w:trHeight w:val="19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Provision for credit losses on loan portfolio</w:t>
            </w:r>
          </w:p>
        </w:tc>
        <w:tc>
          <w:tcPr>
            <w:tcW w:w="1760" w:type="dxa"/>
            <w:vAlign w:val="bottom"/>
            <w:shd w:val="clear" w:color="auto" w:fill="CCEEFF"/>
          </w:tcPr>
          <w:p>
            <w:pPr>
              <w:jc w:val="right"/>
              <w:ind w:right="378"/>
              <w:spacing w:after="0"/>
              <w:rPr>
                <w:sz w:val="20"/>
                <w:szCs w:val="20"/>
                <w:color w:val="auto"/>
              </w:rPr>
            </w:pPr>
            <w:r>
              <w:rPr>
                <w:rFonts w:ascii="Arial" w:cs="Arial" w:eastAsia="Arial" w:hAnsi="Arial"/>
                <w:sz w:val="16"/>
                <w:szCs w:val="16"/>
                <w:color w:val="auto"/>
              </w:rPr>
              <w:t>(453,285)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(1,388,711)</w:t>
            </w:r>
          </w:p>
        </w:tc>
      </w:tr>
      <w:tr>
        <w:trPr>
          <w:trHeight w:val="197"/>
        </w:trPr>
        <w:tc>
          <w:tcPr>
            <w:tcW w:w="8440" w:type="dxa"/>
            <w:vAlign w:val="bottom"/>
          </w:tcPr>
          <w:p>
            <w:pPr>
              <w:spacing w:after="0"/>
              <w:rPr>
                <w:sz w:val="20"/>
                <w:szCs w:val="20"/>
                <w:color w:val="auto"/>
              </w:rPr>
            </w:pPr>
            <w:r>
              <w:rPr>
                <w:rFonts w:ascii="Arial" w:cs="Arial" w:eastAsia="Arial" w:hAnsi="Arial"/>
                <w:sz w:val="16"/>
                <w:szCs w:val="16"/>
                <w:color w:val="auto"/>
              </w:rPr>
              <w:t>Recoveries of written-off loans</w:t>
            </w:r>
          </w:p>
        </w:tc>
        <w:tc>
          <w:tcPr>
            <w:tcW w:w="1760" w:type="dxa"/>
            <w:vAlign w:val="bottom"/>
          </w:tcPr>
          <w:p>
            <w:pPr>
              <w:jc w:val="right"/>
              <w:ind w:right="418"/>
              <w:spacing w:after="0"/>
              <w:rPr>
                <w:sz w:val="20"/>
                <w:szCs w:val="20"/>
                <w:color w:val="auto"/>
              </w:rPr>
            </w:pPr>
            <w:r>
              <w:rPr>
                <w:rFonts w:ascii="Arial" w:cs="Arial" w:eastAsia="Arial" w:hAnsi="Arial"/>
                <w:sz w:val="16"/>
                <w:szCs w:val="16"/>
                <w:color w:val="auto"/>
              </w:rPr>
              <w:t>70,074</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47,230</w:t>
            </w:r>
          </w:p>
        </w:tc>
      </w:tr>
      <w:tr>
        <w:trPr>
          <w:trHeight w:val="19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Provision for credit losses on loan portfolio, net of recoveries</w:t>
            </w:r>
          </w:p>
        </w:tc>
        <w:tc>
          <w:tcPr>
            <w:tcW w:w="1760" w:type="dxa"/>
            <w:vAlign w:val="bottom"/>
            <w:shd w:val="clear" w:color="auto" w:fill="CCEEFF"/>
          </w:tcPr>
          <w:p>
            <w:pPr>
              <w:jc w:val="right"/>
              <w:ind w:right="378"/>
              <w:spacing w:after="0"/>
              <w:rPr>
                <w:sz w:val="20"/>
                <w:szCs w:val="20"/>
                <w:color w:val="auto"/>
              </w:rPr>
            </w:pPr>
            <w:r>
              <w:rPr>
                <w:rFonts w:ascii="Arial" w:cs="Arial" w:eastAsia="Arial" w:hAnsi="Arial"/>
                <w:sz w:val="16"/>
                <w:szCs w:val="16"/>
                <w:color w:val="auto"/>
              </w:rPr>
              <w:t>(383,211)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(1,341,481)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8625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13" w:lineRule="exact"/>
        <w:rPr>
          <w:sz w:val="20"/>
          <w:szCs w:val="20"/>
          <w:color w:val="auto"/>
        </w:rPr>
      </w:pPr>
    </w:p>
    <w:p>
      <w:pPr>
        <w:ind w:left="2"/>
        <w:spacing w:after="0"/>
        <w:rPr>
          <w:sz w:val="20"/>
          <w:szCs w:val="20"/>
          <w:color w:val="auto"/>
        </w:rPr>
      </w:pPr>
      <w:r>
        <w:rPr>
          <w:rFonts w:ascii="Arial" w:cs="Arial" w:eastAsia="Arial" w:hAnsi="Arial"/>
          <w:sz w:val="16"/>
          <w:szCs w:val="16"/>
          <w:color w:val="auto"/>
        </w:rPr>
        <w:t>(1)  Bancompartir is consolidated within the Microfinance line of business as of the three months ended March 31, 2020.</w:t>
      </w:r>
    </w:p>
    <w:p>
      <w:pPr>
        <w:spacing w:after="0" w:line="209" w:lineRule="exact"/>
        <w:rPr>
          <w:sz w:val="20"/>
          <w:szCs w:val="20"/>
          <w:color w:val="auto"/>
        </w:rPr>
      </w:pPr>
    </w:p>
    <w:p>
      <w:pPr>
        <w:ind w:left="2" w:right="240" w:firstLine="295"/>
        <w:spacing w:after="0" w:line="264" w:lineRule="auto"/>
        <w:rPr>
          <w:sz w:val="20"/>
          <w:szCs w:val="20"/>
          <w:color w:val="auto"/>
        </w:rPr>
      </w:pPr>
      <w:r>
        <w:rPr>
          <w:rFonts w:ascii="Arial" w:cs="Arial" w:eastAsia="Arial" w:hAnsi="Arial"/>
          <w:sz w:val="16"/>
          <w:szCs w:val="16"/>
          <w:color w:val="auto"/>
        </w:rPr>
        <w:t>Provision for credit losses on our loan portfolio, net of recoveries increased by 250.06% in the three months ended March 31, 2020 to S/1,341 million, compared to S/383 million in the three months ended March 31, 2019. The increase reflects the higher provisions in line with expectations of a recession in Peru and the region, and with the reduction in the debt service capacity of some clients due to COVID-19. This was mainly due to the increase of provisions at BCP Stand-alone, primarily attributable to deterioration in the SME-Pyme segment, and in non-revolving loans in particular, and to a lesser extent, to the deterioration of the credit card segment, which reflected excess indebtedness in the financial system.</w:t>
      </w:r>
    </w:p>
    <w:p>
      <w:pPr>
        <w:spacing w:after="0" w:line="36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23" w:right="339" w:bottom="1440" w:gutter="0" w:footer="0" w:header="0"/>
        </w:sectPr>
      </w:pPr>
    </w:p>
    <w:bookmarkStart w:id="128" w:name="page129"/>
    <w:bookmarkEnd w:id="128"/>
    <w:p>
      <w:pPr>
        <w:ind w:right="380" w:firstLine="295"/>
        <w:spacing w:after="0" w:line="287" w:lineRule="auto"/>
        <w:rPr>
          <w:sz w:val="20"/>
          <w:szCs w:val="20"/>
          <w:color w:val="auto"/>
        </w:rPr>
      </w:pPr>
      <w:r>
        <w:rPr>
          <w:rFonts w:ascii="Arial" w:cs="Arial" w:eastAsia="Arial" w:hAnsi="Arial"/>
          <w:sz w:val="16"/>
          <w:szCs w:val="16"/>
          <w:color w:val="auto"/>
        </w:rPr>
        <w:t>Total recoveries of written-off loans reached S/70 million in the three months ended March 31, 2020 and S/47 million in the three months ended March 31, 2019, constituting a 32.6% decrease in the three months ended March 31,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4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Non-Interest Income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8440" w:type="dxa"/>
            <w:vAlign w:val="bottom"/>
          </w:tcPr>
          <w:p>
            <w:pPr>
              <w:ind w:left="300"/>
              <w:spacing w:after="0"/>
              <w:rPr>
                <w:sz w:val="20"/>
                <w:szCs w:val="20"/>
                <w:color w:val="auto"/>
              </w:rPr>
            </w:pPr>
            <w:r>
              <w:rPr>
                <w:rFonts w:ascii="Arial" w:cs="Arial" w:eastAsia="Arial" w:hAnsi="Arial"/>
                <w:sz w:val="16"/>
                <w:szCs w:val="16"/>
                <w:color w:val="auto"/>
              </w:rPr>
              <w:t>The following table reflects the components of our non-interest income:</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8440" w:type="dxa"/>
            <w:vAlign w:val="bottom"/>
          </w:tcPr>
          <w:p>
            <w:pPr>
              <w:spacing w:after="0"/>
              <w:rPr>
                <w:sz w:val="24"/>
                <w:szCs w:val="24"/>
                <w:color w:val="auto"/>
              </w:rPr>
            </w:pPr>
          </w:p>
        </w:tc>
        <w:tc>
          <w:tcPr>
            <w:tcW w:w="2800" w:type="dxa"/>
            <w:vAlign w:val="bottom"/>
            <w:gridSpan w:val="4"/>
          </w:tcPr>
          <w:p>
            <w:pPr>
              <w:jc w:val="right"/>
              <w:ind w:right="32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189"/>
        </w:trPr>
        <w:tc>
          <w:tcPr>
            <w:tcW w:w="844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2020(1)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40" w:type="dxa"/>
            <w:vAlign w:val="bottom"/>
          </w:tcPr>
          <w:p>
            <w:pPr>
              <w:spacing w:after="0"/>
              <w:rPr>
                <w:sz w:val="16"/>
                <w:szCs w:val="16"/>
                <w:color w:val="auto"/>
              </w:rPr>
            </w:pPr>
          </w:p>
        </w:tc>
        <w:tc>
          <w:tcPr>
            <w:tcW w:w="2700" w:type="dxa"/>
            <w:vAlign w:val="bottom"/>
            <w:gridSpan w:val="3"/>
          </w:tcPr>
          <w:p>
            <w:pPr>
              <w:jc w:val="right"/>
              <w:ind w:right="418"/>
              <w:spacing w:after="0"/>
              <w:rPr>
                <w:sz w:val="20"/>
                <w:szCs w:val="20"/>
                <w:color w:val="auto"/>
              </w:rPr>
            </w:pPr>
            <w:r>
              <w:rPr>
                <w:rFonts w:ascii="Arial" w:cs="Arial" w:eastAsia="Arial" w:hAnsi="Arial"/>
                <w:sz w:val="16"/>
                <w:szCs w:val="16"/>
                <w:b w:val="1"/>
                <w:bCs w:val="1"/>
                <w:color w:val="auto"/>
              </w:rPr>
              <w:t>(in thousands of Soles)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Commissions and fees</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782,922</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760,329</w:t>
            </w:r>
          </w:p>
        </w:tc>
        <w:tc>
          <w:tcPr>
            <w:tcW w:w="0" w:type="dxa"/>
            <w:vAlign w:val="bottom"/>
          </w:tcPr>
          <w:p>
            <w:pPr>
              <w:spacing w:after="0"/>
              <w:rPr>
                <w:sz w:val="1"/>
                <w:szCs w:val="1"/>
                <w:color w:val="auto"/>
              </w:rPr>
            </w:pPr>
          </w:p>
        </w:tc>
      </w:tr>
      <w:tr>
        <w:trPr>
          <w:trHeight w:val="197"/>
        </w:trPr>
        <w:tc>
          <w:tcPr>
            <w:tcW w:w="8440" w:type="dxa"/>
            <w:vAlign w:val="bottom"/>
          </w:tcPr>
          <w:p>
            <w:pPr>
              <w:spacing w:after="0"/>
              <w:rPr>
                <w:sz w:val="20"/>
                <w:szCs w:val="20"/>
                <w:color w:val="auto"/>
              </w:rPr>
            </w:pPr>
            <w:r>
              <w:rPr>
                <w:rFonts w:ascii="Arial" w:cs="Arial" w:eastAsia="Arial" w:hAnsi="Arial"/>
                <w:sz w:val="16"/>
                <w:szCs w:val="16"/>
                <w:color w:val="auto"/>
              </w:rPr>
              <w:t>Net gain on foreign exchange transactions</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178,423</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166,983</w:t>
            </w: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Net gains on securities</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128,331</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(101,408)</w:t>
            </w:r>
          </w:p>
        </w:tc>
        <w:tc>
          <w:tcPr>
            <w:tcW w:w="0" w:type="dxa"/>
            <w:vAlign w:val="bottom"/>
          </w:tcPr>
          <w:p>
            <w:pPr>
              <w:spacing w:after="0"/>
              <w:rPr>
                <w:sz w:val="1"/>
                <w:szCs w:val="1"/>
                <w:color w:val="auto"/>
              </w:rPr>
            </w:pPr>
          </w:p>
        </w:tc>
      </w:tr>
      <w:tr>
        <w:trPr>
          <w:trHeight w:val="197"/>
        </w:trPr>
        <w:tc>
          <w:tcPr>
            <w:tcW w:w="8440" w:type="dxa"/>
            <w:vAlign w:val="bottom"/>
          </w:tcPr>
          <w:p>
            <w:pPr>
              <w:spacing w:after="0"/>
              <w:rPr>
                <w:sz w:val="20"/>
                <w:szCs w:val="20"/>
                <w:color w:val="auto"/>
              </w:rPr>
            </w:pPr>
            <w:r>
              <w:rPr>
                <w:rFonts w:ascii="Arial" w:cs="Arial" w:eastAsia="Arial" w:hAnsi="Arial"/>
                <w:sz w:val="16"/>
                <w:szCs w:val="16"/>
                <w:color w:val="auto"/>
              </w:rPr>
              <w:t>Net gains on derivatives held for trading</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(2,434)</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35,430</w:t>
            </w: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Net gain from exchange difference</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13,490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(21,240)</w:t>
            </w:r>
          </w:p>
        </w:tc>
        <w:tc>
          <w:tcPr>
            <w:tcW w:w="0" w:type="dxa"/>
            <w:vAlign w:val="bottom"/>
          </w:tcPr>
          <w:p>
            <w:pPr>
              <w:spacing w:after="0"/>
              <w:rPr>
                <w:sz w:val="1"/>
                <w:szCs w:val="1"/>
                <w:color w:val="auto"/>
              </w:rPr>
            </w:pPr>
          </w:p>
        </w:tc>
      </w:tr>
      <w:tr>
        <w:trPr>
          <w:trHeight w:val="208"/>
        </w:trPr>
        <w:tc>
          <w:tcPr>
            <w:tcW w:w="8440" w:type="dxa"/>
            <w:vAlign w:val="bottom"/>
          </w:tcPr>
          <w:p>
            <w:pPr>
              <w:spacing w:after="0"/>
              <w:rPr>
                <w:sz w:val="20"/>
                <w:szCs w:val="20"/>
                <w:color w:val="auto"/>
              </w:rPr>
            </w:pPr>
            <w:r>
              <w:rPr>
                <w:rFonts w:ascii="Arial" w:cs="Arial" w:eastAsia="Arial" w:hAnsi="Arial"/>
                <w:sz w:val="16"/>
                <w:szCs w:val="16"/>
                <w:color w:val="auto"/>
              </w:rPr>
              <w:t>Other</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75,605</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117,770</w:t>
            </w:r>
          </w:p>
        </w:tc>
        <w:tc>
          <w:tcPr>
            <w:tcW w:w="0" w:type="dxa"/>
            <w:vAlign w:val="bottom"/>
          </w:tcPr>
          <w:p>
            <w:pPr>
              <w:spacing w:after="0"/>
              <w:rPr>
                <w:sz w:val="1"/>
                <w:szCs w:val="1"/>
                <w:color w:val="auto"/>
              </w:rPr>
            </w:pPr>
          </w:p>
        </w:tc>
      </w:tr>
      <w:tr>
        <w:trPr>
          <w:trHeight w:val="20"/>
        </w:trPr>
        <w:tc>
          <w:tcPr>
            <w:tcW w:w="844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Total non-interest income</w:t>
            </w: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440" w:type="dxa"/>
            <w:vAlign w:val="bottom"/>
            <w:vMerge w:val="continue"/>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1,176,337</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957,864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171450</wp:posOffset>
            </wp:positionV>
            <wp:extent cx="178625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(1)  Bancompartir is consolidated within the Microfinance line of business as of the three months ended March 31, 2020.</w:t>
      </w:r>
    </w:p>
    <w:p>
      <w:pPr>
        <w:spacing w:after="0" w:line="209" w:lineRule="exact"/>
        <w:rPr>
          <w:sz w:val="20"/>
          <w:szCs w:val="20"/>
          <w:color w:val="auto"/>
        </w:rPr>
      </w:pPr>
    </w:p>
    <w:p>
      <w:pPr>
        <w:ind w:right="160" w:firstLine="295"/>
        <w:spacing w:after="0" w:line="271" w:lineRule="auto"/>
        <w:rPr>
          <w:sz w:val="20"/>
          <w:szCs w:val="20"/>
          <w:color w:val="auto"/>
        </w:rPr>
      </w:pPr>
      <w:r>
        <w:rPr>
          <w:rFonts w:ascii="Arial" w:cs="Arial" w:eastAsia="Arial" w:hAnsi="Arial"/>
          <w:sz w:val="16"/>
          <w:szCs w:val="16"/>
          <w:color w:val="auto"/>
        </w:rPr>
        <w:t>The non-interest income, without including net premiums earned, decreased by 18.6% to S/958 million in the three months ended March 31, 2020 compared to S/1,176 million in the three months ended March 31, 2019. The decrease in 2020 was primarily due to the decrease of net gains on securities and net gain from exchange difference.</w:t>
      </w:r>
    </w:p>
    <w:p>
      <w:pPr>
        <w:spacing w:after="0" w:line="163" w:lineRule="exact"/>
        <w:rPr>
          <w:sz w:val="20"/>
          <w:szCs w:val="20"/>
          <w:color w:val="auto"/>
        </w:rPr>
      </w:pPr>
    </w:p>
    <w:p>
      <w:pPr>
        <w:ind w:right="200" w:firstLine="295"/>
        <w:spacing w:after="0" w:line="262" w:lineRule="auto"/>
        <w:rPr>
          <w:sz w:val="20"/>
          <w:szCs w:val="20"/>
          <w:color w:val="auto"/>
        </w:rPr>
      </w:pPr>
      <w:r>
        <w:rPr>
          <w:rFonts w:ascii="Arial" w:cs="Arial" w:eastAsia="Arial" w:hAnsi="Arial"/>
          <w:sz w:val="16"/>
          <w:szCs w:val="16"/>
          <w:color w:val="auto"/>
        </w:rPr>
        <w:t>Net gains on securities decreased 179.0% to a loss of S/101 million in the three months ended March 31, 2020 compared to the gain of S/128 million in the three months ended March 31, 2019. The decrease was primarily attributable to (i) a reduction in the profitability of the legal reserves at Prima AFP, and (ii) losses on proprietary investment portfolios at Credicorp Capital, which registered negative results for mark-to-market adjustments in the trading portfolio. Losses were also attributable to an extraordinary result in the three months ended March 31, 2019, which was generated by the favorable evolution of the financial markets in 2019 experienced through Credicorp Capital, Prima AFP and Atlantic Security Bank, which was in contrast to the market volatility and a decrease in the value of assets in the three months ended March 31, 2020 due to the impact of the COVID-19 pandemic.</w:t>
      </w:r>
    </w:p>
    <w:p>
      <w:pPr>
        <w:spacing w:after="0" w:line="171" w:lineRule="exact"/>
        <w:rPr>
          <w:sz w:val="20"/>
          <w:szCs w:val="20"/>
          <w:color w:val="auto"/>
        </w:rPr>
      </w:pPr>
    </w:p>
    <w:p>
      <w:pPr>
        <w:ind w:right="180" w:firstLine="295"/>
        <w:spacing w:after="0" w:line="287" w:lineRule="auto"/>
        <w:rPr>
          <w:sz w:val="20"/>
          <w:szCs w:val="20"/>
          <w:color w:val="auto"/>
        </w:rPr>
      </w:pPr>
      <w:r>
        <w:rPr>
          <w:rFonts w:ascii="Arial" w:cs="Arial" w:eastAsia="Arial" w:hAnsi="Arial"/>
          <w:sz w:val="16"/>
          <w:szCs w:val="16"/>
          <w:color w:val="auto"/>
        </w:rPr>
        <w:t>Net gain from exchange difference decreased by 257.4% due to the loss reported for the exchange differences relative to IFRS 16, mainly in the month of January at BCP Stand-alone, and to a lesser extent, at Mibanco.</w:t>
      </w:r>
    </w:p>
    <w:p>
      <w:pPr>
        <w:spacing w:after="0" w:line="150" w:lineRule="exact"/>
        <w:rPr>
          <w:sz w:val="20"/>
          <w:szCs w:val="20"/>
          <w:color w:val="auto"/>
        </w:rPr>
      </w:pPr>
    </w:p>
    <w:p>
      <w:pPr>
        <w:ind w:right="40" w:firstLine="295"/>
        <w:spacing w:after="0" w:line="289" w:lineRule="auto"/>
        <w:rPr>
          <w:sz w:val="20"/>
          <w:szCs w:val="20"/>
          <w:color w:val="auto"/>
        </w:rPr>
      </w:pPr>
      <w:r>
        <w:rPr>
          <w:rFonts w:ascii="Arial" w:cs="Arial" w:eastAsia="Arial" w:hAnsi="Arial"/>
          <w:sz w:val="15"/>
          <w:szCs w:val="15"/>
          <w:color w:val="auto"/>
        </w:rPr>
        <w:t>Commissions and fees decreased by 2.9% to S/760 million in the three months ended March 31, 2020 compared to S/783 million in the three months ended March 31, 2019. The decrease in commissions and fees from the three months ended March 31, 2019 to the three months ended March 31, 2020 was primarily due to (i) the facilities and fees exemptions extended to our clients in connection with the COVID-19 pandemic, (ii) the decrease in consumption and service volumes due to the compulsory quarantine imposed by the Peruvian government in mid-March, and (iii) the decrease in transactional activity at BCP Stand-alone and Mibanco.</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Insurance Premiums and Claims on Insurance Activities</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reflects the earned premiums and claims incurred in connection with our insurance activities: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80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Three Months Ended March 31,</w:t>
            </w:r>
          </w:p>
        </w:tc>
      </w:tr>
      <w:tr>
        <w:trPr>
          <w:trHeight w:val="202"/>
        </w:trPr>
        <w:tc>
          <w:tcPr>
            <w:tcW w:w="41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ind w:right="738"/>
              <w:spacing w:after="0"/>
              <w:rPr>
                <w:sz w:val="20"/>
                <w:szCs w:val="20"/>
                <w:color w:val="auto"/>
              </w:rPr>
            </w:pPr>
            <w:r>
              <w:rPr>
                <w:rFonts w:ascii="Arial" w:cs="Arial" w:eastAsia="Arial" w:hAnsi="Arial"/>
                <w:sz w:val="16"/>
                <w:szCs w:val="16"/>
                <w:b w:val="1"/>
                <w:bCs w:val="1"/>
                <w:color w:val="auto"/>
              </w:rPr>
              <w:t>2019</w:t>
            </w:r>
          </w:p>
        </w:tc>
        <w:tc>
          <w:tcPr>
            <w:tcW w:w="10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r>
      <w:tr>
        <w:trPr>
          <w:trHeight w:val="189"/>
        </w:trPr>
        <w:tc>
          <w:tcPr>
            <w:tcW w:w="41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700" w:type="dxa"/>
            <w:vAlign w:val="bottom"/>
            <w:gridSpan w:val="2"/>
          </w:tcPr>
          <w:p>
            <w:pPr>
              <w:jc w:val="right"/>
              <w:ind w:right="478"/>
              <w:spacing w:after="0"/>
              <w:rPr>
                <w:sz w:val="20"/>
                <w:szCs w:val="20"/>
                <w:color w:val="auto"/>
              </w:rPr>
            </w:pPr>
            <w:r>
              <w:rPr>
                <w:rFonts w:ascii="Arial" w:cs="Arial" w:eastAsia="Arial" w:hAnsi="Arial"/>
                <w:sz w:val="16"/>
                <w:szCs w:val="16"/>
                <w:b w:val="1"/>
                <w:bCs w:val="1"/>
                <w:color w:val="auto"/>
              </w:rPr>
              <w:t>(in thousands of Soles)</w:t>
            </w:r>
          </w:p>
        </w:tc>
        <w:tc>
          <w:tcPr>
            <w:tcW w:w="100" w:type="dxa"/>
            <w:vAlign w:val="bottom"/>
          </w:tcPr>
          <w:p>
            <w:pPr>
              <w:spacing w:after="0"/>
              <w:rPr>
                <w:sz w:val="16"/>
                <w:szCs w:val="16"/>
                <w:color w:val="auto"/>
              </w:rPr>
            </w:pPr>
          </w:p>
        </w:tc>
      </w:tr>
      <w:tr>
        <w:trPr>
          <w:trHeight w:val="197"/>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Gross written premiums</w:t>
            </w:r>
          </w:p>
        </w:tc>
        <w:tc>
          <w:tcPr>
            <w:tcW w:w="5920" w:type="dxa"/>
            <w:vAlign w:val="bottom"/>
            <w:gridSpan w:val="2"/>
            <w:shd w:val="clear" w:color="auto" w:fill="CCEEFF"/>
          </w:tcPr>
          <w:p>
            <w:pPr>
              <w:jc w:val="right"/>
              <w:ind w:right="298"/>
              <w:spacing w:after="0"/>
              <w:rPr>
                <w:sz w:val="20"/>
                <w:szCs w:val="20"/>
                <w:color w:val="auto"/>
              </w:rPr>
            </w:pPr>
            <w:r>
              <w:rPr>
                <w:rFonts w:ascii="Arial" w:cs="Arial" w:eastAsia="Arial" w:hAnsi="Arial"/>
                <w:sz w:val="16"/>
                <w:szCs w:val="16"/>
                <w:color w:val="auto"/>
              </w:rPr>
              <w:t>892,538</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901,553</w:t>
            </w:r>
          </w:p>
        </w:tc>
      </w:tr>
      <w:tr>
        <w:trPr>
          <w:trHeight w:val="197"/>
        </w:trPr>
        <w:tc>
          <w:tcPr>
            <w:tcW w:w="4140" w:type="dxa"/>
            <w:vAlign w:val="bottom"/>
          </w:tcPr>
          <w:p>
            <w:pPr>
              <w:spacing w:after="0"/>
              <w:rPr>
                <w:sz w:val="20"/>
                <w:szCs w:val="20"/>
                <w:color w:val="auto"/>
              </w:rPr>
            </w:pPr>
            <w:r>
              <w:rPr>
                <w:rFonts w:ascii="Arial" w:cs="Arial" w:eastAsia="Arial" w:hAnsi="Arial"/>
                <w:sz w:val="16"/>
                <w:szCs w:val="16"/>
                <w:color w:val="auto"/>
              </w:rPr>
              <w:t>Technical reserve adjustment</w:t>
            </w:r>
          </w:p>
        </w:tc>
        <w:tc>
          <w:tcPr>
            <w:tcW w:w="5920" w:type="dxa"/>
            <w:vAlign w:val="bottom"/>
            <w:gridSpan w:val="2"/>
          </w:tcPr>
          <w:p>
            <w:pPr>
              <w:jc w:val="right"/>
              <w:ind w:right="238"/>
              <w:spacing w:after="0"/>
              <w:rPr>
                <w:sz w:val="20"/>
                <w:szCs w:val="20"/>
                <w:color w:val="auto"/>
              </w:rPr>
            </w:pPr>
            <w:r>
              <w:rPr>
                <w:rFonts w:ascii="Arial" w:cs="Arial" w:eastAsia="Arial" w:hAnsi="Arial"/>
                <w:sz w:val="16"/>
                <w:szCs w:val="16"/>
                <w:color w:val="auto"/>
              </w:rPr>
              <w:t>(218,452)</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(21,921)</w:t>
            </w:r>
          </w:p>
        </w:tc>
      </w:tr>
      <w:tr>
        <w:trPr>
          <w:trHeight w:val="197"/>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Gross written premiums after adjustments</w:t>
            </w:r>
          </w:p>
        </w:tc>
        <w:tc>
          <w:tcPr>
            <w:tcW w:w="5920" w:type="dxa"/>
            <w:vAlign w:val="bottom"/>
            <w:gridSpan w:val="2"/>
            <w:shd w:val="clear" w:color="auto" w:fill="CCEEFF"/>
          </w:tcPr>
          <w:p>
            <w:pPr>
              <w:jc w:val="right"/>
              <w:ind w:right="298"/>
              <w:spacing w:after="0"/>
              <w:rPr>
                <w:sz w:val="20"/>
                <w:szCs w:val="20"/>
                <w:color w:val="auto"/>
              </w:rPr>
            </w:pPr>
            <w:r>
              <w:rPr>
                <w:rFonts w:ascii="Arial" w:cs="Arial" w:eastAsia="Arial" w:hAnsi="Arial"/>
                <w:sz w:val="16"/>
                <w:szCs w:val="16"/>
                <w:color w:val="auto"/>
              </w:rPr>
              <w:t>674,086</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879,632</w:t>
            </w:r>
          </w:p>
        </w:tc>
      </w:tr>
      <w:tr>
        <w:trPr>
          <w:trHeight w:val="208"/>
        </w:trPr>
        <w:tc>
          <w:tcPr>
            <w:tcW w:w="4140" w:type="dxa"/>
            <w:vAlign w:val="bottom"/>
          </w:tcPr>
          <w:p>
            <w:pPr>
              <w:spacing w:after="0"/>
              <w:rPr>
                <w:sz w:val="20"/>
                <w:szCs w:val="20"/>
                <w:color w:val="auto"/>
              </w:rPr>
            </w:pPr>
            <w:r>
              <w:rPr>
                <w:rFonts w:ascii="Arial" w:cs="Arial" w:eastAsia="Arial" w:hAnsi="Arial"/>
                <w:sz w:val="16"/>
                <w:szCs w:val="16"/>
                <w:color w:val="auto"/>
              </w:rPr>
              <w:t>Premiums ceded to reinsurers, net</w:t>
            </w:r>
          </w:p>
        </w:tc>
        <w:tc>
          <w:tcPr>
            <w:tcW w:w="5920" w:type="dxa"/>
            <w:vAlign w:val="bottom"/>
            <w:gridSpan w:val="2"/>
          </w:tcPr>
          <w:p>
            <w:pPr>
              <w:jc w:val="right"/>
              <w:ind w:right="238"/>
              <w:spacing w:after="0"/>
              <w:rPr>
                <w:sz w:val="20"/>
                <w:szCs w:val="20"/>
                <w:color w:val="auto"/>
              </w:rPr>
            </w:pPr>
            <w:r>
              <w:rPr>
                <w:rFonts w:ascii="Arial" w:cs="Arial" w:eastAsia="Arial" w:hAnsi="Arial"/>
                <w:sz w:val="16"/>
                <w:szCs w:val="16"/>
                <w:color w:val="auto"/>
              </w:rPr>
              <w:t>(137,119)</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(153,454)</w:t>
            </w:r>
          </w:p>
        </w:tc>
      </w:tr>
      <w:tr>
        <w:trPr>
          <w:trHeight w:val="608"/>
        </w:trPr>
        <w:tc>
          <w:tcPr>
            <w:tcW w:w="41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jc w:val="right"/>
              <w:ind w:right="2658"/>
              <w:spacing w:after="0"/>
              <w:rPr>
                <w:sz w:val="20"/>
                <w:szCs w:val="20"/>
                <w:color w:val="auto"/>
              </w:rPr>
            </w:pPr>
            <w:r>
              <w:rPr>
                <w:rFonts w:ascii="Arial" w:cs="Arial" w:eastAsia="Arial" w:hAnsi="Arial"/>
                <w:sz w:val="16"/>
                <w:szCs w:val="16"/>
                <w:color w:val="auto"/>
              </w:rPr>
              <w:t>17</w:t>
            </w:r>
          </w:p>
        </w:tc>
        <w:tc>
          <w:tcPr>
            <w:tcW w:w="1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20" w:right="339" w:bottom="1440" w:gutter="0" w:footer="0" w:header="0"/>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Results of assets designated at fair value through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144385" cy="1250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Net premiums earned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Net claims incurred for 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claims incurred for general insurance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Net claims incurred for health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7144385" cy="1403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4385" cy="14033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net premiums and claims</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reflects the components of our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Salaries and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144385" cy="1250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Depreciation for right-of-use assets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Impairment loss on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4385" cy="1250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Other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144385" cy="147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4385" cy="1479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211455</wp:posOffset>
            </wp:positionV>
            <wp:extent cx="178625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auto"/>
        </w:rPr>
        <w:t>(1)  Bancompartir is consolidated within the Microfinance line of business as of December 2019.</w: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Arial" w:cs="Arial" w:eastAsia="Arial" w:hAnsi="Arial"/>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4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76"/>
        </w:trPr>
        <w:tc>
          <w:tcPr>
            <w:tcW w:w="2700" w:type="dxa"/>
            <w:vAlign w:val="bottom"/>
            <w:gridSpan w:val="3"/>
          </w:tcPr>
          <w:p>
            <w:pPr>
              <w:jc w:val="right"/>
              <w:ind w:right="478"/>
              <w:spacing w:after="0" w:line="177" w:lineRule="exact"/>
              <w:rPr>
                <w:sz w:val="20"/>
                <w:szCs w:val="20"/>
                <w:color w:val="auto"/>
              </w:rPr>
            </w:pPr>
            <w:r>
              <w:rPr>
                <w:rFonts w:ascii="Arial" w:cs="Arial" w:eastAsia="Arial" w:hAnsi="Arial"/>
                <w:sz w:val="16"/>
                <w:szCs w:val="16"/>
                <w:b w:val="1"/>
                <w:bCs w:val="1"/>
                <w:color w:val="auto"/>
              </w:rPr>
              <w:t>(in thousands of Soles)</w:t>
            </w:r>
          </w:p>
        </w:tc>
        <w:tc>
          <w:tcPr>
            <w:tcW w:w="60" w:type="dxa"/>
            <w:vAlign w:val="bottom"/>
            <w:gridSpan w:val="2"/>
          </w:tcPr>
          <w:p>
            <w:pPr>
              <w:spacing w:after="0"/>
              <w:rPr>
                <w:sz w:val="15"/>
                <w:szCs w:val="15"/>
                <w:color w:val="auto"/>
              </w:rPr>
            </w:pPr>
          </w:p>
        </w:tc>
      </w:tr>
      <w:tr>
        <w:trPr>
          <w:trHeight w:val="197"/>
        </w:trPr>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47,242</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(98,243)</w:t>
            </w:r>
          </w:p>
        </w:tc>
      </w:tr>
      <w:tr>
        <w:trPr>
          <w:trHeight w:val="197"/>
        </w:trPr>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584,209</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627,935</w:t>
            </w:r>
          </w:p>
        </w:tc>
        <w:tc>
          <w:tcPr>
            <w:tcW w:w="40" w:type="dxa"/>
            <w:vAlign w:val="bottom"/>
          </w:tcPr>
          <w:p>
            <w:pPr>
              <w:spacing w:after="0"/>
              <w:rPr>
                <w:sz w:val="17"/>
                <w:szCs w:val="17"/>
                <w:color w:val="auto"/>
              </w:rPr>
            </w:pPr>
          </w:p>
        </w:tc>
      </w:tr>
      <w:tr>
        <w:trPr>
          <w:trHeight w:val="197"/>
        </w:trPr>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(219,390)</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(236,516)</w:t>
            </w:r>
          </w:p>
        </w:tc>
      </w:tr>
      <w:tr>
        <w:trPr>
          <w:trHeight w:val="197"/>
        </w:trPr>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(83,263)</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(60,891)</w:t>
            </w:r>
          </w:p>
        </w:tc>
      </w:tr>
      <w:tr>
        <w:trPr>
          <w:trHeight w:val="197"/>
        </w:trPr>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(81,164)</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(76,095)</w:t>
            </w:r>
          </w:p>
        </w:tc>
      </w:tr>
      <w:tr>
        <w:trPr>
          <w:trHeight w:val="220"/>
        </w:trPr>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(91,281)</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(112,507)</w:t>
            </w:r>
          </w:p>
        </w:tc>
      </w:tr>
      <w:tr>
        <w:trPr>
          <w:trHeight w:val="190"/>
        </w:trPr>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109,111</w:t>
            </w:r>
          </w:p>
        </w:tc>
        <w:tc>
          <w:tcPr>
            <w:tcW w:w="240" w:type="dxa"/>
            <w:vAlign w:val="bottom"/>
          </w:tcPr>
          <w:p>
            <w:pPr>
              <w:spacing w:after="0"/>
              <w:rPr>
                <w:sz w:val="16"/>
                <w:szCs w:val="16"/>
                <w:color w:val="auto"/>
              </w:rPr>
            </w:pP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141,926</w:t>
            </w:r>
          </w:p>
        </w:tc>
        <w:tc>
          <w:tcPr>
            <w:tcW w:w="40" w:type="dxa"/>
            <w:vAlign w:val="bottom"/>
          </w:tcPr>
          <w:p>
            <w:pPr>
              <w:spacing w:after="0"/>
              <w:rPr>
                <w:sz w:val="16"/>
                <w:szCs w:val="16"/>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4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2020(1)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2700" w:type="dxa"/>
            <w:vAlign w:val="bottom"/>
            <w:gridSpan w:val="3"/>
          </w:tcPr>
          <w:p>
            <w:pPr>
              <w:jc w:val="right"/>
              <w:ind w:right="478"/>
              <w:spacing w:after="0" w:line="177" w:lineRule="exact"/>
              <w:rPr>
                <w:sz w:val="20"/>
                <w:szCs w:val="20"/>
                <w:color w:val="auto"/>
              </w:rPr>
            </w:pPr>
            <w:r>
              <w:rPr>
                <w:rFonts w:ascii="Arial" w:cs="Arial" w:eastAsia="Arial" w:hAnsi="Arial"/>
                <w:sz w:val="16"/>
                <w:szCs w:val="16"/>
                <w:b w:val="1"/>
                <w:bCs w:val="1"/>
                <w:color w:val="auto"/>
              </w:rPr>
              <w:t>(in thousands of Soles)</w:t>
            </w:r>
          </w:p>
        </w:tc>
        <w:tc>
          <w:tcPr>
            <w:tcW w:w="60" w:type="dxa"/>
            <w:vAlign w:val="bottom"/>
            <w:gridSpan w:val="2"/>
          </w:tcPr>
          <w:p>
            <w:pPr>
              <w:spacing w:after="0"/>
              <w:rPr>
                <w:sz w:val="15"/>
                <w:szCs w:val="15"/>
                <w:color w:val="auto"/>
              </w:rPr>
            </w:pPr>
          </w:p>
        </w:tc>
      </w:tr>
      <w:tr>
        <w:trPr>
          <w:trHeight w:val="197"/>
        </w:trPr>
        <w:tc>
          <w:tcPr>
            <w:tcW w:w="1480" w:type="dxa"/>
            <w:vAlign w:val="bottom"/>
            <w:gridSpan w:val="2"/>
          </w:tcPr>
          <w:p>
            <w:pPr>
              <w:jc w:val="right"/>
              <w:ind w:right="98"/>
              <w:spacing w:after="0"/>
              <w:rPr>
                <w:sz w:val="20"/>
                <w:szCs w:val="20"/>
                <w:color w:val="auto"/>
              </w:rPr>
            </w:pPr>
            <w:r>
              <w:rPr>
                <w:rFonts w:ascii="Arial" w:cs="Arial" w:eastAsia="Arial" w:hAnsi="Arial"/>
                <w:sz w:val="16"/>
                <w:szCs w:val="16"/>
                <w:color w:val="auto"/>
              </w:rPr>
              <w:t>(834,317)</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(891,183)</w:t>
            </w:r>
          </w:p>
        </w:tc>
      </w:tr>
      <w:tr>
        <w:trPr>
          <w:trHeight w:val="197"/>
        </w:trPr>
        <w:tc>
          <w:tcPr>
            <w:tcW w:w="1480" w:type="dxa"/>
            <w:vAlign w:val="bottom"/>
            <w:gridSpan w:val="2"/>
          </w:tcPr>
          <w:p>
            <w:pPr>
              <w:jc w:val="right"/>
              <w:ind w:right="98"/>
              <w:spacing w:after="0"/>
              <w:rPr>
                <w:sz w:val="20"/>
                <w:szCs w:val="20"/>
                <w:color w:val="auto"/>
              </w:rPr>
            </w:pPr>
            <w:r>
              <w:rPr>
                <w:rFonts w:ascii="Arial" w:cs="Arial" w:eastAsia="Arial" w:hAnsi="Arial"/>
                <w:sz w:val="16"/>
                <w:szCs w:val="16"/>
                <w:color w:val="auto"/>
              </w:rPr>
              <w:t>(538,157)</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(539,644)</w:t>
            </w:r>
          </w:p>
        </w:tc>
      </w:tr>
      <w:tr>
        <w:trPr>
          <w:trHeight w:val="197"/>
        </w:trPr>
        <w:tc>
          <w:tcPr>
            <w:tcW w:w="1480" w:type="dxa"/>
            <w:vAlign w:val="bottom"/>
            <w:gridSpan w:val="2"/>
          </w:tcPr>
          <w:p>
            <w:pPr>
              <w:jc w:val="right"/>
              <w:ind w:right="98"/>
              <w:spacing w:after="0"/>
              <w:rPr>
                <w:sz w:val="20"/>
                <w:szCs w:val="20"/>
                <w:color w:val="auto"/>
              </w:rPr>
            </w:pPr>
            <w:r>
              <w:rPr>
                <w:rFonts w:ascii="Arial" w:cs="Arial" w:eastAsia="Arial" w:hAnsi="Arial"/>
                <w:sz w:val="16"/>
                <w:szCs w:val="16"/>
                <w:color w:val="auto"/>
              </w:rPr>
              <w:t>(105,643)</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(125,150)</w:t>
            </w:r>
          </w:p>
        </w:tc>
      </w:tr>
      <w:tr>
        <w:trPr>
          <w:trHeight w:val="197"/>
        </w:trPr>
        <w:tc>
          <w:tcPr>
            <w:tcW w:w="1480" w:type="dxa"/>
            <w:vAlign w:val="bottom"/>
            <w:gridSpan w:val="2"/>
          </w:tcPr>
          <w:p>
            <w:pPr>
              <w:jc w:val="right"/>
              <w:ind w:right="98"/>
              <w:spacing w:after="0"/>
              <w:rPr>
                <w:sz w:val="20"/>
                <w:szCs w:val="20"/>
                <w:color w:val="auto"/>
              </w:rPr>
            </w:pPr>
            <w:r>
              <w:rPr>
                <w:rFonts w:ascii="Arial" w:cs="Arial" w:eastAsia="Arial" w:hAnsi="Arial"/>
                <w:sz w:val="16"/>
                <w:szCs w:val="16"/>
                <w:color w:val="auto"/>
              </w:rPr>
              <w:t>(25,682)</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(46,598)</w:t>
            </w:r>
          </w:p>
        </w:tc>
      </w:tr>
      <w:tr>
        <w:trPr>
          <w:trHeight w:val="197"/>
        </w:trPr>
        <w:tc>
          <w:tcPr>
            <w:tcW w:w="1480" w:type="dxa"/>
            <w:vAlign w:val="bottom"/>
            <w:gridSpan w:val="2"/>
          </w:tcPr>
          <w:p>
            <w:pPr>
              <w:jc w:val="right"/>
              <w:ind w:right="158"/>
              <w:spacing w:after="0"/>
              <w:rPr>
                <w:sz w:val="20"/>
                <w:szCs w:val="20"/>
                <w:color w:val="auto"/>
              </w:rPr>
            </w:pPr>
            <w:r>
              <w:rPr>
                <w:rFonts w:ascii="Arial" w:cs="Arial" w:eastAsia="Arial" w:hAnsi="Arial"/>
                <w:sz w:val="16"/>
                <w:szCs w:val="16"/>
                <w:color w:val="auto"/>
              </w:rPr>
              <w:t>—</w:t>
            </w:r>
          </w:p>
        </w:tc>
        <w:tc>
          <w:tcPr>
            <w:tcW w:w="128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1480" w:type="dxa"/>
            <w:vAlign w:val="bottom"/>
            <w:gridSpan w:val="2"/>
          </w:tcPr>
          <w:p>
            <w:pPr>
              <w:jc w:val="right"/>
              <w:ind w:right="98"/>
              <w:spacing w:after="0"/>
              <w:rPr>
                <w:sz w:val="20"/>
                <w:szCs w:val="20"/>
                <w:color w:val="auto"/>
              </w:rPr>
            </w:pPr>
            <w:r>
              <w:rPr>
                <w:rFonts w:ascii="Arial" w:cs="Arial" w:eastAsia="Arial" w:hAnsi="Arial"/>
                <w:sz w:val="16"/>
                <w:szCs w:val="16"/>
                <w:color w:val="auto"/>
              </w:rPr>
              <w:t>(50,177)</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(176,060)</w:t>
            </w:r>
          </w:p>
        </w:tc>
      </w:tr>
      <w:tr>
        <w:trPr>
          <w:trHeight w:val="202"/>
        </w:trPr>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(1,553,976</w:t>
            </w:r>
          </w:p>
        </w:tc>
        <w:tc>
          <w:tcPr>
            <w:tcW w:w="240" w:type="dxa"/>
            <w:vAlign w:val="bottom"/>
          </w:tcPr>
          <w:p>
            <w:pPr>
              <w:jc w:val="right"/>
              <w:ind w:right="98"/>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(1,778,635</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79" w:lineRule="exact"/>
        <w:rPr>
          <w:sz w:val="20"/>
          <w:szCs w:val="20"/>
          <w:color w:val="auto"/>
        </w:rPr>
      </w:pPr>
    </w:p>
    <w:p>
      <w:pPr>
        <w:sectPr>
          <w:pgSz w:w="11900" w:h="16838" w:orient="portrait"/>
          <w:cols w:equalWidth="0" w:num="2">
            <w:col w:w="7720" w:space="720"/>
            <w:col w:w="2760"/>
          </w:cols>
          <w:pgMar w:left="320" w:top="356" w:right="379" w:bottom="1440" w:gutter="0" w:footer="0" w:header="0"/>
        </w:sectPr>
      </w:pPr>
    </w:p>
    <w:p>
      <w:pPr>
        <w:spacing w:after="0" w:line="21" w:lineRule="exact"/>
        <w:rPr>
          <w:sz w:val="20"/>
          <w:szCs w:val="20"/>
          <w:color w:val="auto"/>
        </w:rPr>
      </w:pPr>
    </w:p>
    <w:p>
      <w:pPr>
        <w:jc w:val="both"/>
        <w:ind w:right="140" w:firstLine="295"/>
        <w:spacing w:after="0" w:line="266" w:lineRule="auto"/>
        <w:rPr>
          <w:sz w:val="20"/>
          <w:szCs w:val="20"/>
          <w:color w:val="auto"/>
        </w:rPr>
      </w:pPr>
      <w:r>
        <w:rPr>
          <w:rFonts w:ascii="Arial" w:cs="Arial" w:eastAsia="Arial" w:hAnsi="Arial"/>
          <w:sz w:val="16"/>
          <w:szCs w:val="16"/>
          <w:color w:val="auto"/>
        </w:rPr>
        <w:t>Salaries and employee benefits increased by 6.8%, mainly due to the Microfinance business and, to a lesser extent, at BCP Stand-alone. In the case of Microfinance, the increase was attributable to (i) Mibanco, due to an increase in headcount in 2019, which was primarily to bolster commercial teams to build the capacities needed to ensure growth down the line at Mibanco, and (ii) Bancompartir, which is included in Credicorp’s balance sheet since December 2019. At BCP Stand-alone, growth was attributable to hiring of individuals with specialized profiles in 2019.</w:t>
      </w:r>
    </w:p>
    <w:p>
      <w:pPr>
        <w:spacing w:after="0" w:line="167" w:lineRule="exact"/>
        <w:rPr>
          <w:sz w:val="20"/>
          <w:szCs w:val="20"/>
          <w:color w:val="auto"/>
        </w:rPr>
      </w:pPr>
    </w:p>
    <w:p>
      <w:pPr>
        <w:ind w:right="200" w:firstLine="295"/>
        <w:spacing w:after="0" w:line="287" w:lineRule="auto"/>
        <w:rPr>
          <w:sz w:val="20"/>
          <w:szCs w:val="20"/>
          <w:color w:val="auto"/>
        </w:rPr>
      </w:pPr>
      <w:r>
        <w:rPr>
          <w:rFonts w:ascii="Arial" w:cs="Arial" w:eastAsia="Arial" w:hAnsi="Arial"/>
          <w:sz w:val="16"/>
          <w:szCs w:val="16"/>
          <w:color w:val="auto"/>
        </w:rPr>
        <w:t>Depreciation and amortization increased by 18.5%, due to the higher amortization expenses for software, in line with the investment in new software to support our Yape and credit card business.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Exchange Difference</w:t>
      </w:r>
    </w:p>
    <w:p>
      <w:pPr>
        <w:spacing w:after="0" w:line="209" w:lineRule="exact"/>
        <w:rPr>
          <w:sz w:val="20"/>
          <w:szCs w:val="20"/>
          <w:color w:val="auto"/>
        </w:rPr>
      </w:pPr>
    </w:p>
    <w:p>
      <w:pPr>
        <w:ind w:right="320" w:firstLine="295"/>
        <w:spacing w:after="0" w:line="266" w:lineRule="auto"/>
        <w:rPr>
          <w:sz w:val="20"/>
          <w:szCs w:val="20"/>
          <w:color w:val="auto"/>
        </w:rPr>
      </w:pPr>
      <w:r>
        <w:rPr>
          <w:rFonts w:ascii="Arial" w:cs="Arial" w:eastAsia="Arial" w:hAnsi="Arial"/>
          <w:sz w:val="16"/>
          <w:szCs w:val="16"/>
          <w:color w:val="auto"/>
        </w:rPr>
        <w:t>The exchange difference reflects exposure to appreciation of net monetary positions in foreign currencies, principally U.S. dollars in the first three months ended March 31, 2020 and 2019, and Soles in previous years. We recorded a loss exchange difference of S/21.2 million as of March 31, 2020. This loss was due to the implementation of IFRS 16, mainly in the month of January at BCP Stand-alone, and to a lesser extent, at Mibanco. We recorded a gain exchange difference of S/13.5 million as of March 31, 2019.</w:t>
      </w:r>
    </w:p>
    <w:p>
      <w:pPr>
        <w:spacing w:after="0" w:line="167" w:lineRule="exact"/>
        <w:rPr>
          <w:sz w:val="20"/>
          <w:szCs w:val="20"/>
          <w:color w:val="auto"/>
        </w:rPr>
      </w:pPr>
    </w:p>
    <w:p>
      <w:pPr>
        <w:ind w:right="160" w:firstLine="295"/>
        <w:spacing w:after="0" w:line="262" w:lineRule="auto"/>
        <w:rPr>
          <w:sz w:val="20"/>
          <w:szCs w:val="20"/>
          <w:color w:val="auto"/>
        </w:rPr>
      </w:pPr>
      <w:r>
        <w:rPr>
          <w:rFonts w:ascii="Arial" w:cs="Arial" w:eastAsia="Arial" w:hAnsi="Arial"/>
          <w:sz w:val="16"/>
          <w:szCs w:val="16"/>
          <w:color w:val="auto"/>
        </w:rPr>
        <w:t>We manage foreign exchange risk by monitoring and controlling the position values due to changes in exchange rates. We measure our performance in Soles (since 2014, when we changed our functional currency from U.S. dollars), so if the net foreign exchange position (e.g. U.S. dollar) is an asset, any depreciation of Soles with respect to the relevant foreign currency would positively affect our consolidated statements of financial position.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appreciation/depreciation of the foreign exchange would affect the consolidated statements of income.</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438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00"/>
          </w:cols>
          <w:pgMar w:left="320" w:top="356" w:right="379" w:bottom="1440" w:gutter="0" w:footer="0" w:header="0"/>
          <w:type w:val="continuous"/>
        </w:sectPr>
      </w:pPr>
    </w:p>
    <w:bookmarkStart w:id="130" w:name="page131"/>
    <w:bookmarkEnd w:id="130"/>
    <w:p>
      <w:pPr>
        <w:ind w:left="2" w:firstLine="295"/>
        <w:spacing w:after="0" w:line="264" w:lineRule="auto"/>
        <w:rPr>
          <w:sz w:val="20"/>
          <w:szCs w:val="20"/>
          <w:color w:val="auto"/>
        </w:rPr>
      </w:pPr>
      <w:r>
        <w:rPr>
          <w:rFonts w:ascii="Arial" w:cs="Arial" w:eastAsia="Arial" w:hAnsi="Arial"/>
          <w:sz w:val="16"/>
          <w:szCs w:val="16"/>
          <w:color w:val="auto"/>
        </w:rPr>
        <w:t>As of March 31, 2020 and December 31, 2019, Credicorp’s net foreign exchange balance is the sum of its positive open non-Soles positions (net long position) less the sum of its negative open non-Soles positions (net short position). As of December 31, 2013, Credicorp’s net foreign exchange balance was the sum of its positive open non-U.S. dollar positions (net long position) less the sum of its negative open non-U.S. dollar positions (net short position). Any depreciation/appreciation of the foreign exchange position would affect the consolidated statements of income. A currency mismatch would leave Credicorp’s consolidated statements of financial position vulnerable to a fluctuation of the foreign currency (exchange rate shock).</w:t>
      </w:r>
    </w:p>
    <w:p>
      <w:pPr>
        <w:spacing w:after="0" w:line="167" w:lineRule="exact"/>
        <w:rPr>
          <w:sz w:val="20"/>
          <w:szCs w:val="20"/>
          <w:color w:val="auto"/>
        </w:rPr>
      </w:pPr>
    </w:p>
    <w:p>
      <w:pPr>
        <w:ind w:left="162"/>
        <w:spacing w:after="0"/>
        <w:rPr>
          <w:sz w:val="20"/>
          <w:szCs w:val="20"/>
          <w:color w:val="auto"/>
        </w:rPr>
      </w:pPr>
      <w:r>
        <w:rPr>
          <w:rFonts w:ascii="Arial" w:cs="Arial" w:eastAsia="Arial" w:hAnsi="Arial"/>
          <w:sz w:val="16"/>
          <w:szCs w:val="16"/>
          <w:b w:val="1"/>
          <w:bCs w:val="1"/>
          <w:i w:val="1"/>
          <w:iCs w:val="1"/>
          <w:color w:val="auto"/>
        </w:rPr>
        <w:t>Income Taxes</w:t>
      </w:r>
    </w:p>
    <w:p>
      <w:pPr>
        <w:spacing w:after="0" w:line="209" w:lineRule="exact"/>
        <w:rPr>
          <w:sz w:val="20"/>
          <w:szCs w:val="20"/>
          <w:color w:val="auto"/>
        </w:rPr>
      </w:pPr>
    </w:p>
    <w:p>
      <w:pPr>
        <w:ind w:left="2" w:right="80" w:firstLine="295"/>
        <w:spacing w:after="0" w:line="287" w:lineRule="auto"/>
        <w:rPr>
          <w:sz w:val="20"/>
          <w:szCs w:val="20"/>
          <w:color w:val="auto"/>
        </w:rPr>
      </w:pPr>
      <w:r>
        <w:rPr>
          <w:rFonts w:ascii="Arial" w:cs="Arial" w:eastAsia="Arial" w:hAnsi="Arial"/>
          <w:sz w:val="16"/>
          <w:szCs w:val="16"/>
          <w:color w:val="auto"/>
        </w:rPr>
        <w:t>We are not subject to income taxes, taxes on capital gains, capital transfers or equity or estate duty under Bermuda law. However, some of our subsidiaries are subject to income tax and taxes on dividends paid to us, depending on the legislation of the jurisdictions in which they generate income.</w:t>
      </w:r>
    </w:p>
    <w:p>
      <w:pPr>
        <w:spacing w:after="0" w:line="150" w:lineRule="exact"/>
        <w:rPr>
          <w:sz w:val="20"/>
          <w:szCs w:val="20"/>
          <w:color w:val="auto"/>
        </w:rPr>
      </w:pPr>
    </w:p>
    <w:p>
      <w:pPr>
        <w:ind w:left="2" w:right="220" w:firstLine="295"/>
        <w:spacing w:after="0" w:line="322" w:lineRule="auto"/>
        <w:rPr>
          <w:sz w:val="20"/>
          <w:szCs w:val="20"/>
          <w:color w:val="auto"/>
        </w:rPr>
      </w:pPr>
      <w:r>
        <w:rPr>
          <w:rFonts w:ascii="Arial" w:cs="Arial" w:eastAsia="Arial" w:hAnsi="Arial"/>
          <w:sz w:val="15"/>
          <w:szCs w:val="15"/>
          <w:color w:val="auto"/>
        </w:rPr>
        <w:t>Our Peruvian subsidiaries, including BCP Stand-alone, are subject to corporate taxation on income under Peruvian tax law. For 2019 and in 2020 to the date hereof, the Peruvian statutory income tax rate was 29.5 % on taxable profit after calculating the workers’ profit sharing, which is determined using a 5.0% rate.</w:t>
      </w:r>
    </w:p>
    <w:p>
      <w:pPr>
        <w:spacing w:after="0" w:line="127" w:lineRule="exact"/>
        <w:rPr>
          <w:sz w:val="20"/>
          <w:szCs w:val="20"/>
          <w:color w:val="auto"/>
        </w:rPr>
      </w:pPr>
    </w:p>
    <w:p>
      <w:pPr>
        <w:ind w:left="2" w:right="240" w:firstLine="295"/>
        <w:spacing w:after="0" w:line="271" w:lineRule="auto"/>
        <w:rPr>
          <w:sz w:val="20"/>
          <w:szCs w:val="20"/>
          <w:color w:val="auto"/>
        </w:rPr>
      </w:pPr>
      <w:r>
        <w:rPr>
          <w:rFonts w:ascii="Arial" w:cs="Arial" w:eastAsia="Arial" w:hAnsi="Arial"/>
          <w:sz w:val="16"/>
          <w:szCs w:val="16"/>
          <w:color w:val="auto"/>
        </w:rPr>
        <w:t>An additional 5.0% withholding tax is applied on to dividends, which we register as income tax based on the liquid amount received from BCP Stand-alone, Grupo Credito and Grupo Pacifico. Through Legislative Decree No. 1261, published on December 11, 2016, the withholding tax on dividends for the profits generated was increased according to the following terms:</w:t>
      </w:r>
    </w:p>
    <w:p>
      <w:pPr>
        <w:spacing w:after="0" w:line="171"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9920" w:type="dxa"/>
            <w:vAlign w:val="bottom"/>
            <w:gridSpan w:val="2"/>
          </w:tcPr>
          <w:p>
            <w:pPr>
              <w:ind w:left="3400"/>
              <w:spacing w:after="0"/>
              <w:rPr>
                <w:sz w:val="20"/>
                <w:szCs w:val="20"/>
                <w:color w:val="auto"/>
              </w:rPr>
            </w:pPr>
            <w:r>
              <w:rPr>
                <w:rFonts w:ascii="Arial" w:cs="Arial" w:eastAsia="Arial" w:hAnsi="Arial"/>
                <w:sz w:val="16"/>
                <w:szCs w:val="16"/>
                <w:b w:val="1"/>
                <w:bCs w:val="1"/>
                <w:color w:val="auto"/>
              </w:rPr>
              <w:t>Rate for the Profits Generated in the Years</w:t>
            </w: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Percentage(%)</w:t>
            </w:r>
          </w:p>
        </w:tc>
      </w:tr>
      <w:tr>
        <w:trPr>
          <w:trHeight w:val="190"/>
        </w:trPr>
        <w:tc>
          <w:tcPr>
            <w:tcW w:w="9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Until 2014</w:t>
            </w:r>
          </w:p>
        </w:tc>
        <w:tc>
          <w:tcPr>
            <w:tcW w:w="1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CCEEFF"/>
            </w:tcBorders>
            <w:shd w:val="clear" w:color="auto" w:fill="CCEEFF"/>
          </w:tcPr>
          <w:p>
            <w:pPr>
              <w:spacing w:after="0"/>
              <w:rPr>
                <w:sz w:val="16"/>
                <w:szCs w:val="16"/>
                <w:color w:val="auto"/>
              </w:rPr>
            </w:pPr>
          </w:p>
        </w:tc>
      </w:tr>
      <w:tr>
        <w:trPr>
          <w:trHeight w:val="197"/>
        </w:trPr>
        <w:tc>
          <w:tcPr>
            <w:tcW w:w="9920" w:type="dxa"/>
            <w:vAlign w:val="bottom"/>
            <w:gridSpan w:val="2"/>
          </w:tcPr>
          <w:p>
            <w:pPr>
              <w:spacing w:after="0"/>
              <w:rPr>
                <w:sz w:val="20"/>
                <w:szCs w:val="20"/>
                <w:color w:val="auto"/>
              </w:rPr>
            </w:pPr>
            <w:r>
              <w:rPr>
                <w:rFonts w:ascii="Arial" w:cs="Arial" w:eastAsia="Arial" w:hAnsi="Arial"/>
                <w:sz w:val="16"/>
                <w:szCs w:val="16"/>
                <w:color w:val="auto"/>
              </w:rPr>
              <w:t>2015 and 2016</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6.8</w:t>
            </w:r>
          </w:p>
        </w:tc>
      </w:tr>
      <w:tr>
        <w:trPr>
          <w:trHeight w:val="197"/>
        </w:trPr>
        <w:tc>
          <w:tcPr>
            <w:tcW w:w="9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From 2017 onward</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w:t>
            </w:r>
          </w:p>
        </w:tc>
      </w:tr>
    </w:tbl>
    <w:p>
      <w:pPr>
        <w:spacing w:after="0" w:line="184" w:lineRule="exact"/>
        <w:rPr>
          <w:sz w:val="20"/>
          <w:szCs w:val="20"/>
          <w:color w:val="auto"/>
        </w:rPr>
      </w:pPr>
    </w:p>
    <w:p>
      <w:pPr>
        <w:ind w:left="2" w:right="140" w:firstLine="295"/>
        <w:spacing w:after="0" w:line="287" w:lineRule="auto"/>
        <w:rPr>
          <w:sz w:val="20"/>
          <w:szCs w:val="20"/>
          <w:color w:val="auto"/>
        </w:rPr>
      </w:pPr>
      <w:r>
        <w:rPr>
          <w:rFonts w:ascii="Arial" w:cs="Arial" w:eastAsia="Arial" w:hAnsi="Arial"/>
          <w:sz w:val="16"/>
          <w:szCs w:val="16"/>
          <w:color w:val="auto"/>
        </w:rPr>
        <w:t>Peruvian tax legislation is applicable to legal entities established in Peru, and on an individual (not consolidated) basis. Our non-Peruvian subsidiaries are not subject to taxation in Peru and their assets are not included in the calculation of the Peruvian extraordinary tax on net assets.</w:t>
      </w:r>
    </w:p>
    <w:p>
      <w:pPr>
        <w:spacing w:after="0" w:line="150" w:lineRule="exact"/>
        <w:rPr>
          <w:sz w:val="20"/>
          <w:szCs w:val="20"/>
          <w:color w:val="auto"/>
        </w:rPr>
      </w:pPr>
    </w:p>
    <w:p>
      <w:pPr>
        <w:ind w:left="2" w:right="180" w:firstLine="295"/>
        <w:spacing w:after="0" w:line="287" w:lineRule="auto"/>
        <w:rPr>
          <w:sz w:val="20"/>
          <w:szCs w:val="20"/>
          <w:color w:val="auto"/>
        </w:rPr>
      </w:pPr>
      <w:r>
        <w:rPr>
          <w:rFonts w:ascii="Arial" w:cs="Arial" w:eastAsia="Arial" w:hAnsi="Arial"/>
          <w:sz w:val="16"/>
          <w:szCs w:val="16"/>
          <w:color w:val="auto"/>
        </w:rPr>
        <w:t>The Bolivian statutory income tax rate is 25%. Financial entities have an additional rate if the ROE exceeds 6%. In that case, an additional 25% must be considered, with which the rate becomes 50%.</w:t>
      </w:r>
    </w:p>
    <w:p>
      <w:pPr>
        <w:spacing w:after="0" w:line="150" w:lineRule="exact"/>
        <w:rPr>
          <w:sz w:val="20"/>
          <w:szCs w:val="20"/>
          <w:color w:val="auto"/>
        </w:rPr>
      </w:pPr>
    </w:p>
    <w:p>
      <w:pPr>
        <w:ind w:left="2" w:right="20" w:firstLine="295"/>
        <w:spacing w:after="0" w:line="264" w:lineRule="auto"/>
        <w:rPr>
          <w:sz w:val="20"/>
          <w:szCs w:val="20"/>
          <w:color w:val="auto"/>
        </w:rPr>
      </w:pPr>
      <w:r>
        <w:rPr>
          <w:rFonts w:ascii="Arial" w:cs="Arial" w:eastAsia="Arial" w:hAnsi="Arial"/>
          <w:sz w:val="16"/>
          <w:szCs w:val="16"/>
          <w:color w:val="auto"/>
        </w:rPr>
        <w:t>In the case of Chile, there are two tax regimes: the partially integrated regime and the attributed regime. Credicorp Capital Holding Chile S.A. and all its subsidiaries are under partially integrated regime, under which the tax rate for domiciled legal entities was 27% for 2019 and for 2020 to the date hereof. On the other hand, individuals or legal entities not domiciled in Chile are subject to a tax called “additional income tax” whose rates are between 4% and 35%, depending on the nature of the income. Additionally, Chile has signed treaties to avoid double taxation with different countries so certain income could be released from withholding tax or for the use of reduced rates.</w:t>
      </w:r>
    </w:p>
    <w:p>
      <w:pPr>
        <w:spacing w:after="0" w:line="167" w:lineRule="exact"/>
        <w:rPr>
          <w:sz w:val="20"/>
          <w:szCs w:val="20"/>
          <w:color w:val="auto"/>
        </w:rPr>
      </w:pPr>
    </w:p>
    <w:p>
      <w:pPr>
        <w:jc w:val="both"/>
        <w:ind w:left="2" w:firstLine="295"/>
        <w:spacing w:after="0" w:line="271" w:lineRule="auto"/>
        <w:rPr>
          <w:sz w:val="20"/>
          <w:szCs w:val="20"/>
          <w:color w:val="auto"/>
        </w:rPr>
      </w:pPr>
      <w:r>
        <w:rPr>
          <w:rFonts w:ascii="Arial" w:cs="Arial" w:eastAsia="Arial" w:hAnsi="Arial"/>
          <w:sz w:val="16"/>
          <w:szCs w:val="16"/>
          <w:color w:val="auto"/>
        </w:rPr>
        <w:t>In the case of Colombia, pursuant to Financing Law No. 1943, dated December 28, 2018, the income tax rate for 2019 was 33% (without a surcharge) for all entities in the country whose taxable income was less than U.S.$800.0 million of Colombian pesos. From 2020, pursuant to Law No. 2010 dated December 27, 2019 the tax rates are as follows:</w:t>
      </w:r>
    </w:p>
    <w:p>
      <w:pPr>
        <w:spacing w:after="0" w:line="159"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8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Additional Rate</w:t>
            </w:r>
          </w:p>
        </w:tc>
      </w:tr>
      <w:tr>
        <w:trPr>
          <w:trHeight w:val="197"/>
        </w:trPr>
        <w:tc>
          <w:tcPr>
            <w:tcW w:w="8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(Surcharge) (%)</w:t>
            </w:r>
          </w:p>
        </w:tc>
      </w:tr>
      <w:tr>
        <w:trPr>
          <w:trHeight w:val="212"/>
        </w:trPr>
        <w:tc>
          <w:tcPr>
            <w:tcW w:w="8440" w:type="dxa"/>
            <w:vAlign w:val="bottom"/>
            <w:gridSpan w:val="2"/>
          </w:tcPr>
          <w:p>
            <w:pPr>
              <w:ind w:left="3700"/>
              <w:spacing w:after="0"/>
              <w:rPr>
                <w:sz w:val="20"/>
                <w:szCs w:val="20"/>
                <w:color w:val="auto"/>
              </w:rPr>
            </w:pPr>
            <w:r>
              <w:rPr>
                <w:rFonts w:ascii="Arial" w:cs="Arial" w:eastAsia="Arial" w:hAnsi="Arial"/>
                <w:sz w:val="16"/>
                <w:szCs w:val="16"/>
                <w:b w:val="1"/>
                <w:bCs w:val="1"/>
                <w:color w:val="auto"/>
              </w:rPr>
              <w:t>Taxable Year</w:t>
            </w:r>
          </w:p>
        </w:tc>
        <w:tc>
          <w:tcPr>
            <w:tcW w:w="1480" w:type="dxa"/>
            <w:vAlign w:val="bottom"/>
            <w:gridSpan w:val="2"/>
          </w:tcPr>
          <w:p>
            <w:pPr>
              <w:ind w:left="300"/>
              <w:spacing w:after="0"/>
              <w:rPr>
                <w:sz w:val="20"/>
                <w:szCs w:val="20"/>
                <w:color w:val="auto"/>
              </w:rPr>
            </w:pPr>
            <w:r>
              <w:rPr>
                <w:rFonts w:ascii="Arial" w:cs="Arial" w:eastAsia="Arial" w:hAnsi="Arial"/>
                <w:sz w:val="16"/>
                <w:szCs w:val="16"/>
                <w:b w:val="1"/>
                <w:bCs w:val="1"/>
                <w:color w:val="auto"/>
              </w:rPr>
              <w:t>Rate (%)</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r>
      <w:tr>
        <w:trPr>
          <w:trHeight w:val="190"/>
        </w:trPr>
        <w:tc>
          <w:tcPr>
            <w:tcW w:w="8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2020</w:t>
            </w: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w w:val="78"/>
              </w:rPr>
              <w:t>32</w:t>
            </w:r>
          </w:p>
        </w:tc>
        <w:tc>
          <w:tcPr>
            <w:tcW w:w="2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tcBorders>
            <w:shd w:val="clear" w:color="auto" w:fill="CCEEFF"/>
          </w:tcPr>
          <w:p>
            <w:pPr>
              <w:spacing w:after="0"/>
              <w:rPr>
                <w:sz w:val="16"/>
                <w:szCs w:val="16"/>
                <w:color w:val="auto"/>
              </w:rPr>
            </w:pPr>
          </w:p>
        </w:tc>
      </w:tr>
      <w:tr>
        <w:trPr>
          <w:trHeight w:val="197"/>
        </w:trPr>
        <w:tc>
          <w:tcPr>
            <w:tcW w:w="8320" w:type="dxa"/>
            <w:vAlign w:val="bottom"/>
          </w:tcPr>
          <w:p>
            <w:pPr>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7"/>
                <w:szCs w:val="17"/>
                <w:color w:val="auto"/>
              </w:rPr>
            </w:pPr>
          </w:p>
        </w:tc>
        <w:tc>
          <w:tcPr>
            <w:tcW w:w="1480" w:type="dxa"/>
            <w:vAlign w:val="bottom"/>
            <w:gridSpan w:val="2"/>
          </w:tcPr>
          <w:p>
            <w:pPr>
              <w:ind w:left="1080"/>
              <w:spacing w:after="0"/>
              <w:rPr>
                <w:sz w:val="20"/>
                <w:szCs w:val="20"/>
                <w:color w:val="auto"/>
              </w:rPr>
            </w:pPr>
            <w:r>
              <w:rPr>
                <w:rFonts w:ascii="Arial" w:cs="Arial" w:eastAsia="Arial" w:hAnsi="Arial"/>
                <w:sz w:val="16"/>
                <w:szCs w:val="16"/>
                <w:color w:val="auto"/>
              </w:rPr>
              <w:t>31</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r>
      <w:tr>
        <w:trPr>
          <w:trHeight w:val="197"/>
        </w:trPr>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30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r>
      <w:tr>
        <w:trPr>
          <w:trHeight w:val="208"/>
        </w:trPr>
        <w:tc>
          <w:tcPr>
            <w:tcW w:w="8440" w:type="dxa"/>
            <w:vAlign w:val="bottom"/>
            <w:gridSpan w:val="2"/>
          </w:tcPr>
          <w:p>
            <w:pPr>
              <w:spacing w:after="0"/>
              <w:rPr>
                <w:sz w:val="20"/>
                <w:szCs w:val="20"/>
                <w:color w:val="auto"/>
              </w:rPr>
            </w:pPr>
            <w:r>
              <w:rPr>
                <w:rFonts w:ascii="Arial" w:cs="Arial" w:eastAsia="Arial" w:hAnsi="Arial"/>
                <w:sz w:val="16"/>
                <w:szCs w:val="16"/>
                <w:color w:val="auto"/>
              </w:rPr>
              <w:t>As of 2023</w:t>
            </w:r>
          </w:p>
        </w:tc>
        <w:tc>
          <w:tcPr>
            <w:tcW w:w="1480" w:type="dxa"/>
            <w:vAlign w:val="bottom"/>
            <w:gridSpan w:val="2"/>
          </w:tcPr>
          <w:p>
            <w:pPr>
              <w:ind w:left="1080"/>
              <w:spacing w:after="0"/>
              <w:rPr>
                <w:sz w:val="20"/>
                <w:szCs w:val="20"/>
                <w:color w:val="auto"/>
              </w:rPr>
            </w:pPr>
            <w:r>
              <w:rPr>
                <w:rFonts w:ascii="Arial" w:cs="Arial" w:eastAsia="Arial" w:hAnsi="Arial"/>
                <w:sz w:val="16"/>
                <w:szCs w:val="16"/>
                <w:color w:val="auto"/>
              </w:rPr>
              <w:t>30</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178625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76" w:lineRule="exact"/>
        <w:rPr>
          <w:sz w:val="20"/>
          <w:szCs w:val="20"/>
          <w:color w:val="auto"/>
        </w:rPr>
      </w:pPr>
    </w:p>
    <w:p>
      <w:pPr>
        <w:ind w:left="302" w:right="100" w:hanging="302"/>
        <w:spacing w:after="0" w:line="271" w:lineRule="auto"/>
        <w:tabs>
          <w:tab w:leader="none" w:pos="30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additional rate (surcharge) will be applicable only to financial entities that, in the corresponding year, have a taxable rate equal to or greater than 120,000 units of tax value (</w:t>
      </w:r>
      <w:r>
        <w:rPr>
          <w:rFonts w:ascii="Arial" w:cs="Arial" w:eastAsia="Arial" w:hAnsi="Arial"/>
          <w:sz w:val="16"/>
          <w:szCs w:val="16"/>
          <w:i w:val="1"/>
          <w:iCs w:val="1"/>
          <w:color w:val="auto"/>
        </w:rPr>
        <w:t>Unidad de Valor Tributario</w:t>
      </w:r>
      <w:r>
        <w:rPr>
          <w:rFonts w:ascii="Arial" w:cs="Arial" w:eastAsia="Arial" w:hAnsi="Arial"/>
          <w:sz w:val="16"/>
          <w:szCs w:val="16"/>
          <w:color w:val="auto"/>
        </w:rPr>
        <w:t>) which for the year of 2020 amounts to a total of S/3.9 million. Accordingly, Credicorp Capital Colombia, Credicorp Capital Fiduciaria and Banco Compartir must pay income tax taking into account based on the aforementioned.</w:t>
      </w:r>
    </w:p>
    <w:p>
      <w:pPr>
        <w:spacing w:after="0" w:line="35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23" w:right="339" w:bottom="1440" w:gutter="0" w:footer="0" w:header="0"/>
        </w:sectPr>
      </w:pPr>
    </w:p>
    <w:bookmarkStart w:id="131" w:name="page132"/>
    <w:bookmarkEnd w:id="131"/>
    <w:p>
      <w:pPr>
        <w:ind w:right="320" w:firstLine="295"/>
        <w:spacing w:after="0" w:line="287" w:lineRule="auto"/>
        <w:rPr>
          <w:sz w:val="20"/>
          <w:szCs w:val="20"/>
          <w:color w:val="auto"/>
        </w:rPr>
      </w:pPr>
      <w:r>
        <w:rPr>
          <w:rFonts w:ascii="Arial" w:cs="Arial" w:eastAsia="Arial" w:hAnsi="Arial"/>
          <w:sz w:val="16"/>
          <w:szCs w:val="16"/>
          <w:color w:val="auto"/>
        </w:rPr>
        <w:t>ASHC and its subsidiaries are not subject to taxes in the Cayman Islands or Panama. For 2019 and 2020 to the date hereof, no taxable income was generated from their operations in the United States of America.</w:t>
      </w:r>
    </w:p>
    <w:p>
      <w:pPr>
        <w:spacing w:after="0" w:line="150" w:lineRule="exact"/>
        <w:rPr>
          <w:sz w:val="20"/>
          <w:szCs w:val="20"/>
          <w:color w:val="auto"/>
        </w:rPr>
      </w:pPr>
    </w:p>
    <w:p>
      <w:pPr>
        <w:ind w:right="140" w:firstLine="295"/>
        <w:spacing w:after="0" w:line="362" w:lineRule="auto"/>
        <w:rPr>
          <w:sz w:val="20"/>
          <w:szCs w:val="20"/>
          <w:color w:val="auto"/>
        </w:rPr>
      </w:pPr>
      <w:r>
        <w:rPr>
          <w:rFonts w:ascii="Arial" w:cs="Arial" w:eastAsia="Arial" w:hAnsi="Arial"/>
          <w:sz w:val="14"/>
          <w:szCs w:val="14"/>
          <w:color w:val="auto"/>
        </w:rPr>
        <w:t>Tax expenses paid by the subsidiaries decreased to S/145.8 million in the three months ended March 31, 2020 from S/422.2 million in the three months ended March 31, 2019. Income tax decrease in these periods reflects decreases in our taxable income. Since 1994, we have paid the Peruvian income tax at the statutory rate.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by Line of Business for the Three Months Ended March 31, 2019 Compared to the Three Months Ended March 31, 2020</w:t>
      </w:r>
    </w:p>
    <w:p>
      <w:pPr>
        <w:spacing w:after="0" w:line="213" w:lineRule="exact"/>
        <w:rPr>
          <w:sz w:val="20"/>
          <w:szCs w:val="20"/>
          <w:color w:val="auto"/>
        </w:rPr>
      </w:pPr>
    </w:p>
    <w:p>
      <w:pPr>
        <w:ind w:right="120" w:firstLine="295"/>
        <w:spacing w:after="0" w:line="266" w:lineRule="auto"/>
        <w:rPr>
          <w:sz w:val="20"/>
          <w:szCs w:val="20"/>
          <w:color w:val="auto"/>
        </w:rPr>
      </w:pPr>
      <w:r>
        <w:rPr>
          <w:rFonts w:ascii="Arial" w:cs="Arial" w:eastAsia="Arial" w:hAnsi="Arial"/>
          <w:sz w:val="16"/>
          <w:szCs w:val="16"/>
          <w:color w:val="auto"/>
        </w:rPr>
        <w:t>The following discussion of our results of operations is based on the interim financial information derived from our unaudited condensed consolidated interim financial information. In the following discussion, references to increases or decreases in any three months ended are made by comparison with the corresponding prior three months ended, as applicable, except as the context otherwise indicates. The discussion in this section is based on a comparison of the three months ended March 31, 2019 with the three months ended March 31, 2020 for each of our lines of business.</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Universal Banking</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Assets Structure</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auto"/>
        </w:rPr>
        <w:t>BCP Stand-alone</w:t>
      </w:r>
    </w:p>
    <w:p>
      <w:pPr>
        <w:spacing w:after="0" w:line="209" w:lineRule="exact"/>
        <w:rPr>
          <w:sz w:val="20"/>
          <w:szCs w:val="20"/>
          <w:color w:val="auto"/>
        </w:rPr>
      </w:pPr>
    </w:p>
    <w:p>
      <w:pPr>
        <w:jc w:val="both"/>
        <w:ind w:firstLine="295"/>
        <w:spacing w:after="0" w:line="327" w:lineRule="auto"/>
        <w:rPr>
          <w:sz w:val="20"/>
          <w:szCs w:val="20"/>
          <w:color w:val="auto"/>
        </w:rPr>
      </w:pPr>
      <w:r>
        <w:rPr>
          <w:rFonts w:ascii="Arial" w:cs="Arial" w:eastAsia="Arial" w:hAnsi="Arial"/>
          <w:sz w:val="14"/>
          <w:szCs w:val="14"/>
          <w:color w:val="auto"/>
        </w:rPr>
        <w:t>At the end of the three months ended March 31, 2020, BCP Stand-alone’s total assets amounted to S/148.7 billion, which represents a 11.7% increase compared to the three months ended March 31, 2019 (S/133.2 billion in the three months ended March 31, 2019). The increase in total assets in the three months ended March 31, 2020 was mainly due to the increase of our loan portfolio, which grew by 12% in the three months ended March 31, 2020 (7.8% in the three months ended March 31, 2019).</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of March 31, 2020, BCP Stand-alone’s total loans, measured in average daily balances, expanded 8.0% year-over-year. This increase was primarily due to:</w:t>
      </w:r>
    </w:p>
    <w:p>
      <w:pPr>
        <w:spacing w:after="0" w:line="221" w:lineRule="exact"/>
        <w:rPr>
          <w:sz w:val="20"/>
          <w:szCs w:val="20"/>
          <w:color w:val="auto"/>
        </w:rPr>
      </w:pPr>
    </w:p>
    <w:p>
      <w:pPr>
        <w:ind w:left="580" w:right="120" w:hanging="287"/>
        <w:spacing w:after="0" w:line="271" w:lineRule="auto"/>
        <w:tabs>
          <w:tab w:leader="none" w:pos="5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increase in retail banking loans, led by mortgages, which increased by 12.0% in average daily balances (due to market dynamism and Mivivienda loans, as well as to the consumer, SME-Pyme and credit cards segments, which increased by 17.5%, 9.7% and 8.4%, respectively) as compared to the three months ended March 31, 2019.</w:t>
      </w:r>
    </w:p>
    <w:p>
      <w:pPr>
        <w:spacing w:after="0" w:line="162" w:lineRule="exact"/>
        <w:rPr>
          <w:rFonts w:ascii="Arial" w:cs="Arial" w:eastAsia="Arial" w:hAnsi="Arial"/>
          <w:sz w:val="16"/>
          <w:szCs w:val="16"/>
          <w:color w:val="auto"/>
        </w:rPr>
      </w:pPr>
    </w:p>
    <w:p>
      <w:pPr>
        <w:ind w:left="580" w:right="80" w:hanging="287"/>
        <w:spacing w:after="0" w:line="287" w:lineRule="auto"/>
        <w:tabs>
          <w:tab w:leader="none" w:pos="5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increase of 5.3% and 5.0% in average daily balances in Corporate Banking and middle-market loans, respectively, mainly in short-term financing, during the lockdown period in the second half of March.</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auto"/>
        </w:rPr>
        <w:t>BCP Bolivia</w:t>
      </w:r>
    </w:p>
    <w:p>
      <w:pPr>
        <w:spacing w:after="0" w:line="209" w:lineRule="exact"/>
        <w:rPr>
          <w:sz w:val="20"/>
          <w:szCs w:val="20"/>
          <w:color w:val="auto"/>
        </w:rPr>
      </w:pPr>
    </w:p>
    <w:p>
      <w:pPr>
        <w:ind w:right="80" w:firstLine="295"/>
        <w:spacing w:after="0" w:line="266" w:lineRule="auto"/>
        <w:rPr>
          <w:sz w:val="20"/>
          <w:szCs w:val="20"/>
          <w:color w:val="auto"/>
        </w:rPr>
      </w:pPr>
      <w:r>
        <w:rPr>
          <w:rFonts w:ascii="Arial" w:cs="Arial" w:eastAsia="Arial" w:hAnsi="Arial"/>
          <w:sz w:val="16"/>
          <w:szCs w:val="16"/>
          <w:color w:val="auto"/>
        </w:rPr>
        <w:t>At the end of the three months ended March 31, 2020, BCP Bolivia’s total assets amounted to S/11.4 billion, which represents a 14.9% increase compared to the three months ended March 31, 2019 of S/9.9 billion. The increase in total assets in the three months ended March 31, 2020 was mainly explained by the increase in cash due from banks and by a 77.7% and 9.2% increase, respectively, in our loan portfolio in the three months ended March 31, 2020 (as compared to a decrease of 4.7% and an increase of 13.5%, respectively, in the three months ended March 31, 2019).</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Portfolio Quality</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auto"/>
        </w:rPr>
        <w:t>BCP Stand-alone</w:t>
      </w:r>
    </w:p>
    <w:p>
      <w:pPr>
        <w:spacing w:after="0" w:line="209" w:lineRule="exact"/>
        <w:rPr>
          <w:sz w:val="20"/>
          <w:szCs w:val="20"/>
          <w:color w:val="auto"/>
        </w:rPr>
      </w:pPr>
    </w:p>
    <w:p>
      <w:pPr>
        <w:ind w:firstLine="295"/>
        <w:spacing w:after="0" w:line="261" w:lineRule="auto"/>
        <w:rPr>
          <w:sz w:val="20"/>
          <w:szCs w:val="20"/>
          <w:color w:val="auto"/>
        </w:rPr>
      </w:pPr>
      <w:r>
        <w:rPr>
          <w:rFonts w:ascii="Arial" w:cs="Arial" w:eastAsia="Arial" w:hAnsi="Arial"/>
          <w:sz w:val="16"/>
          <w:szCs w:val="16"/>
          <w:color w:val="auto"/>
        </w:rPr>
        <w:t>The IOL ratio at BCP Stand-alone increased from 2.72% at the end of the three months ended March 31, 2019 to 2.79% at the end of the three months ended March 31, 2020. The ratio in the three months ended March 31, 2020 was higher than the three months ended March 31, 2019 following the deterioration in debt service capacity of a small number of clients in the SME-business segment. The IOL ratio at March 31, 2020 was also higher than the IOL ratio as of the end of the last three fiscal years (2.65% in 2017 and 2018; and 2.69% in 2019). The NPL ratio decreased from 3.98% in the three months ended March 31, 2019 to 3.79% at the end of the three months ended March 31, 2020. The ratio in the three months ended March 31, 2020 was lower than at the end of the three months ended March 31, 2019, as a result of loan growth in all segments, which offset the increase in non-performing loans. This ratio has remained relatively stable during the last three years (3.87% in 2017 and 2018; and 3.80% in 2019).</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32" w:name="page133"/>
    <w:bookmarkEnd w:id="132"/>
    <w:p>
      <w:pPr>
        <w:ind w:right="120" w:firstLine="295"/>
        <w:spacing w:after="0" w:line="280" w:lineRule="auto"/>
        <w:rPr>
          <w:sz w:val="20"/>
          <w:szCs w:val="20"/>
          <w:color w:val="auto"/>
        </w:rPr>
      </w:pPr>
      <w:r>
        <w:rPr>
          <w:rFonts w:ascii="Arial" w:cs="Arial" w:eastAsia="Arial" w:hAnsi="Arial"/>
          <w:sz w:val="15"/>
          <w:szCs w:val="15"/>
          <w:color w:val="auto"/>
        </w:rPr>
        <w:t>BCP Stand-alone’s net provisions for loan losses (expense of the P&amp;L) increased by 303.8%, primarily due to a deterioration in the SME-Pyme segment, and in non-revolving loans in particular, and to a lesser extent, the deterioration of the credit card segment, which reflected over indebtedness in the financial system. This is in line with expectations of a recession in Peru and the region and with the reduction in the debt servicing capacity of some clients due to the COVID-19 pandemic and the associated economic slowdown. BCP and the Peruvian government have taken several measures to offset the deterioration in the situation of clients and the economy respectively. As a result, cost of risk increased significantly from 1.23% in the three months ended March 31, 2019 to 4.44% in the three months ended March 31, 2020, a level which is higher than in the last three years (1.58% for 2017, 1.05% for 2018 and 1.43% for 2019). The increase in net provisions for loan losses resulted in an increase of the NPL coverage ratio from 103.3% in the three months ended March 31, 2019 to 118.1% at the end of the three months ended March 31, 2020, as a result of the higher growth in allowance for loan losses compared to the increase in non-performing loans.</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auto"/>
        </w:rPr>
        <w:t>BCP Bolivia</w:t>
      </w:r>
    </w:p>
    <w:p>
      <w:pPr>
        <w:spacing w:after="0" w:line="209" w:lineRule="exact"/>
        <w:rPr>
          <w:sz w:val="20"/>
          <w:szCs w:val="20"/>
          <w:color w:val="auto"/>
        </w:rPr>
      </w:pPr>
    </w:p>
    <w:p>
      <w:pPr>
        <w:ind w:right="120" w:firstLine="295"/>
        <w:spacing w:after="0" w:line="266" w:lineRule="auto"/>
        <w:rPr>
          <w:sz w:val="20"/>
          <w:szCs w:val="20"/>
          <w:color w:val="auto"/>
        </w:rPr>
      </w:pPr>
      <w:r>
        <w:rPr>
          <w:rFonts w:ascii="Arial" w:cs="Arial" w:eastAsia="Arial" w:hAnsi="Arial"/>
          <w:sz w:val="16"/>
          <w:szCs w:val="16"/>
          <w:color w:val="auto"/>
        </w:rPr>
        <w:t>BCP Bolivia’s net provisions for loan losses increased by 147.3% during the three months ended March 31, 2020 due to a change in macroeconomic expectations for Bolivia and in the debt servicing capacity of BCP Bolivia’s clients as a result of the COVID-19 pandemic. Nevertheless, the internal overdue ratio has improved by 27 basis points, from 2.13% in the three months ended March 31, 2019 to 1.86% in the three months ended March 31, 2020, after overdue loans were written off in the same period in 2019.</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Funding Structure</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auto"/>
        </w:rPr>
        <w:t>BCP Stand-alone</w:t>
      </w:r>
    </w:p>
    <w:p>
      <w:pPr>
        <w:spacing w:after="0" w:line="209" w:lineRule="exact"/>
        <w:rPr>
          <w:sz w:val="20"/>
          <w:szCs w:val="20"/>
          <w:color w:val="auto"/>
        </w:rPr>
      </w:pPr>
    </w:p>
    <w:p>
      <w:pPr>
        <w:ind w:right="140" w:firstLine="295"/>
        <w:spacing w:after="0" w:line="287" w:lineRule="auto"/>
        <w:rPr>
          <w:sz w:val="20"/>
          <w:szCs w:val="20"/>
          <w:color w:val="auto"/>
        </w:rPr>
      </w:pPr>
      <w:r>
        <w:rPr>
          <w:rFonts w:ascii="Arial" w:cs="Arial" w:eastAsia="Arial" w:hAnsi="Arial"/>
          <w:sz w:val="16"/>
          <w:szCs w:val="16"/>
          <w:color w:val="auto"/>
        </w:rPr>
        <w:t>At the end of the three months ended March 31, 2020, BCP Stand-alone’s total funding increased by 13.5% (in comparison to 3.1% in the three months ended March 31, 2019), mainly due to total deposits, which increased by 16.0% during fiscal year the three months ended March 31, 2020.</w:t>
      </w:r>
    </w:p>
    <w:p>
      <w:pPr>
        <w:spacing w:after="0" w:line="150" w:lineRule="exact"/>
        <w:rPr>
          <w:sz w:val="20"/>
          <w:szCs w:val="20"/>
          <w:color w:val="auto"/>
        </w:rPr>
      </w:pPr>
    </w:p>
    <w:p>
      <w:pPr>
        <w:ind w:right="40" w:firstLine="295"/>
        <w:spacing w:after="0" w:line="262" w:lineRule="auto"/>
        <w:rPr>
          <w:sz w:val="20"/>
          <w:szCs w:val="20"/>
          <w:color w:val="auto"/>
        </w:rPr>
      </w:pPr>
      <w:r>
        <w:rPr>
          <w:rFonts w:ascii="Arial" w:cs="Arial" w:eastAsia="Arial" w:hAnsi="Arial"/>
          <w:sz w:val="16"/>
          <w:szCs w:val="16"/>
          <w:color w:val="auto"/>
        </w:rPr>
        <w:t>Due to ongoing growth, total deposits reflected an increase in the share of total funding, which represented 76.9% for the three months ended March 31, 2020 (in comparison to 75.3% for the three months ended March 31, 2019). The increase was mainly due to (i) an increase in demand deposits (an increase of 25.7% year-on-year, due to an increase in the volume of non-interest bearing demand deposits attributable to current accounts held by corporate banking clients), (ii) an increase of 15.7% year-on-year in saving deposits, due to a decrease in consumers’ debit and credit card spending as a result of social isolation measures put in place in response to the COVID-19 pandemic and the results of the campaigns to capture savings accounts, mainly through digital channels, and (iii) a 7.1% increase in time deposits, mainly driven by deposits in foreign currency.</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auto"/>
        </w:rPr>
        <w:t>BCP Bolivia</w:t>
      </w:r>
    </w:p>
    <w:p>
      <w:pPr>
        <w:spacing w:after="0" w:line="209" w:lineRule="exact"/>
        <w:rPr>
          <w:sz w:val="20"/>
          <w:szCs w:val="20"/>
          <w:color w:val="auto"/>
        </w:rPr>
      </w:pPr>
    </w:p>
    <w:p>
      <w:pPr>
        <w:ind w:right="120" w:firstLine="295"/>
        <w:spacing w:after="0" w:line="287" w:lineRule="auto"/>
        <w:rPr>
          <w:sz w:val="20"/>
          <w:szCs w:val="20"/>
          <w:color w:val="auto"/>
        </w:rPr>
      </w:pPr>
      <w:r>
        <w:rPr>
          <w:rFonts w:ascii="Arial" w:cs="Arial" w:eastAsia="Arial" w:hAnsi="Arial"/>
          <w:sz w:val="16"/>
          <w:szCs w:val="16"/>
          <w:color w:val="auto"/>
        </w:rPr>
        <w:t>At the end of the three months ended March 31, 2020, BCP Bolivia increased its total funding by 16.2%, in comparison to 9.2% in the three months ended March 31, 2019. This was due to (i) an 11.9% increase in total deposits, and (ii) a 427.1% increase in repurchase agreements.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Financial ratios</w:t>
      </w:r>
    </w:p>
    <w:p>
      <w:pPr>
        <w:spacing w:after="0" w:line="209" w:lineRule="exact"/>
        <w:rPr>
          <w:sz w:val="20"/>
          <w:szCs w:val="20"/>
          <w:color w:val="auto"/>
        </w:rPr>
      </w:pPr>
    </w:p>
    <w:p>
      <w:pPr>
        <w:jc w:val="both"/>
        <w:ind w:firstLine="295"/>
        <w:spacing w:after="0" w:line="266" w:lineRule="auto"/>
        <w:rPr>
          <w:sz w:val="20"/>
          <w:szCs w:val="20"/>
          <w:color w:val="auto"/>
        </w:rPr>
      </w:pPr>
      <w:r>
        <w:rPr>
          <w:rFonts w:ascii="Arial" w:cs="Arial" w:eastAsia="Arial" w:hAnsi="Arial"/>
          <w:sz w:val="16"/>
          <w:szCs w:val="16"/>
          <w:color w:val="auto"/>
        </w:rPr>
        <w:t>BCP Stand-alone’s net earnings contribution to Credicorp totaled S/142,2 million in the three months ended March 31, 2020, which represented a 82.6% decrease with regard to the S/816.0 million reported in the three months ended March 31, 2019. This was mainly driven by a significant increase in provisions for loan losses, which have been set aside in advance, given that we foresee a severe economic downturn and a subsequent material increase in the probability of default in certain sectors of clients, in line with IFRS 9.</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33" w:name="page134"/>
    <w:bookmarkEnd w:id="133"/>
    <w:p>
      <w:pPr>
        <w:ind w:right="20" w:firstLine="295"/>
        <w:spacing w:after="0" w:line="266" w:lineRule="auto"/>
        <w:rPr>
          <w:sz w:val="20"/>
          <w:szCs w:val="20"/>
          <w:color w:val="auto"/>
        </w:rPr>
      </w:pPr>
      <w:r>
        <w:rPr>
          <w:rFonts w:ascii="Arial" w:cs="Arial" w:eastAsia="Arial" w:hAnsi="Arial"/>
          <w:sz w:val="16"/>
          <w:szCs w:val="16"/>
          <w:color w:val="auto"/>
        </w:rPr>
        <w:t>BCP Stand-alone’s ROAE contribution to Credicorp was 3.5% in the three months ended March 31, 2020 (versus 22.5% in the three months ended March 31, 2019). The evolution in the three months ended March 31, 2020 reflects (i) an increase in provisions for loan losses, (ii) a S/100 million non-deductible charge for COVID-19 donations in other expenses, (iii) a decrease in non-financial income, due to realized losses in net gain on securities, and (iv) a decrease in both fee income and net gains on foreign exchange differences and transactions.</w:t>
      </w:r>
    </w:p>
    <w:p>
      <w:pPr>
        <w:spacing w:after="0" w:line="167" w:lineRule="exact"/>
        <w:rPr>
          <w:sz w:val="20"/>
          <w:szCs w:val="20"/>
          <w:color w:val="auto"/>
        </w:rPr>
      </w:pPr>
    </w:p>
    <w:p>
      <w:pPr>
        <w:ind w:right="60" w:firstLine="295"/>
        <w:spacing w:after="0" w:line="271" w:lineRule="auto"/>
        <w:rPr>
          <w:sz w:val="20"/>
          <w:szCs w:val="20"/>
          <w:color w:val="auto"/>
        </w:rPr>
      </w:pPr>
      <w:r>
        <w:rPr>
          <w:rFonts w:ascii="Arial" w:cs="Arial" w:eastAsia="Arial" w:hAnsi="Arial"/>
          <w:sz w:val="16"/>
          <w:szCs w:val="16"/>
          <w:color w:val="auto"/>
        </w:rPr>
        <w:t>Net interest margin (“NIM”) was situated at 4.70% in the three months ended March 31, 2020. This represented a decrease of four basis points from 4.74% for the three months ended March 31, 2019. This decrease was in line with the lower market rates, that mainly affected the wholesale banking segments, which are more sensitive to interest rate movements.</w:t>
      </w:r>
    </w:p>
    <w:p>
      <w:pPr>
        <w:spacing w:after="0" w:line="163" w:lineRule="exact"/>
        <w:rPr>
          <w:sz w:val="20"/>
          <w:szCs w:val="20"/>
          <w:color w:val="auto"/>
        </w:rPr>
      </w:pPr>
    </w:p>
    <w:p>
      <w:pPr>
        <w:ind w:right="20" w:firstLine="295"/>
        <w:spacing w:after="0" w:line="264" w:lineRule="auto"/>
        <w:rPr>
          <w:sz w:val="20"/>
          <w:szCs w:val="20"/>
          <w:color w:val="auto"/>
        </w:rPr>
      </w:pPr>
      <w:r>
        <w:rPr>
          <w:rFonts w:ascii="Arial" w:cs="Arial" w:eastAsia="Arial" w:hAnsi="Arial"/>
          <w:sz w:val="16"/>
          <w:szCs w:val="16"/>
          <w:color w:val="auto"/>
        </w:rPr>
        <w:t>In the three months ended March 31, 2020, the efficiency ratio at BCP Stand-alone increased by 70 basis points, from 38.1% in the three months ended March 31, 2019 to 38.8% for the three months ended March 31, 2020. This increase was due to the lower growth of operating income compared to the increase of operating expenses. The increase in operating expenses was due primarily to an increase in administrative and general expenses, mainly attributable to payments for software programs and marketing expenses, and an increase in expense for salaries and employee benefits, due to an increase in headcount in 2019. The abovementioned was offset by an increase in net interest income, in line with growth in average daily balances.</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Microfinance</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Assets Structure</w:t>
      </w:r>
    </w:p>
    <w:p>
      <w:pPr>
        <w:spacing w:after="0" w:line="209" w:lineRule="exact"/>
        <w:rPr>
          <w:sz w:val="20"/>
          <w:szCs w:val="20"/>
          <w:color w:val="auto"/>
        </w:rPr>
      </w:pPr>
    </w:p>
    <w:p>
      <w:pPr>
        <w:ind w:firstLine="295"/>
        <w:spacing w:after="0" w:line="271" w:lineRule="auto"/>
        <w:rPr>
          <w:sz w:val="20"/>
          <w:szCs w:val="20"/>
          <w:color w:val="auto"/>
        </w:rPr>
      </w:pPr>
      <w:r>
        <w:rPr>
          <w:rFonts w:ascii="Arial" w:cs="Arial" w:eastAsia="Arial" w:hAnsi="Arial"/>
          <w:sz w:val="16"/>
          <w:szCs w:val="16"/>
          <w:color w:val="auto"/>
        </w:rPr>
        <w:t>The total asset level at Mibanco was situated at S/13.5 billion as of March 31, 2020 (compared to S/13.4 billion as of March 31, 2019). The 1.2% increase in total assets in the three months ended March 31, 2020 reflects the increase in our loan portfolio, which was driven by business expansion. This was offset by a decrease in short-term investments after a strategy was implemented to optimize the structure of the composition of the portfolio.</w:t>
      </w:r>
    </w:p>
    <w:p>
      <w:pPr>
        <w:spacing w:after="0" w:line="163" w:lineRule="exact"/>
        <w:rPr>
          <w:sz w:val="20"/>
          <w:szCs w:val="20"/>
          <w:color w:val="auto"/>
        </w:rPr>
      </w:pPr>
    </w:p>
    <w:p>
      <w:pPr>
        <w:ind w:right="160" w:firstLine="295"/>
        <w:spacing w:after="0" w:line="301" w:lineRule="auto"/>
        <w:rPr>
          <w:sz w:val="20"/>
          <w:szCs w:val="20"/>
          <w:color w:val="auto"/>
        </w:rPr>
      </w:pPr>
      <w:r>
        <w:rPr>
          <w:rFonts w:ascii="Arial" w:cs="Arial" w:eastAsia="Arial" w:hAnsi="Arial"/>
          <w:sz w:val="14"/>
          <w:szCs w:val="14"/>
          <w:color w:val="auto"/>
        </w:rPr>
        <w:t>On March 31, 2020, Mibanco’s loans posted an increase of 5.3% year-over-year (compared to 5.6% in the three months ended March 31, 2019). This increase was primarily attributable to an increase in loans in the small business segment, which increased 9.2% in the three months ended March 31, 2020 (compared to an increase of</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8.9% in the three months ended March 31, 2019). The increase offset the decrease in loans in the microbusiness segment, which registered a decrease of 3.4% in the three months ended March 31, 2020 (compared to an increase of 0.7% in the three months ended March 31, 2019). The small business and microbusiness segments represented a lower share of total loans in the three months ended March 31, 2020 with shares of 60.4% and 25.5% respectively. Additionally, Mibanco’s loan portfolio was highly concentrated in Soles as LC loans represented 99.5% of total loans as of March 31, 2020 (compared to 99.3% as of March 31, 2019).</w:t>
      </w:r>
    </w:p>
    <w:p>
      <w:pPr>
        <w:spacing w:after="0" w:line="155" w:lineRule="exact"/>
        <w:rPr>
          <w:sz w:val="20"/>
          <w:szCs w:val="20"/>
          <w:color w:val="auto"/>
        </w:rPr>
      </w:pPr>
    </w:p>
    <w:p>
      <w:pPr>
        <w:ind w:right="60" w:firstLine="295"/>
        <w:spacing w:after="0" w:line="298" w:lineRule="auto"/>
        <w:rPr>
          <w:sz w:val="20"/>
          <w:szCs w:val="20"/>
          <w:color w:val="auto"/>
        </w:rPr>
      </w:pPr>
      <w:r>
        <w:rPr>
          <w:rFonts w:ascii="Arial" w:cs="Arial" w:eastAsia="Arial" w:hAnsi="Arial"/>
          <w:sz w:val="15"/>
          <w:szCs w:val="15"/>
          <w:color w:val="auto"/>
        </w:rPr>
        <w:t>Short-term investments fell 8.9% in the three months ended March 31, 2020 (compared to a decrease of 2.1% in the three months ended March 31, 2019). The decline was associated with the sale of BCRP Certificates of Deposits and in line with the strategy to optimize the composition of the portfolio. The loan portfolio represented 97.6% of total interest-earning assets in the three months ended March 31, 2020 (compared to 96.5% in the three months ended March 31, 2019).</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Portfolio Quality</w:t>
      </w:r>
    </w:p>
    <w:p>
      <w:pPr>
        <w:spacing w:after="0" w:line="209" w:lineRule="exact"/>
        <w:rPr>
          <w:sz w:val="20"/>
          <w:szCs w:val="20"/>
          <w:color w:val="auto"/>
        </w:rPr>
      </w:pPr>
    </w:p>
    <w:p>
      <w:pPr>
        <w:ind w:firstLine="295"/>
        <w:spacing w:after="0" w:line="295" w:lineRule="auto"/>
        <w:rPr>
          <w:sz w:val="20"/>
          <w:szCs w:val="20"/>
          <w:color w:val="auto"/>
        </w:rPr>
      </w:pPr>
      <w:r>
        <w:rPr>
          <w:rFonts w:ascii="Arial" w:cs="Arial" w:eastAsia="Arial" w:hAnsi="Arial"/>
          <w:sz w:val="14"/>
          <w:szCs w:val="14"/>
          <w:color w:val="auto"/>
        </w:rPr>
        <w:t>Mibanco’s cost of risk ratio, which is defined as net provisions for loan losses over total loans, was situated at 6.7% on March 31, 2020. This reflected a variation of 315 basis points, over the 3.6% reported on the three months ended March 31, 2019. This was the result of provisions made in connection with the COVID-19 pandemic and operating improvements in the origination and collections processes, in each case as follows: (i) the recording of additional provisions, in line with expectations of a recession in Peru and with the reduction in the debt service capacity of some clients due to the economic consequences of the COVID-19 pandemic; (ii) adjustments in credit policies and models; (iii) focus on early collections and improving the scheme of incentives for the sales force; and (iv) development of new channels and collections strategies. The increase in net provisions for loan losses resulted in an increase of the NPL coverage ratio, from 138.2% in the three months ended March 31, 2019 to</w:t>
      </w:r>
    </w:p>
    <w:p>
      <w:pPr>
        <w:spacing w:after="0" w:line="3" w:lineRule="exact"/>
        <w:rPr>
          <w:sz w:val="20"/>
          <w:szCs w:val="20"/>
          <w:color w:val="auto"/>
        </w:rPr>
      </w:pPr>
    </w:p>
    <w:p>
      <w:pPr>
        <w:ind w:right="340"/>
        <w:spacing w:after="0" w:line="272" w:lineRule="auto"/>
        <w:rPr>
          <w:sz w:val="20"/>
          <w:szCs w:val="20"/>
          <w:color w:val="auto"/>
        </w:rPr>
      </w:pPr>
      <w:r>
        <w:rPr>
          <w:rFonts w:ascii="Arial" w:cs="Arial" w:eastAsia="Arial" w:hAnsi="Arial"/>
          <w:sz w:val="16"/>
          <w:szCs w:val="16"/>
          <w:color w:val="auto"/>
        </w:rPr>
        <w:t>156.7% at the end of the three months ended March 31, 2020, as a result of the higher growth in allowance for loan losses compared to the increase in non-performing loans. The coverage ratio was higher than in the last three years (148.9% for 2017, 142.2% for 2018 and 139.2% for 2019).</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34" w:name="page135"/>
    <w:bookmarkEnd w:id="134"/>
    <w:p>
      <w:pPr>
        <w:ind w:left="300"/>
        <w:spacing w:after="0"/>
        <w:rPr>
          <w:sz w:val="20"/>
          <w:szCs w:val="20"/>
          <w:color w:val="auto"/>
        </w:rPr>
      </w:pPr>
      <w:r>
        <w:rPr>
          <w:rFonts w:ascii="Arial" w:cs="Arial" w:eastAsia="Arial" w:hAnsi="Arial"/>
          <w:sz w:val="16"/>
          <w:szCs w:val="16"/>
          <w:i w:val="1"/>
          <w:iCs w:val="1"/>
          <w:color w:val="auto"/>
        </w:rPr>
        <w:t>Funding Structure</w:t>
      </w:r>
    </w:p>
    <w:p>
      <w:pPr>
        <w:spacing w:after="0" w:line="209" w:lineRule="exact"/>
        <w:rPr>
          <w:sz w:val="20"/>
          <w:szCs w:val="20"/>
          <w:color w:val="auto"/>
        </w:rPr>
      </w:pPr>
    </w:p>
    <w:p>
      <w:pPr>
        <w:ind w:right="80" w:firstLine="295"/>
        <w:spacing w:after="0" w:line="298" w:lineRule="auto"/>
        <w:rPr>
          <w:sz w:val="20"/>
          <w:szCs w:val="20"/>
          <w:color w:val="auto"/>
        </w:rPr>
      </w:pPr>
      <w:r>
        <w:rPr>
          <w:rFonts w:ascii="Arial" w:cs="Arial" w:eastAsia="Arial" w:hAnsi="Arial"/>
          <w:sz w:val="15"/>
          <w:szCs w:val="15"/>
          <w:color w:val="auto"/>
        </w:rPr>
        <w:t>On March 31, 2020, total liabilities at Mibanco amounted to S/11.4 billion, which represented a decrease of 0.3% with regard to the total liabilities reported at the end of the three months ended March 31, 2019 (S/11.4 billion at the end of the three months ended March 31, 2019). In the three months ended March 31, 2020, Mibanco’s funding strategy reflected an increase in retail deposits and amounts due to other banks and a decrease in institutional deposits and bond debt.</w:t>
      </w:r>
    </w:p>
    <w:p>
      <w:pPr>
        <w:spacing w:after="0" w:line="144" w:lineRule="exact"/>
        <w:rPr>
          <w:sz w:val="20"/>
          <w:szCs w:val="20"/>
          <w:color w:val="auto"/>
        </w:rPr>
      </w:pPr>
    </w:p>
    <w:p>
      <w:pPr>
        <w:ind w:right="260" w:firstLine="295"/>
        <w:spacing w:after="0" w:line="316" w:lineRule="auto"/>
        <w:rPr>
          <w:sz w:val="20"/>
          <w:szCs w:val="20"/>
          <w:color w:val="auto"/>
        </w:rPr>
      </w:pPr>
      <w:r>
        <w:rPr>
          <w:rFonts w:ascii="Arial" w:cs="Arial" w:eastAsia="Arial" w:hAnsi="Arial"/>
          <w:sz w:val="14"/>
          <w:szCs w:val="14"/>
          <w:color w:val="auto"/>
        </w:rPr>
        <w:t>In the three months ended March 31, 2020 total deposits continued to represent the largest source of funding, accounting for 73.3% of total liabilities (compared to 73.7% in the three months ended March 31, 2019). In the three months ended March 31, 2020, the increase in deposits was led by retail channels, while institutional deposits decreased considerably. In this context, retail time and retail savings deposits increased 19.8% and 11.4%, respectively. Consequently, retail deposits posted an increase in their share of total funding, going from 38.8% in the three months ended March 31, 2019 to 44.2% in the three months ended March 31, 2020.</w:t>
      </w:r>
    </w:p>
    <w:p>
      <w:pPr>
        <w:spacing w:after="0" w:line="135" w:lineRule="exact"/>
        <w:rPr>
          <w:sz w:val="20"/>
          <w:szCs w:val="20"/>
          <w:color w:val="auto"/>
        </w:rPr>
      </w:pPr>
    </w:p>
    <w:p>
      <w:pPr>
        <w:ind w:right="480" w:firstLine="295"/>
        <w:spacing w:after="0" w:line="287" w:lineRule="auto"/>
        <w:rPr>
          <w:sz w:val="20"/>
          <w:szCs w:val="20"/>
          <w:color w:val="auto"/>
        </w:rPr>
      </w:pPr>
      <w:r>
        <w:rPr>
          <w:rFonts w:ascii="Arial" w:cs="Arial" w:eastAsia="Arial" w:hAnsi="Arial"/>
          <w:sz w:val="16"/>
          <w:szCs w:val="16"/>
          <w:color w:val="auto"/>
        </w:rPr>
        <w:t>In the three months ended March 31, 2020, Mibanco increased its loans with other banks to take advantage of lower interest rates. Financing through bonds and subordinated debt fell due to the expiration of issuances.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Financial ratios</w:t>
      </w:r>
    </w:p>
    <w:p>
      <w:pPr>
        <w:spacing w:after="0" w:line="209" w:lineRule="exact"/>
        <w:rPr>
          <w:sz w:val="20"/>
          <w:szCs w:val="20"/>
          <w:color w:val="auto"/>
        </w:rPr>
      </w:pPr>
    </w:p>
    <w:p>
      <w:pPr>
        <w:jc w:val="both"/>
        <w:ind w:right="260" w:firstLine="295"/>
        <w:spacing w:after="0" w:line="271" w:lineRule="auto"/>
        <w:rPr>
          <w:sz w:val="20"/>
          <w:szCs w:val="20"/>
          <w:color w:val="auto"/>
        </w:rPr>
      </w:pPr>
      <w:r>
        <w:rPr>
          <w:rFonts w:ascii="Arial" w:cs="Arial" w:eastAsia="Arial" w:hAnsi="Arial"/>
          <w:sz w:val="16"/>
          <w:szCs w:val="16"/>
          <w:color w:val="auto"/>
        </w:rPr>
        <w:t>Net earnings at Mibanco totaled S/34.1 million in the three months ended March 31, 2020, which represented a 66.5% decrease with regard to the S/101.9 million reported in the three months ended March 31, 2019. Net earnings attributable to Credicorp totaled S/33.3 million in the three months ended March 31, 2020, which was 66.5% lower than in the three months ended March 31, 2019 of S/99.6 million.</w:t>
      </w:r>
    </w:p>
    <w:p>
      <w:pPr>
        <w:spacing w:after="0" w:line="163" w:lineRule="exact"/>
        <w:rPr>
          <w:sz w:val="20"/>
          <w:szCs w:val="20"/>
          <w:color w:val="auto"/>
        </w:rPr>
      </w:pPr>
    </w:p>
    <w:p>
      <w:pPr>
        <w:ind w:right="240" w:firstLine="295"/>
        <w:spacing w:after="0" w:line="264" w:lineRule="auto"/>
        <w:rPr>
          <w:sz w:val="20"/>
          <w:szCs w:val="20"/>
          <w:color w:val="auto"/>
        </w:rPr>
      </w:pPr>
      <w:r>
        <w:rPr>
          <w:rFonts w:ascii="Arial" w:cs="Arial" w:eastAsia="Arial" w:hAnsi="Arial"/>
          <w:sz w:val="16"/>
          <w:szCs w:val="16"/>
          <w:color w:val="auto"/>
        </w:rPr>
        <w:t>Mibanco’s ROAE contribution to Credicorp was 6.5% (compared to 21.3% in the three months ended March 31, 2019). The evolution in the three months ended March 31, 2020 reflects (i) an increase in net interest income; (ii) an increase in net provisions for loans losses, which was attributable to provisions made in connection with the COVID-19 pandemic that offset improvements in loan acceptance practices and portfolio quality; (iii) a decrease in non-financial income, driven by fees from bancassurance; and (iv) an increase in operating expenses due to an increase in the headcount of the sales force and donations to alleviate the distress of the most vulnerable segments of the population during the COVID-19 pandemic.</w:t>
      </w:r>
    </w:p>
    <w:p>
      <w:pPr>
        <w:spacing w:after="0" w:line="167" w:lineRule="exact"/>
        <w:rPr>
          <w:sz w:val="20"/>
          <w:szCs w:val="20"/>
          <w:color w:val="auto"/>
        </w:rPr>
      </w:pPr>
    </w:p>
    <w:p>
      <w:pPr>
        <w:ind w:firstLine="295"/>
        <w:spacing w:after="0" w:line="271" w:lineRule="auto"/>
        <w:rPr>
          <w:sz w:val="20"/>
          <w:szCs w:val="20"/>
          <w:color w:val="auto"/>
        </w:rPr>
      </w:pPr>
      <w:r>
        <w:rPr>
          <w:rFonts w:ascii="Arial" w:cs="Arial" w:eastAsia="Arial" w:hAnsi="Arial"/>
          <w:sz w:val="16"/>
          <w:szCs w:val="16"/>
          <w:color w:val="auto"/>
        </w:rPr>
        <w:t>NIM was situated at 15.16% in the three months ended March 31, 2020. This represented an increase of 46 basis points compared to the three months ended March 31, 2019 of 14.70%. This increase was attributable to an increase in the interest rates offered in the microfinance market in the context of a new pricing strategy. Interest rate cuts were partially offset by an increase in the small business portfolio.</w:t>
      </w:r>
    </w:p>
    <w:p>
      <w:pPr>
        <w:spacing w:after="0" w:line="163" w:lineRule="exact"/>
        <w:rPr>
          <w:sz w:val="20"/>
          <w:szCs w:val="20"/>
          <w:color w:val="auto"/>
        </w:rPr>
      </w:pPr>
    </w:p>
    <w:p>
      <w:pPr>
        <w:ind w:right="180" w:firstLine="295"/>
        <w:spacing w:after="0" w:line="271" w:lineRule="auto"/>
        <w:rPr>
          <w:sz w:val="20"/>
          <w:szCs w:val="20"/>
          <w:color w:val="auto"/>
        </w:rPr>
      </w:pPr>
      <w:r>
        <w:rPr>
          <w:rFonts w:ascii="Arial" w:cs="Arial" w:eastAsia="Arial" w:hAnsi="Arial"/>
          <w:sz w:val="16"/>
          <w:szCs w:val="16"/>
          <w:color w:val="auto"/>
        </w:rPr>
        <w:t>In the three months ended March 31, 2020, the efficiency ratio at Mibanco was 55.6%, higher than the 54.7% registered for the three months ended March 31, 2019. This result was attributable to an increase in operating expenses, which was directly associated with higher expenses related to an increase of the headcount of the sales force.</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Insurance and Pensions</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Grupo Pacifico</w:t>
      </w:r>
    </w:p>
    <w:p>
      <w:pPr>
        <w:spacing w:after="0" w:line="209" w:lineRule="exact"/>
        <w:rPr>
          <w:sz w:val="20"/>
          <w:szCs w:val="20"/>
          <w:color w:val="auto"/>
        </w:rPr>
      </w:pPr>
    </w:p>
    <w:p>
      <w:pPr>
        <w:ind w:right="60" w:firstLine="295"/>
        <w:spacing w:after="0" w:line="260" w:lineRule="auto"/>
        <w:rPr>
          <w:sz w:val="20"/>
          <w:szCs w:val="20"/>
          <w:color w:val="auto"/>
        </w:rPr>
      </w:pPr>
      <w:r>
        <w:rPr>
          <w:rFonts w:ascii="Arial" w:cs="Arial" w:eastAsia="Arial" w:hAnsi="Arial"/>
          <w:sz w:val="16"/>
          <w:szCs w:val="16"/>
          <w:color w:val="auto"/>
        </w:rPr>
        <w:t>Grupo Pacifico’s net profit before non-controlling interest was S/99.8 million in the three months ended March 31, 2020, 27.9% higher than the amount of S/78.1 million reported in the three months ended March 31, 2019. Higher net profit was mainly associated with an increase in (i) the P&amp;C insurance business, which represented S/26.6 million in the three months ended March 31, 2020, 1,343% higher than the S/1.8 million reported in the three months ended March 31, 2019; and (ii) corporate health insurance and medical services (which includes only 50% of this business due to its association with Banmedica), which represented S/17.1 million in the three months ended March 31, 2020, 93.1% higher than the S/8.9 million reported in the three months ended March 31, 2019. The increase was offset in part by (i) the life insurance business, which represented S/51.2 million in the three months ended March 31, 2020, 17.8% lower than the S/62.3 million reported in the three months ended March 31, 2019 and (ii) Crediseguros, which represented S/4.9 million in the three months ended March 31, 2020, 2.7% lower than the S/5.0 million reported in the three months ended March 31, 2019.</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35" w:name="page136"/>
    <w:bookmarkEnd w:id="135"/>
    <w:p>
      <w:pPr>
        <w:ind w:left="2" w:right="140" w:firstLine="295"/>
        <w:spacing w:after="0" w:line="287" w:lineRule="auto"/>
        <w:rPr>
          <w:sz w:val="20"/>
          <w:szCs w:val="20"/>
          <w:color w:val="auto"/>
        </w:rPr>
      </w:pPr>
      <w:r>
        <w:rPr>
          <w:rFonts w:ascii="Arial" w:cs="Arial" w:eastAsia="Arial" w:hAnsi="Arial"/>
          <w:sz w:val="16"/>
          <w:szCs w:val="16"/>
          <w:color w:val="auto"/>
        </w:rPr>
        <w:t>Grupo Pacifico’s net profit contribution to Credicorp was S/98.7 million in the three months ended March 31, 2020, 27.9% higher than the S/77.2 million reported in the three months ended March 31, 2019.</w:t>
      </w:r>
    </w:p>
    <w:p>
      <w:pPr>
        <w:spacing w:after="0" w:line="150" w:lineRule="exact"/>
        <w:rPr>
          <w:sz w:val="20"/>
          <w:szCs w:val="20"/>
          <w:color w:val="auto"/>
        </w:rPr>
      </w:pPr>
    </w:p>
    <w:p>
      <w:pPr>
        <w:ind w:left="2" w:right="160" w:firstLine="295"/>
        <w:spacing w:after="0" w:line="298" w:lineRule="auto"/>
        <w:rPr>
          <w:sz w:val="20"/>
          <w:szCs w:val="20"/>
          <w:color w:val="auto"/>
        </w:rPr>
      </w:pPr>
      <w:r>
        <w:rPr>
          <w:rFonts w:ascii="Arial" w:cs="Arial" w:eastAsia="Arial" w:hAnsi="Arial"/>
          <w:sz w:val="15"/>
          <w:szCs w:val="15"/>
          <w:color w:val="auto"/>
        </w:rPr>
        <w:t>Grupo Pacifico’s 27.9% increase in net profit before non-controlling interest from the three months ended March 31, 2019 was due to an increase in net premiums in both businesses, a decrease in net claims in the P&amp;C business and higher net profit in Corporate Health insurance. The above mentioned was offset by the increase in acquisition costs in both businesses and a lower net financial income in the P&amp;C insurance business and lower net profit income in medical services.</w:t>
      </w:r>
    </w:p>
    <w:p>
      <w:pPr>
        <w:spacing w:after="0" w:line="144" w:lineRule="exact"/>
        <w:rPr>
          <w:sz w:val="20"/>
          <w:szCs w:val="20"/>
          <w:color w:val="auto"/>
        </w:rPr>
      </w:pPr>
    </w:p>
    <w:p>
      <w:pPr>
        <w:ind w:left="2" w:right="40" w:firstLine="295"/>
        <w:spacing w:after="0" w:line="271" w:lineRule="auto"/>
        <w:rPr>
          <w:sz w:val="20"/>
          <w:szCs w:val="20"/>
          <w:color w:val="auto"/>
        </w:rPr>
      </w:pPr>
      <w:r>
        <w:rPr>
          <w:rFonts w:ascii="Arial" w:cs="Arial" w:eastAsia="Arial" w:hAnsi="Arial"/>
          <w:sz w:val="16"/>
          <w:szCs w:val="16"/>
          <w:color w:val="auto"/>
        </w:rPr>
        <w:t>Grupo Pacifico reported written premiums of S/917.9 million in the three months ended March 31, 2020, which represented an increase of 2.4% compared to the three months ended March 31, 2019. This was mainly attributable to the credit life, commercial lines and personal lines businesses. These increases were offset in part by decreases in the annuities line and automobile line.</w:t>
      </w:r>
    </w:p>
    <w:p>
      <w:pPr>
        <w:spacing w:after="0" w:line="159"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6520" w:type="dxa"/>
            <w:vAlign w:val="bottom"/>
            <w:gridSpan w:val="2"/>
          </w:tcPr>
          <w:p>
            <w:pPr>
              <w:jc w:val="right"/>
              <w:ind w:right="3478"/>
              <w:spacing w:after="0"/>
              <w:rPr>
                <w:sz w:val="20"/>
                <w:szCs w:val="20"/>
                <w:color w:val="auto"/>
              </w:rPr>
            </w:pPr>
            <w:r>
              <w:rPr>
                <w:rFonts w:ascii="Arial" w:cs="Arial" w:eastAsia="Arial" w:hAnsi="Arial"/>
                <w:sz w:val="16"/>
                <w:szCs w:val="16"/>
                <w:b w:val="1"/>
                <w:bCs w:val="1"/>
                <w:color w:val="auto"/>
              </w:rPr>
              <w:t>Written Premiums(1)(2)</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6"/>
        </w:trPr>
        <w:tc>
          <w:tcPr>
            <w:tcW w:w="35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800" w:type="dxa"/>
            <w:vAlign w:val="bottom"/>
            <w:gridSpan w:val="3"/>
          </w:tcPr>
          <w:p>
            <w:pPr>
              <w:ind w:left="240"/>
              <w:spacing w:after="0"/>
              <w:rPr>
                <w:sz w:val="20"/>
                <w:szCs w:val="20"/>
                <w:color w:val="auto"/>
              </w:rPr>
            </w:pPr>
            <w:r>
              <w:rPr>
                <w:rFonts w:ascii="Arial" w:cs="Arial" w:eastAsia="Arial" w:hAnsi="Arial"/>
                <w:sz w:val="16"/>
                <w:szCs w:val="16"/>
                <w:b w:val="1"/>
                <w:bCs w:val="1"/>
                <w:color w:val="auto"/>
              </w:rPr>
              <w:t>Three Months Ended March 31,</w:t>
            </w:r>
          </w:p>
        </w:tc>
      </w:tr>
      <w:tr>
        <w:trPr>
          <w:trHeight w:val="202"/>
        </w:trPr>
        <w:tc>
          <w:tcPr>
            <w:tcW w:w="35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580" w:type="dxa"/>
            <w:vAlign w:val="bottom"/>
            <w:tcBorders>
              <w:top w:val="single" w:sz="8" w:color="auto"/>
              <w:bottom w:val="single" w:sz="8" w:color="auto"/>
            </w:tcBorders>
          </w:tcPr>
          <w:p>
            <w:pPr>
              <w:jc w:val="right"/>
              <w:ind w:right="698"/>
              <w:spacing w:after="0"/>
              <w:rPr>
                <w:sz w:val="20"/>
                <w:szCs w:val="20"/>
                <w:color w:val="auto"/>
              </w:rPr>
            </w:pPr>
            <w:r>
              <w:rPr>
                <w:rFonts w:ascii="Arial" w:cs="Arial" w:eastAsia="Arial" w:hAnsi="Arial"/>
                <w:sz w:val="16"/>
                <w:szCs w:val="16"/>
                <w:b w:val="1"/>
                <w:bCs w:val="1"/>
                <w:color w:val="auto"/>
              </w:rPr>
              <w:t>2019</w:t>
            </w:r>
          </w:p>
        </w:tc>
        <w:tc>
          <w:tcPr>
            <w:tcW w:w="112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r>
      <w:tr>
        <w:trPr>
          <w:trHeight w:val="189"/>
        </w:trPr>
        <w:tc>
          <w:tcPr>
            <w:tcW w:w="35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700" w:type="dxa"/>
            <w:vAlign w:val="bottom"/>
            <w:gridSpan w:val="2"/>
          </w:tcPr>
          <w:p>
            <w:pPr>
              <w:jc w:val="right"/>
              <w:ind w:right="478"/>
              <w:spacing w:after="0"/>
              <w:rPr>
                <w:sz w:val="20"/>
                <w:szCs w:val="20"/>
                <w:color w:val="auto"/>
              </w:rPr>
            </w:pPr>
            <w:r>
              <w:rPr>
                <w:rFonts w:ascii="Arial" w:cs="Arial" w:eastAsia="Arial" w:hAnsi="Arial"/>
                <w:sz w:val="16"/>
                <w:szCs w:val="16"/>
                <w:b w:val="1"/>
                <w:bCs w:val="1"/>
                <w:color w:val="auto"/>
              </w:rPr>
              <w:t>(in thousands of Soles)</w:t>
            </w:r>
          </w:p>
        </w:tc>
        <w:tc>
          <w:tcPr>
            <w:tcW w:w="100" w:type="dxa"/>
            <w:vAlign w:val="bottom"/>
          </w:tcPr>
          <w:p>
            <w:pPr>
              <w:spacing w:after="0"/>
              <w:rPr>
                <w:sz w:val="16"/>
                <w:szCs w:val="16"/>
                <w:color w:val="auto"/>
              </w:rPr>
            </w:pPr>
          </w:p>
        </w:tc>
      </w:tr>
      <w:tr>
        <w:trPr>
          <w:trHeight w:val="197"/>
        </w:trPr>
        <w:tc>
          <w:tcPr>
            <w:tcW w:w="3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Written Premiums(2)</w:t>
            </w:r>
          </w:p>
        </w:tc>
        <w:tc>
          <w:tcPr>
            <w:tcW w:w="6520" w:type="dxa"/>
            <w:vAlign w:val="bottom"/>
            <w:gridSpan w:val="2"/>
            <w:shd w:val="clear" w:color="auto" w:fill="CCEEFF"/>
          </w:tcPr>
          <w:p>
            <w:pPr>
              <w:jc w:val="right"/>
              <w:ind w:right="258"/>
              <w:spacing w:after="0"/>
              <w:rPr>
                <w:sz w:val="20"/>
                <w:szCs w:val="20"/>
                <w:color w:val="auto"/>
              </w:rPr>
            </w:pPr>
            <w:r>
              <w:rPr>
                <w:rFonts w:ascii="Arial" w:cs="Arial" w:eastAsia="Arial" w:hAnsi="Arial"/>
                <w:sz w:val="16"/>
                <w:szCs w:val="16"/>
                <w:b w:val="1"/>
                <w:bCs w:val="1"/>
                <w:color w:val="auto"/>
              </w:rPr>
              <w:t>896,518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917,964</w:t>
            </w:r>
          </w:p>
        </w:tc>
      </w:tr>
      <w:tr>
        <w:trPr>
          <w:trHeight w:val="197"/>
        </w:trPr>
        <w:tc>
          <w:tcPr>
            <w:tcW w:w="3500" w:type="dxa"/>
            <w:vAlign w:val="bottom"/>
          </w:tcPr>
          <w:p>
            <w:pPr>
              <w:ind w:left="140"/>
              <w:spacing w:after="0"/>
              <w:rPr>
                <w:sz w:val="20"/>
                <w:szCs w:val="20"/>
                <w:color w:val="auto"/>
              </w:rPr>
            </w:pPr>
            <w:r>
              <w:rPr>
                <w:rFonts w:ascii="Arial" w:cs="Arial" w:eastAsia="Arial" w:hAnsi="Arial"/>
                <w:sz w:val="16"/>
                <w:szCs w:val="16"/>
                <w:color w:val="auto"/>
              </w:rPr>
              <w:t>Property and Casualty Business</w:t>
            </w:r>
          </w:p>
        </w:tc>
        <w:tc>
          <w:tcPr>
            <w:tcW w:w="6520" w:type="dxa"/>
            <w:vAlign w:val="bottom"/>
            <w:gridSpan w:val="2"/>
          </w:tcPr>
          <w:p>
            <w:pPr>
              <w:jc w:val="right"/>
              <w:ind w:right="258"/>
              <w:spacing w:after="0"/>
              <w:rPr>
                <w:sz w:val="20"/>
                <w:szCs w:val="20"/>
                <w:color w:val="auto"/>
              </w:rPr>
            </w:pPr>
            <w:r>
              <w:rPr>
                <w:rFonts w:ascii="Arial" w:cs="Arial" w:eastAsia="Arial" w:hAnsi="Arial"/>
                <w:sz w:val="16"/>
                <w:szCs w:val="16"/>
                <w:b w:val="1"/>
                <w:bCs w:val="1"/>
                <w:color w:val="auto"/>
              </w:rPr>
              <w:t>384,104</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401,636</w:t>
            </w:r>
          </w:p>
        </w:tc>
      </w:tr>
      <w:tr>
        <w:trPr>
          <w:trHeight w:val="197"/>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Lines</w:t>
            </w:r>
          </w:p>
        </w:tc>
        <w:tc>
          <w:tcPr>
            <w:tcW w:w="6520" w:type="dxa"/>
            <w:vAlign w:val="bottom"/>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65,493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80,382</w:t>
            </w:r>
          </w:p>
        </w:tc>
      </w:tr>
      <w:tr>
        <w:trPr>
          <w:trHeight w:val="197"/>
        </w:trPr>
        <w:tc>
          <w:tcPr>
            <w:tcW w:w="3500" w:type="dxa"/>
            <w:vAlign w:val="bottom"/>
          </w:tcPr>
          <w:p>
            <w:pPr>
              <w:ind w:left="140"/>
              <w:spacing w:after="0"/>
              <w:rPr>
                <w:sz w:val="20"/>
                <w:szCs w:val="20"/>
                <w:color w:val="auto"/>
              </w:rPr>
            </w:pPr>
            <w:r>
              <w:rPr>
                <w:rFonts w:ascii="Arial" w:cs="Arial" w:eastAsia="Arial" w:hAnsi="Arial"/>
                <w:sz w:val="16"/>
                <w:szCs w:val="16"/>
                <w:color w:val="auto"/>
              </w:rPr>
              <w:t>Personal Lines</w:t>
            </w:r>
          </w:p>
        </w:tc>
        <w:tc>
          <w:tcPr>
            <w:tcW w:w="6520" w:type="dxa"/>
            <w:vAlign w:val="bottom"/>
            <w:gridSpan w:val="2"/>
          </w:tcPr>
          <w:p>
            <w:pPr>
              <w:jc w:val="right"/>
              <w:ind w:right="238"/>
              <w:spacing w:after="0"/>
              <w:rPr>
                <w:sz w:val="20"/>
                <w:szCs w:val="20"/>
                <w:color w:val="auto"/>
              </w:rPr>
            </w:pPr>
            <w:r>
              <w:rPr>
                <w:rFonts w:ascii="Arial" w:cs="Arial" w:eastAsia="Arial" w:hAnsi="Arial"/>
                <w:sz w:val="16"/>
                <w:szCs w:val="16"/>
                <w:color w:val="auto"/>
              </w:rPr>
              <w:t>95,484</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105,841</w:t>
            </w:r>
          </w:p>
        </w:tc>
      </w:tr>
      <w:tr>
        <w:trPr>
          <w:trHeight w:val="197"/>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Automobile</w:t>
            </w:r>
          </w:p>
        </w:tc>
        <w:tc>
          <w:tcPr>
            <w:tcW w:w="6520" w:type="dxa"/>
            <w:vAlign w:val="bottom"/>
            <w:gridSpan w:val="2"/>
            <w:shd w:val="clear" w:color="auto" w:fill="CCEEFF"/>
          </w:tcPr>
          <w:p>
            <w:pPr>
              <w:jc w:val="right"/>
              <w:ind w:right="258"/>
              <w:spacing w:after="0"/>
              <w:rPr>
                <w:sz w:val="20"/>
                <w:szCs w:val="20"/>
                <w:color w:val="auto"/>
              </w:rPr>
            </w:pPr>
            <w:r>
              <w:rPr>
                <w:rFonts w:ascii="Arial" w:cs="Arial" w:eastAsia="Arial" w:hAnsi="Arial"/>
                <w:sz w:val="16"/>
                <w:szCs w:val="16"/>
                <w:color w:val="auto"/>
              </w:rPr>
              <w:t>102,482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88,372</w:t>
            </w:r>
          </w:p>
        </w:tc>
      </w:tr>
      <w:tr>
        <w:trPr>
          <w:trHeight w:val="197"/>
        </w:trPr>
        <w:tc>
          <w:tcPr>
            <w:tcW w:w="3500" w:type="dxa"/>
            <w:vAlign w:val="bottom"/>
          </w:tcPr>
          <w:p>
            <w:pPr>
              <w:ind w:left="140"/>
              <w:spacing w:after="0"/>
              <w:rPr>
                <w:sz w:val="20"/>
                <w:szCs w:val="20"/>
                <w:color w:val="auto"/>
              </w:rPr>
            </w:pPr>
            <w:r>
              <w:rPr>
                <w:rFonts w:ascii="Arial" w:cs="Arial" w:eastAsia="Arial" w:hAnsi="Arial"/>
                <w:sz w:val="16"/>
                <w:szCs w:val="16"/>
                <w:color w:val="auto"/>
              </w:rPr>
              <w:t>Medical Assistance</w:t>
            </w:r>
          </w:p>
        </w:tc>
        <w:tc>
          <w:tcPr>
            <w:tcW w:w="6520" w:type="dxa"/>
            <w:vAlign w:val="bottom"/>
            <w:gridSpan w:val="2"/>
          </w:tcPr>
          <w:p>
            <w:pPr>
              <w:jc w:val="right"/>
              <w:ind w:right="258"/>
              <w:spacing w:after="0"/>
              <w:rPr>
                <w:sz w:val="20"/>
                <w:szCs w:val="20"/>
                <w:color w:val="auto"/>
              </w:rPr>
            </w:pPr>
            <w:r>
              <w:rPr>
                <w:rFonts w:ascii="Arial" w:cs="Arial" w:eastAsia="Arial" w:hAnsi="Arial"/>
                <w:sz w:val="16"/>
                <w:szCs w:val="16"/>
                <w:color w:val="auto"/>
              </w:rPr>
              <w:t>120,644</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127,041</w:t>
            </w:r>
          </w:p>
        </w:tc>
      </w:tr>
      <w:tr>
        <w:trPr>
          <w:trHeight w:val="197"/>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Life Business</w:t>
            </w:r>
          </w:p>
        </w:tc>
        <w:tc>
          <w:tcPr>
            <w:tcW w:w="6520" w:type="dxa"/>
            <w:vAlign w:val="bottom"/>
            <w:gridSpan w:val="2"/>
            <w:shd w:val="clear" w:color="auto" w:fill="CCEEFF"/>
          </w:tcPr>
          <w:p>
            <w:pPr>
              <w:jc w:val="right"/>
              <w:ind w:right="258"/>
              <w:spacing w:after="0"/>
              <w:rPr>
                <w:sz w:val="20"/>
                <w:szCs w:val="20"/>
                <w:color w:val="auto"/>
              </w:rPr>
            </w:pPr>
            <w:r>
              <w:rPr>
                <w:rFonts w:ascii="Arial" w:cs="Arial" w:eastAsia="Arial" w:hAnsi="Arial"/>
                <w:sz w:val="16"/>
                <w:szCs w:val="16"/>
                <w:b w:val="1"/>
                <w:bCs w:val="1"/>
                <w:color w:val="auto"/>
              </w:rPr>
              <w:t>499,671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502,265</w:t>
            </w:r>
          </w:p>
        </w:tc>
      </w:tr>
      <w:tr>
        <w:trPr>
          <w:trHeight w:val="197"/>
        </w:trPr>
        <w:tc>
          <w:tcPr>
            <w:tcW w:w="3500" w:type="dxa"/>
            <w:vAlign w:val="bottom"/>
          </w:tcPr>
          <w:p>
            <w:pPr>
              <w:ind w:left="140"/>
              <w:spacing w:after="0"/>
              <w:rPr>
                <w:sz w:val="20"/>
                <w:szCs w:val="20"/>
                <w:color w:val="auto"/>
              </w:rPr>
            </w:pPr>
            <w:r>
              <w:rPr>
                <w:rFonts w:ascii="Arial" w:cs="Arial" w:eastAsia="Arial" w:hAnsi="Arial"/>
                <w:sz w:val="16"/>
                <w:szCs w:val="16"/>
                <w:color w:val="auto"/>
              </w:rPr>
              <w:t>Annuities Line</w:t>
            </w:r>
          </w:p>
        </w:tc>
        <w:tc>
          <w:tcPr>
            <w:tcW w:w="6520" w:type="dxa"/>
            <w:vAlign w:val="bottom"/>
            <w:gridSpan w:val="2"/>
          </w:tcPr>
          <w:p>
            <w:pPr>
              <w:jc w:val="right"/>
              <w:ind w:right="258"/>
              <w:spacing w:after="0"/>
              <w:rPr>
                <w:sz w:val="20"/>
                <w:szCs w:val="20"/>
                <w:color w:val="auto"/>
              </w:rPr>
            </w:pPr>
            <w:r>
              <w:rPr>
                <w:rFonts w:ascii="Arial" w:cs="Arial" w:eastAsia="Arial" w:hAnsi="Arial"/>
                <w:sz w:val="16"/>
                <w:szCs w:val="16"/>
                <w:color w:val="auto"/>
              </w:rPr>
              <w:t>133,612</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99,018</w:t>
            </w:r>
          </w:p>
        </w:tc>
      </w:tr>
      <w:tr>
        <w:trPr>
          <w:trHeight w:val="197"/>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Credit Life</w:t>
            </w:r>
          </w:p>
        </w:tc>
        <w:tc>
          <w:tcPr>
            <w:tcW w:w="6520" w:type="dxa"/>
            <w:vAlign w:val="bottom"/>
            <w:gridSpan w:val="2"/>
            <w:shd w:val="clear" w:color="auto" w:fill="CCEEFF"/>
          </w:tcPr>
          <w:p>
            <w:pPr>
              <w:jc w:val="right"/>
              <w:ind w:right="258"/>
              <w:spacing w:after="0"/>
              <w:rPr>
                <w:sz w:val="20"/>
                <w:szCs w:val="20"/>
                <w:color w:val="auto"/>
              </w:rPr>
            </w:pPr>
            <w:r>
              <w:rPr>
                <w:rFonts w:ascii="Arial" w:cs="Arial" w:eastAsia="Arial" w:hAnsi="Arial"/>
                <w:sz w:val="16"/>
                <w:szCs w:val="16"/>
                <w:color w:val="auto"/>
              </w:rPr>
              <w:t>115,784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141,422</w:t>
            </w:r>
          </w:p>
        </w:tc>
      </w:tr>
      <w:tr>
        <w:trPr>
          <w:trHeight w:val="197"/>
        </w:trPr>
        <w:tc>
          <w:tcPr>
            <w:tcW w:w="3500" w:type="dxa"/>
            <w:vAlign w:val="bottom"/>
          </w:tcPr>
          <w:p>
            <w:pPr>
              <w:ind w:left="140"/>
              <w:spacing w:after="0"/>
              <w:rPr>
                <w:sz w:val="20"/>
                <w:szCs w:val="20"/>
                <w:color w:val="auto"/>
              </w:rPr>
            </w:pPr>
            <w:r>
              <w:rPr>
                <w:rFonts w:ascii="Arial" w:cs="Arial" w:eastAsia="Arial" w:hAnsi="Arial"/>
                <w:sz w:val="16"/>
                <w:szCs w:val="16"/>
                <w:color w:val="auto"/>
              </w:rPr>
              <w:t>Individual Life</w:t>
            </w:r>
          </w:p>
        </w:tc>
        <w:tc>
          <w:tcPr>
            <w:tcW w:w="6520" w:type="dxa"/>
            <w:vAlign w:val="bottom"/>
            <w:gridSpan w:val="2"/>
          </w:tcPr>
          <w:p>
            <w:pPr>
              <w:jc w:val="right"/>
              <w:ind w:right="238"/>
              <w:spacing w:after="0"/>
              <w:rPr>
                <w:sz w:val="20"/>
                <w:szCs w:val="20"/>
                <w:color w:val="auto"/>
              </w:rPr>
            </w:pPr>
            <w:r>
              <w:rPr>
                <w:rFonts w:ascii="Arial" w:cs="Arial" w:eastAsia="Arial" w:hAnsi="Arial"/>
                <w:sz w:val="16"/>
                <w:szCs w:val="16"/>
                <w:color w:val="auto"/>
              </w:rPr>
              <w:t>93,450</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96,714</w:t>
            </w:r>
          </w:p>
        </w:tc>
      </w:tr>
      <w:tr>
        <w:trPr>
          <w:trHeight w:val="197"/>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Group Life</w:t>
            </w:r>
          </w:p>
        </w:tc>
        <w:tc>
          <w:tcPr>
            <w:tcW w:w="6520" w:type="dxa"/>
            <w:vAlign w:val="bottom"/>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55,098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60,194</w:t>
            </w:r>
          </w:p>
        </w:tc>
      </w:tr>
      <w:tr>
        <w:trPr>
          <w:trHeight w:val="197"/>
        </w:trPr>
        <w:tc>
          <w:tcPr>
            <w:tcW w:w="3500" w:type="dxa"/>
            <w:vAlign w:val="bottom"/>
          </w:tcPr>
          <w:p>
            <w:pPr>
              <w:ind w:left="140"/>
              <w:spacing w:after="0"/>
              <w:rPr>
                <w:sz w:val="20"/>
                <w:szCs w:val="20"/>
                <w:color w:val="auto"/>
              </w:rPr>
            </w:pPr>
            <w:r>
              <w:rPr>
                <w:rFonts w:ascii="Arial" w:cs="Arial" w:eastAsia="Arial" w:hAnsi="Arial"/>
                <w:sz w:val="16"/>
                <w:szCs w:val="16"/>
                <w:color w:val="auto"/>
              </w:rPr>
              <w:t>Disability and Survival</w:t>
            </w:r>
          </w:p>
        </w:tc>
        <w:tc>
          <w:tcPr>
            <w:tcW w:w="6520" w:type="dxa"/>
            <w:vAlign w:val="bottom"/>
            <w:gridSpan w:val="2"/>
          </w:tcPr>
          <w:p>
            <w:pPr>
              <w:jc w:val="right"/>
              <w:ind w:right="258"/>
              <w:spacing w:after="0"/>
              <w:rPr>
                <w:sz w:val="20"/>
                <w:szCs w:val="20"/>
                <w:color w:val="auto"/>
              </w:rPr>
            </w:pPr>
            <w:r>
              <w:rPr>
                <w:rFonts w:ascii="Arial" w:cs="Arial" w:eastAsia="Arial" w:hAnsi="Arial"/>
                <w:sz w:val="16"/>
                <w:szCs w:val="16"/>
                <w:color w:val="auto"/>
              </w:rPr>
              <w:t>101,727</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104,916</w:t>
            </w:r>
          </w:p>
        </w:tc>
      </w:tr>
      <w:tr>
        <w:trPr>
          <w:trHeight w:val="197"/>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Crediseguros</w:t>
            </w:r>
          </w:p>
        </w:tc>
        <w:tc>
          <w:tcPr>
            <w:tcW w:w="6520" w:type="dxa"/>
            <w:vAlign w:val="bottom"/>
            <w:gridSpan w:val="2"/>
            <w:shd w:val="clear" w:color="auto" w:fill="CCEEFF"/>
          </w:tcPr>
          <w:p>
            <w:pPr>
              <w:jc w:val="right"/>
              <w:ind w:right="238"/>
              <w:spacing w:after="0"/>
              <w:rPr>
                <w:sz w:val="20"/>
                <w:szCs w:val="20"/>
                <w:color w:val="auto"/>
              </w:rPr>
            </w:pPr>
            <w:r>
              <w:rPr>
                <w:rFonts w:ascii="Arial" w:cs="Arial" w:eastAsia="Arial" w:hAnsi="Arial"/>
                <w:sz w:val="16"/>
                <w:szCs w:val="16"/>
                <w:b w:val="1"/>
                <w:bCs w:val="1"/>
                <w:color w:val="auto"/>
              </w:rPr>
              <w:t>12,743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14,063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78625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311" w:lineRule="exact"/>
        <w:rPr>
          <w:sz w:val="20"/>
          <w:szCs w:val="20"/>
          <w:color w:val="auto"/>
        </w:rPr>
      </w:pPr>
    </w:p>
    <w:p>
      <w:pPr>
        <w:ind w:left="302" w:right="40" w:hanging="302"/>
        <w:spacing w:after="0" w:line="271" w:lineRule="auto"/>
        <w:tabs>
          <w:tab w:leader="none" w:pos="30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association with Banmedica stipulates that the corporate health insurance business and medical services (network of clinics, medical centers and laboratories) must be reported as an investment in subsidiaries and consequently are not fully consolidated in the Grupo Pacifico financial statements. Both businesses are managed by Banmedica, and Grupo Pacifico receives 50% of net earnings.</w:t>
      </w:r>
    </w:p>
    <w:p>
      <w:pPr>
        <w:spacing w:after="0" w:line="162" w:lineRule="exact"/>
        <w:rPr>
          <w:rFonts w:ascii="Arial" w:cs="Arial" w:eastAsia="Arial" w:hAnsi="Arial"/>
          <w:sz w:val="16"/>
          <w:szCs w:val="16"/>
          <w:color w:val="auto"/>
        </w:rPr>
      </w:pPr>
    </w:p>
    <w:p>
      <w:pPr>
        <w:ind w:left="302" w:right="9520" w:hanging="302"/>
        <w:spacing w:after="0" w:line="546" w:lineRule="auto"/>
        <w:tabs>
          <w:tab w:leader="none" w:pos="302" w:val="left"/>
        </w:tabs>
        <w:numPr>
          <w:ilvl w:val="0"/>
          <w:numId w:val="139"/>
        </w:numPr>
        <w:rPr>
          <w:rFonts w:ascii="Arial" w:cs="Arial" w:eastAsia="Arial" w:hAnsi="Arial"/>
          <w:sz w:val="15"/>
          <w:szCs w:val="15"/>
          <w:color w:val="auto"/>
        </w:rPr>
      </w:pPr>
      <w:r>
        <w:rPr>
          <w:rFonts w:ascii="Arial" w:cs="Arial" w:eastAsia="Arial" w:hAnsi="Arial"/>
          <w:sz w:val="15"/>
          <w:szCs w:val="15"/>
          <w:color w:val="auto"/>
        </w:rPr>
        <w:t xml:space="preserve">Without eliminations. </w:t>
      </w:r>
      <w:r>
        <w:rPr>
          <w:rFonts w:ascii="Arial" w:cs="Arial" w:eastAsia="Arial" w:hAnsi="Arial"/>
          <w:sz w:val="15"/>
          <w:szCs w:val="15"/>
          <w:u w:val="single" w:color="auto"/>
          <w:color w:val="auto"/>
        </w:rPr>
        <w:t>Financial Ratios</w:t>
      </w:r>
    </w:p>
    <w:p>
      <w:pPr>
        <w:spacing w:after="0" w:line="1" w:lineRule="exact"/>
        <w:rPr>
          <w:sz w:val="20"/>
          <w:szCs w:val="20"/>
          <w:color w:val="auto"/>
        </w:rPr>
      </w:pPr>
    </w:p>
    <w:p>
      <w:pPr>
        <w:ind w:left="2" w:right="200" w:firstLine="295"/>
        <w:spacing w:after="0" w:line="327" w:lineRule="auto"/>
        <w:rPr>
          <w:sz w:val="20"/>
          <w:szCs w:val="20"/>
          <w:color w:val="auto"/>
        </w:rPr>
      </w:pPr>
      <w:r>
        <w:rPr>
          <w:rFonts w:ascii="Arial" w:cs="Arial" w:eastAsia="Arial" w:hAnsi="Arial"/>
          <w:sz w:val="14"/>
          <w:szCs w:val="14"/>
          <w:color w:val="auto"/>
        </w:rPr>
        <w:t>Grupo Pacifico’s ROAE was 14.5% in the three months ended March 31, 2020, higher than its return of 11.8% in the three months ended March 31, 2019. This was explained by (i) an increase in net premiums in both businesses, (ii) lower net claims in the P&amp;C business, (iii) a continuous increase in health insurance and medical services, and (iv) lower operating expenses. These effects were offset by higher acquisition costs in both businesses and lower net financial income in the P&amp;C business.</w:t>
      </w:r>
    </w:p>
    <w:p>
      <w:pPr>
        <w:spacing w:after="0" w:line="32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23" w:right="339" w:bottom="1440" w:gutter="0" w:footer="0" w:header="0"/>
        </w:sectPr>
      </w:pPr>
    </w:p>
    <w:bookmarkStart w:id="136" w:name="page137"/>
    <w:bookmarkEnd w:id="136"/>
    <w:tbl>
      <w:tblPr>
        <w:tblLayout w:type="fixed"/>
        <w:tblInd w:w="2" w:type="dxa"/>
        <w:tblCellMar>
          <w:top w:w="0" w:type="dxa"/>
          <w:left w:w="0" w:type="dxa"/>
          <w:bottom w:w="0" w:type="dxa"/>
          <w:right w:w="0" w:type="dxa"/>
        </w:tblCellMar>
      </w:tblPr>
      <w:tr>
        <w:trPr>
          <w:trHeight w:val="212"/>
        </w:trPr>
        <w:tc>
          <w:tcPr>
            <w:tcW w:w="8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rPr>
              <w:t>Three Months Ended March 31,</w:t>
            </w:r>
          </w:p>
        </w:tc>
      </w:tr>
      <w:tr>
        <w:trPr>
          <w:trHeight w:val="202"/>
        </w:trPr>
        <w:tc>
          <w:tcPr>
            <w:tcW w:w="8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ROAE (1)</w:t>
            </w:r>
          </w:p>
        </w:tc>
        <w:tc>
          <w:tcPr>
            <w:tcW w:w="10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top w:val="single" w:sz="8" w:color="auto"/>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7"/>
                <w:szCs w:val="17"/>
                <w:color w:val="auto"/>
              </w:rPr>
            </w:pPr>
          </w:p>
        </w:tc>
      </w:tr>
      <w:tr>
        <w:trPr>
          <w:trHeight w:val="189"/>
        </w:trPr>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Grupo Pacifico</w:t>
            </w: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08"/>
        </w:trPr>
        <w:tc>
          <w:tcPr>
            <w:tcW w:w="8380" w:type="dxa"/>
            <w:vAlign w:val="bottom"/>
            <w:gridSpan w:val="2"/>
          </w:tcPr>
          <w:p>
            <w:pPr>
              <w:spacing w:after="0"/>
              <w:rPr>
                <w:sz w:val="20"/>
                <w:szCs w:val="20"/>
                <w:color w:val="auto"/>
              </w:rPr>
            </w:pPr>
            <w:r>
              <w:rPr>
                <w:rFonts w:ascii="Arial" w:cs="Arial" w:eastAsia="Arial" w:hAnsi="Arial"/>
                <w:sz w:val="16"/>
                <w:szCs w:val="16"/>
                <w:color w:val="auto"/>
              </w:rPr>
              <w:t>Grupo Pacifico (2)</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14.4%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178625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300" w:lineRule="exact"/>
        <w:rPr>
          <w:sz w:val="20"/>
          <w:szCs w:val="20"/>
          <w:color w:val="auto"/>
        </w:rPr>
      </w:pPr>
    </w:p>
    <w:p>
      <w:pPr>
        <w:ind w:left="302" w:right="260" w:hanging="302"/>
        <w:spacing w:after="0" w:line="322" w:lineRule="auto"/>
        <w:tabs>
          <w:tab w:leader="none" w:pos="302" w:val="left"/>
        </w:tabs>
        <w:numPr>
          <w:ilvl w:val="0"/>
          <w:numId w:val="140"/>
        </w:numPr>
        <w:rPr>
          <w:rFonts w:ascii="Arial" w:cs="Arial" w:eastAsia="Arial" w:hAnsi="Arial"/>
          <w:sz w:val="15"/>
          <w:szCs w:val="15"/>
          <w:color w:val="auto"/>
        </w:rPr>
      </w:pPr>
      <w:r>
        <w:rPr>
          <w:rFonts w:ascii="Arial" w:cs="Arial" w:eastAsia="Arial" w:hAnsi="Arial"/>
          <w:sz w:val="15"/>
          <w:szCs w:val="15"/>
          <w:color w:val="auto"/>
        </w:rPr>
        <w:t>Annualized and average are determined as the average of the period beginning and period ending. This includes 50% of the corporate health insurance and medical services business results due to the agreement with Banmedica. These figures do not include eliminations for Credicorp’s consolidation purposes.</w:t>
      </w:r>
    </w:p>
    <w:p>
      <w:pPr>
        <w:spacing w:after="0" w:line="126" w:lineRule="exact"/>
        <w:rPr>
          <w:rFonts w:ascii="Arial" w:cs="Arial" w:eastAsia="Arial" w:hAnsi="Arial"/>
          <w:sz w:val="15"/>
          <w:szCs w:val="15"/>
          <w:color w:val="auto"/>
        </w:rPr>
      </w:pPr>
    </w:p>
    <w:p>
      <w:pPr>
        <w:ind w:left="302" w:hanging="302"/>
        <w:spacing w:after="0"/>
        <w:tabs>
          <w:tab w:leader="none" w:pos="30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Excludes unrealized gains or losses.</w:t>
      </w:r>
    </w:p>
    <w:p>
      <w:pPr>
        <w:spacing w:after="0" w:line="209" w:lineRule="exact"/>
        <w:rPr>
          <w:sz w:val="20"/>
          <w:szCs w:val="20"/>
          <w:color w:val="auto"/>
        </w:rPr>
      </w:pPr>
    </w:p>
    <w:p>
      <w:pPr>
        <w:ind w:left="582"/>
        <w:spacing w:after="0"/>
        <w:rPr>
          <w:sz w:val="20"/>
          <w:szCs w:val="20"/>
          <w:color w:val="auto"/>
        </w:rPr>
      </w:pPr>
      <w:r>
        <w:rPr>
          <w:rFonts w:ascii="Arial" w:cs="Arial" w:eastAsia="Arial" w:hAnsi="Arial"/>
          <w:sz w:val="16"/>
          <w:szCs w:val="16"/>
          <w:u w:val="single" w:color="auto"/>
          <w:color w:val="auto"/>
        </w:rPr>
        <w:t>Property and Casualty Business</w:t>
      </w:r>
    </w:p>
    <w:p>
      <w:pPr>
        <w:spacing w:after="0" w:line="209" w:lineRule="exact"/>
        <w:rPr>
          <w:sz w:val="20"/>
          <w:szCs w:val="20"/>
          <w:color w:val="auto"/>
        </w:rPr>
      </w:pPr>
    </w:p>
    <w:p>
      <w:pPr>
        <w:ind w:left="2" w:right="100" w:firstLine="295"/>
        <w:spacing w:after="0" w:line="271" w:lineRule="auto"/>
        <w:rPr>
          <w:sz w:val="20"/>
          <w:szCs w:val="20"/>
          <w:color w:val="auto"/>
        </w:rPr>
      </w:pPr>
      <w:r>
        <w:rPr>
          <w:rFonts w:ascii="Arial" w:cs="Arial" w:eastAsia="Arial" w:hAnsi="Arial"/>
          <w:sz w:val="16"/>
          <w:szCs w:val="16"/>
          <w:color w:val="auto"/>
        </w:rPr>
        <w:t>Grupo Pacifico’s P&amp;C insurance business achieved net profit of S/26.6 million in the three months ended March 31, 2020, 1,342% higher than the S/1.8 million reported in the three months ended March 31, 2019. This increase is attributable to (i) an increase in underwriting results, (ii) a lower operating expenses ratio, and (iii) an increase in translations results and other income. This was offset in part by lower financial income.</w:t>
      </w:r>
    </w:p>
    <w:p>
      <w:pPr>
        <w:spacing w:after="0" w:line="163" w:lineRule="exact"/>
        <w:rPr>
          <w:sz w:val="20"/>
          <w:szCs w:val="20"/>
          <w:color w:val="auto"/>
        </w:rPr>
      </w:pPr>
    </w:p>
    <w:p>
      <w:pPr>
        <w:ind w:left="302"/>
        <w:spacing w:after="0"/>
        <w:rPr>
          <w:sz w:val="20"/>
          <w:szCs w:val="20"/>
          <w:color w:val="auto"/>
        </w:rPr>
      </w:pPr>
      <w:r>
        <w:rPr>
          <w:rFonts w:ascii="Arial" w:cs="Arial" w:eastAsia="Arial" w:hAnsi="Arial"/>
          <w:sz w:val="15"/>
          <w:szCs w:val="15"/>
          <w:color w:val="auto"/>
        </w:rPr>
        <w:t>Underwriting increased 59% from the three months ended March 31, 2019, which was mainly attributable to an increase in written premiums and lower net claims.</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6"/>
          <w:szCs w:val="16"/>
          <w:color w:val="auto"/>
        </w:rPr>
        <w:t>This was offset by an increase in acquisition costs.</w:t>
      </w:r>
    </w:p>
    <w:p>
      <w:pPr>
        <w:spacing w:after="0" w:line="198" w:lineRule="exact"/>
        <w:rPr>
          <w:sz w:val="20"/>
          <w:szCs w:val="20"/>
          <w:color w:val="auto"/>
        </w:rPr>
      </w:pPr>
    </w:p>
    <w:p>
      <w:pPr>
        <w:ind w:left="2" w:right="120" w:firstLine="295"/>
        <w:spacing w:after="0" w:line="264" w:lineRule="auto"/>
        <w:rPr>
          <w:sz w:val="20"/>
          <w:szCs w:val="20"/>
          <w:color w:val="auto"/>
        </w:rPr>
      </w:pPr>
      <w:r>
        <w:rPr>
          <w:rFonts w:ascii="Arial" w:cs="Arial" w:eastAsia="Arial" w:hAnsi="Arial"/>
          <w:sz w:val="16"/>
          <w:szCs w:val="16"/>
          <w:color w:val="auto"/>
        </w:rPr>
        <w:t>Written premiums totaled S/401.6 million in the three months ended March 31, 2020, which represented an increase of 4.6% compared to the three months ended March 31, 2019. This increase was mainly attributable to (i) commercial lines, which registered higher sales in the agriculture and aviation lines; (ii) Medical Assistance, due to an increase in sales of oncological and comprehensive health products; and (iii) Personal Lines, due to an increase in the price of the card protection product and to an increase in sales of personal accident products. Pacifico maintained second place in the P&amp;C business, with 22% of market share as of March 31, 2020, (compared to 22.3% at the end of the three months ended March 31, 2019), according to the SBS.</w:t>
      </w:r>
    </w:p>
    <w:p>
      <w:pPr>
        <w:spacing w:after="0" w:line="167" w:lineRule="exact"/>
        <w:rPr>
          <w:sz w:val="20"/>
          <w:szCs w:val="20"/>
          <w:color w:val="auto"/>
        </w:rPr>
      </w:pPr>
    </w:p>
    <w:p>
      <w:pPr>
        <w:ind w:left="2" w:right="60" w:firstLine="295"/>
        <w:spacing w:after="0" w:line="264" w:lineRule="auto"/>
        <w:rPr>
          <w:sz w:val="20"/>
          <w:szCs w:val="20"/>
          <w:color w:val="auto"/>
        </w:rPr>
      </w:pPr>
      <w:r>
        <w:rPr>
          <w:rFonts w:ascii="Arial" w:cs="Arial" w:eastAsia="Arial" w:hAnsi="Arial"/>
          <w:sz w:val="16"/>
          <w:szCs w:val="16"/>
          <w:color w:val="auto"/>
        </w:rPr>
        <w:t>Net claims decreased 12.7% over the previous year, mainly in the Automobile line, due to a decrease in claims notifications after the quarantine was imposed mid-March, and also attributable to an improvement in claims management in Cars. The decrease in claims was also seen in the Commercial and Medical Assistance lines after fewer notifications for claims were received due to the quarantine. These effects were offset by an increase in the Personal Lines, which registered an increase in case frequency due to its self-insurance product. As a result, the loss ratio in the three months ended March 31, 2020 was 48.2% lower than 58.8% in the three months ended March 31, 2019.</w:t>
      </w:r>
    </w:p>
    <w:p>
      <w:pPr>
        <w:spacing w:after="0" w:line="167" w:lineRule="exact"/>
        <w:rPr>
          <w:sz w:val="20"/>
          <w:szCs w:val="20"/>
          <w:color w:val="auto"/>
        </w:rPr>
      </w:pPr>
    </w:p>
    <w:p>
      <w:pPr>
        <w:ind w:left="2" w:right="60" w:firstLine="295"/>
        <w:spacing w:after="0" w:line="271" w:lineRule="auto"/>
        <w:rPr>
          <w:sz w:val="20"/>
          <w:szCs w:val="20"/>
          <w:color w:val="auto"/>
        </w:rPr>
      </w:pPr>
      <w:r>
        <w:rPr>
          <w:rFonts w:ascii="Arial" w:cs="Arial" w:eastAsia="Arial" w:hAnsi="Arial"/>
          <w:sz w:val="16"/>
          <w:szCs w:val="16"/>
          <w:color w:val="auto"/>
        </w:rPr>
        <w:t>Acquisition costs increased 14.8% over the same period in the previous year, mainly in the underwriting expenses for cars after approximately S/8.0 million in premiums were returned to clients who were unable to use their cars during the quarantine. In addition, higher reserves were registered for uncollectible premiums, mainly in the commercial, cars and Medical Assistance lines.</w:t>
      </w:r>
    </w:p>
    <w:p>
      <w:pPr>
        <w:spacing w:after="0" w:line="163" w:lineRule="exact"/>
        <w:rPr>
          <w:sz w:val="20"/>
          <w:szCs w:val="20"/>
          <w:color w:val="auto"/>
        </w:rPr>
      </w:pPr>
    </w:p>
    <w:p>
      <w:pPr>
        <w:ind w:left="2" w:right="440" w:firstLine="295"/>
        <w:spacing w:after="0" w:line="287" w:lineRule="auto"/>
        <w:rPr>
          <w:sz w:val="20"/>
          <w:szCs w:val="20"/>
          <w:color w:val="auto"/>
        </w:rPr>
      </w:pPr>
      <w:r>
        <w:rPr>
          <w:rFonts w:ascii="Arial" w:cs="Arial" w:eastAsia="Arial" w:hAnsi="Arial"/>
          <w:sz w:val="16"/>
          <w:szCs w:val="16"/>
          <w:color w:val="auto"/>
        </w:rPr>
        <w:t>Net financial income decreased 37.9% in the three months ended March 31, 2020 compared to the three months ended March 31, 2019, primarily due to adverse fluctuations in the financial markets in connection with the COVID-19 pandemic.</w:t>
      </w:r>
    </w:p>
    <w:p>
      <w:pPr>
        <w:spacing w:after="0" w:line="146"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2340" w:type="dxa"/>
            <w:vAlign w:val="bottom"/>
          </w:tcPr>
          <w:p>
            <w:pPr>
              <w:spacing w:after="0"/>
              <w:rPr>
                <w:sz w:val="18"/>
                <w:szCs w:val="18"/>
                <w:color w:val="auto"/>
              </w:rPr>
            </w:pPr>
          </w:p>
        </w:tc>
        <w:tc>
          <w:tcPr>
            <w:tcW w:w="7680" w:type="dxa"/>
            <w:vAlign w:val="bottom"/>
            <w:gridSpan w:val="2"/>
          </w:tcPr>
          <w:p>
            <w:pPr>
              <w:jc w:val="center"/>
              <w:ind w:right="1018"/>
              <w:spacing w:after="0"/>
              <w:rPr>
                <w:sz w:val="20"/>
                <w:szCs w:val="20"/>
                <w:color w:val="auto"/>
              </w:rPr>
            </w:pPr>
            <w:r>
              <w:rPr>
                <w:rFonts w:ascii="Arial" w:cs="Arial" w:eastAsia="Arial" w:hAnsi="Arial"/>
                <w:sz w:val="16"/>
                <w:szCs w:val="16"/>
                <w:b w:val="1"/>
                <w:bCs w:val="1"/>
                <w:color w:val="auto"/>
                <w:w w:val="92"/>
              </w:rPr>
              <w:t>Net Profit and Selected Ratios for Grupo Pacifico’s - P&amp;C business (1)</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6"/>
        </w:trPr>
        <w:tc>
          <w:tcPr>
            <w:tcW w:w="23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800" w:type="dxa"/>
            <w:vAlign w:val="bottom"/>
            <w:gridSpan w:val="3"/>
          </w:tcPr>
          <w:p>
            <w:pPr>
              <w:ind w:left="240"/>
              <w:spacing w:after="0"/>
              <w:rPr>
                <w:sz w:val="20"/>
                <w:szCs w:val="20"/>
                <w:color w:val="auto"/>
              </w:rPr>
            </w:pPr>
            <w:r>
              <w:rPr>
                <w:rFonts w:ascii="Arial" w:cs="Arial" w:eastAsia="Arial" w:hAnsi="Arial"/>
                <w:sz w:val="16"/>
                <w:szCs w:val="16"/>
                <w:b w:val="1"/>
                <w:bCs w:val="1"/>
                <w:color w:val="auto"/>
              </w:rPr>
              <w:t>Three Months Ended March 31,</w:t>
            </w:r>
          </w:p>
        </w:tc>
      </w:tr>
      <w:tr>
        <w:trPr>
          <w:trHeight w:val="202"/>
        </w:trPr>
        <w:tc>
          <w:tcPr>
            <w:tcW w:w="234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1580" w:type="dxa"/>
            <w:vAlign w:val="bottom"/>
            <w:tcBorders>
              <w:top w:val="single" w:sz="8" w:color="auto"/>
              <w:bottom w:val="single" w:sz="8" w:color="auto"/>
            </w:tcBorders>
          </w:tcPr>
          <w:p>
            <w:pPr>
              <w:jc w:val="right"/>
              <w:ind w:right="698"/>
              <w:spacing w:after="0"/>
              <w:rPr>
                <w:sz w:val="20"/>
                <w:szCs w:val="20"/>
                <w:color w:val="auto"/>
              </w:rPr>
            </w:pPr>
            <w:r>
              <w:rPr>
                <w:rFonts w:ascii="Arial" w:cs="Arial" w:eastAsia="Arial" w:hAnsi="Arial"/>
                <w:sz w:val="16"/>
                <w:szCs w:val="16"/>
                <w:b w:val="1"/>
                <w:bCs w:val="1"/>
                <w:color w:val="auto"/>
              </w:rPr>
              <w:t>2019</w:t>
            </w:r>
          </w:p>
        </w:tc>
        <w:tc>
          <w:tcPr>
            <w:tcW w:w="112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r>
      <w:tr>
        <w:trPr>
          <w:trHeight w:val="189"/>
        </w:trPr>
        <w:tc>
          <w:tcPr>
            <w:tcW w:w="234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2700" w:type="dxa"/>
            <w:vAlign w:val="bottom"/>
            <w:gridSpan w:val="2"/>
          </w:tcPr>
          <w:p>
            <w:pPr>
              <w:jc w:val="right"/>
              <w:ind w:right="478"/>
              <w:spacing w:after="0"/>
              <w:rPr>
                <w:sz w:val="20"/>
                <w:szCs w:val="20"/>
                <w:color w:val="auto"/>
              </w:rPr>
            </w:pPr>
            <w:r>
              <w:rPr>
                <w:rFonts w:ascii="Arial" w:cs="Arial" w:eastAsia="Arial" w:hAnsi="Arial"/>
                <w:sz w:val="16"/>
                <w:szCs w:val="16"/>
                <w:b w:val="1"/>
                <w:bCs w:val="1"/>
                <w:color w:val="auto"/>
              </w:rPr>
              <w:t>(in thousands of Soles)</w:t>
            </w:r>
          </w:p>
        </w:tc>
        <w:tc>
          <w:tcPr>
            <w:tcW w:w="100" w:type="dxa"/>
            <w:vAlign w:val="bottom"/>
          </w:tcPr>
          <w:p>
            <w:pPr>
              <w:spacing w:after="0"/>
              <w:rPr>
                <w:sz w:val="16"/>
                <w:szCs w:val="16"/>
                <w:color w:val="auto"/>
              </w:rPr>
            </w:pPr>
          </w:p>
        </w:tc>
      </w:tr>
      <w:tr>
        <w:trPr>
          <w:trHeight w:val="197"/>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Written premiums</w:t>
            </w:r>
          </w:p>
        </w:tc>
        <w:tc>
          <w:tcPr>
            <w:tcW w:w="7680" w:type="dxa"/>
            <w:vAlign w:val="bottom"/>
            <w:gridSpan w:val="2"/>
            <w:shd w:val="clear" w:color="auto" w:fill="CCEEFF"/>
          </w:tcPr>
          <w:p>
            <w:pPr>
              <w:jc w:val="right"/>
              <w:ind w:right="258"/>
              <w:spacing w:after="0"/>
              <w:rPr>
                <w:sz w:val="20"/>
                <w:szCs w:val="20"/>
                <w:color w:val="auto"/>
              </w:rPr>
            </w:pPr>
            <w:r>
              <w:rPr>
                <w:rFonts w:ascii="Arial" w:cs="Arial" w:eastAsia="Arial" w:hAnsi="Arial"/>
                <w:sz w:val="16"/>
                <w:szCs w:val="16"/>
                <w:color w:val="auto"/>
              </w:rPr>
              <w:t>384,104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401,636</w:t>
            </w:r>
          </w:p>
        </w:tc>
      </w:tr>
      <w:tr>
        <w:trPr>
          <w:trHeight w:val="197"/>
        </w:trPr>
        <w:tc>
          <w:tcPr>
            <w:tcW w:w="2340" w:type="dxa"/>
            <w:vAlign w:val="bottom"/>
          </w:tcPr>
          <w:p>
            <w:pPr>
              <w:spacing w:after="0"/>
              <w:rPr>
                <w:sz w:val="20"/>
                <w:szCs w:val="20"/>
                <w:color w:val="auto"/>
              </w:rPr>
            </w:pPr>
            <w:r>
              <w:rPr>
                <w:rFonts w:ascii="Arial" w:cs="Arial" w:eastAsia="Arial" w:hAnsi="Arial"/>
                <w:sz w:val="16"/>
                <w:szCs w:val="16"/>
                <w:color w:val="auto"/>
              </w:rPr>
              <w:t>Ceded premiums</w:t>
            </w:r>
          </w:p>
        </w:tc>
        <w:tc>
          <w:tcPr>
            <w:tcW w:w="7680" w:type="dxa"/>
            <w:vAlign w:val="bottom"/>
            <w:gridSpan w:val="2"/>
          </w:tcPr>
          <w:p>
            <w:pPr>
              <w:jc w:val="right"/>
              <w:ind w:right="258"/>
              <w:spacing w:after="0"/>
              <w:rPr>
                <w:sz w:val="20"/>
                <w:szCs w:val="20"/>
                <w:color w:val="auto"/>
              </w:rPr>
            </w:pPr>
            <w:r>
              <w:rPr>
                <w:rFonts w:ascii="Arial" w:cs="Arial" w:eastAsia="Arial" w:hAnsi="Arial"/>
                <w:sz w:val="16"/>
                <w:szCs w:val="16"/>
                <w:color w:val="auto"/>
              </w:rPr>
              <w:t>76,115</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88,742</w:t>
            </w:r>
          </w:p>
        </w:tc>
      </w:tr>
      <w:tr>
        <w:trPr>
          <w:trHeight w:val="197"/>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Reserves</w:t>
            </w:r>
          </w:p>
        </w:tc>
        <w:tc>
          <w:tcPr>
            <w:tcW w:w="7680" w:type="dxa"/>
            <w:vAlign w:val="bottom"/>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23,757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10,243</w:t>
            </w:r>
          </w:p>
        </w:tc>
      </w:tr>
      <w:tr>
        <w:trPr>
          <w:trHeight w:val="197"/>
        </w:trPr>
        <w:tc>
          <w:tcPr>
            <w:tcW w:w="2340" w:type="dxa"/>
            <w:vAlign w:val="bottom"/>
          </w:tcPr>
          <w:p>
            <w:pPr>
              <w:spacing w:after="0"/>
              <w:rPr>
                <w:sz w:val="20"/>
                <w:szCs w:val="20"/>
                <w:color w:val="auto"/>
              </w:rPr>
            </w:pPr>
            <w:r>
              <w:rPr>
                <w:rFonts w:ascii="Arial" w:cs="Arial" w:eastAsia="Arial" w:hAnsi="Arial"/>
                <w:sz w:val="16"/>
                <w:szCs w:val="16"/>
                <w:b w:val="1"/>
                <w:bCs w:val="1"/>
                <w:color w:val="auto"/>
              </w:rPr>
              <w:t>Net earned premiums</w:t>
            </w:r>
          </w:p>
        </w:tc>
        <w:tc>
          <w:tcPr>
            <w:tcW w:w="7680" w:type="dxa"/>
            <w:vAlign w:val="bottom"/>
            <w:gridSpan w:val="2"/>
          </w:tcPr>
          <w:p>
            <w:pPr>
              <w:jc w:val="right"/>
              <w:ind w:right="258"/>
              <w:spacing w:after="0"/>
              <w:rPr>
                <w:sz w:val="20"/>
                <w:szCs w:val="20"/>
                <w:color w:val="auto"/>
              </w:rPr>
            </w:pPr>
            <w:r>
              <w:rPr>
                <w:rFonts w:ascii="Arial" w:cs="Arial" w:eastAsia="Arial" w:hAnsi="Arial"/>
                <w:sz w:val="16"/>
                <w:szCs w:val="16"/>
                <w:b w:val="1"/>
                <w:bCs w:val="1"/>
                <w:color w:val="auto"/>
              </w:rPr>
              <w:t>284,232</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302,651</w:t>
            </w:r>
          </w:p>
        </w:tc>
      </w:tr>
      <w:tr>
        <w:trPr>
          <w:trHeight w:val="197"/>
        </w:trPr>
        <w:tc>
          <w:tcPr>
            <w:tcW w:w="2340" w:type="dxa"/>
            <w:vAlign w:val="bottom"/>
            <w:shd w:val="clear" w:color="auto" w:fill="CCEEFF"/>
          </w:tcPr>
          <w:p>
            <w:pPr>
              <w:spacing w:after="0"/>
              <w:rPr>
                <w:sz w:val="20"/>
                <w:szCs w:val="20"/>
                <w:color w:val="auto"/>
              </w:rPr>
            </w:pPr>
            <w:r>
              <w:rPr>
                <w:rFonts w:ascii="Arial" w:cs="Arial" w:eastAsia="Arial" w:hAnsi="Arial"/>
                <w:sz w:val="16"/>
                <w:szCs w:val="16"/>
                <w:color w:val="auto"/>
              </w:rPr>
              <w:t>Net claims</w:t>
            </w:r>
          </w:p>
        </w:tc>
        <w:tc>
          <w:tcPr>
            <w:tcW w:w="7680" w:type="dxa"/>
            <w:vAlign w:val="bottom"/>
            <w:gridSpan w:val="2"/>
            <w:shd w:val="clear" w:color="auto" w:fill="CCEEFF"/>
          </w:tcPr>
          <w:p>
            <w:pPr>
              <w:jc w:val="right"/>
              <w:ind w:right="258"/>
              <w:spacing w:after="0"/>
              <w:rPr>
                <w:sz w:val="20"/>
                <w:szCs w:val="20"/>
                <w:color w:val="auto"/>
              </w:rPr>
            </w:pPr>
            <w:r>
              <w:rPr>
                <w:rFonts w:ascii="Arial" w:cs="Arial" w:eastAsia="Arial" w:hAnsi="Arial"/>
                <w:sz w:val="16"/>
                <w:szCs w:val="16"/>
                <w:color w:val="auto"/>
              </w:rPr>
              <w:t>167,083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145,940</w:t>
            </w:r>
          </w:p>
        </w:tc>
      </w:tr>
      <w:tr>
        <w:trPr>
          <w:trHeight w:val="208"/>
        </w:trPr>
        <w:tc>
          <w:tcPr>
            <w:tcW w:w="2340" w:type="dxa"/>
            <w:vAlign w:val="bottom"/>
          </w:tcPr>
          <w:p>
            <w:pPr>
              <w:spacing w:after="0"/>
              <w:rPr>
                <w:sz w:val="20"/>
                <w:szCs w:val="20"/>
                <w:color w:val="auto"/>
              </w:rPr>
            </w:pPr>
            <w:r>
              <w:rPr>
                <w:rFonts w:ascii="Arial" w:cs="Arial" w:eastAsia="Arial" w:hAnsi="Arial"/>
                <w:sz w:val="16"/>
                <w:szCs w:val="16"/>
                <w:color w:val="auto"/>
              </w:rPr>
              <w:t>Acquisition costs(2)</w:t>
            </w:r>
          </w:p>
        </w:tc>
        <w:tc>
          <w:tcPr>
            <w:tcW w:w="7680" w:type="dxa"/>
            <w:vAlign w:val="bottom"/>
            <w:gridSpan w:val="2"/>
          </w:tcPr>
          <w:p>
            <w:pPr>
              <w:jc w:val="right"/>
              <w:ind w:right="238"/>
              <w:spacing w:after="0"/>
              <w:rPr>
                <w:sz w:val="20"/>
                <w:szCs w:val="20"/>
                <w:color w:val="auto"/>
              </w:rPr>
            </w:pPr>
            <w:r>
              <w:rPr>
                <w:rFonts w:ascii="Arial" w:cs="Arial" w:eastAsia="Arial" w:hAnsi="Arial"/>
                <w:sz w:val="16"/>
                <w:szCs w:val="16"/>
                <w:color w:val="auto"/>
              </w:rPr>
              <w:t>66,834</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76,721</w:t>
            </w:r>
          </w:p>
        </w:tc>
      </w:tr>
      <w:tr>
        <w:trPr>
          <w:trHeight w:val="608"/>
        </w:trPr>
        <w:tc>
          <w:tcPr>
            <w:tcW w:w="234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jc w:val="right"/>
              <w:ind w:right="2658"/>
              <w:spacing w:after="0"/>
              <w:rPr>
                <w:sz w:val="20"/>
                <w:szCs w:val="20"/>
                <w:color w:val="auto"/>
              </w:rPr>
            </w:pPr>
            <w:r>
              <w:rPr>
                <w:rFonts w:ascii="Arial" w:cs="Arial" w:eastAsia="Arial" w:hAnsi="Arial"/>
                <w:sz w:val="16"/>
                <w:szCs w:val="16"/>
                <w:color w:val="auto"/>
              </w:rPr>
              <w:t>25</w:t>
            </w:r>
          </w:p>
        </w:tc>
        <w:tc>
          <w:tcPr>
            <w:tcW w:w="1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2"/>
          </w:cols>
          <w:pgMar w:left="318" w:top="332" w:right="339" w:bottom="1440" w:gutter="0" w:footer="0" w:header="0"/>
        </w:sectPr>
      </w:pPr>
    </w:p>
    <w:bookmarkStart w:id="137" w:name="page138"/>
    <w:bookmarkEnd w:id="137"/>
    <w:p>
      <w:pPr>
        <w:ind w:left="8622"/>
        <w:spacing w:after="0"/>
        <w:rPr>
          <w:sz w:val="20"/>
          <w:szCs w:val="20"/>
          <w:color w:val="auto"/>
        </w:rPr>
      </w:pPr>
      <w:r>
        <w:rPr>
          <w:rFonts w:ascii="Arial" w:cs="Arial" w:eastAsia="Arial" w:hAnsi="Arial"/>
          <w:sz w:val="16"/>
          <w:szCs w:val="16"/>
          <w:b w:val="1"/>
          <w:bCs w:val="1"/>
          <w:color w:val="auto"/>
        </w:rPr>
        <w:t>Three Months Ended March 31,</w:t>
      </w:r>
    </w:p>
    <w:p>
      <w:pPr>
        <w:spacing w:after="0" w:line="28" w:lineRule="exact"/>
        <w:rPr>
          <w:sz w:val="20"/>
          <w:szCs w:val="20"/>
          <w:color w:val="auto"/>
        </w:rPr>
      </w:pPr>
    </w:p>
    <w:tbl>
      <w:tblPr>
        <w:tblLayout w:type="fixed"/>
        <w:tblInd w:w="2" w:type="dxa"/>
        <w:tblCellMar>
          <w:top w:w="0" w:type="dxa"/>
          <w:left w:w="0" w:type="dxa"/>
          <w:bottom w:w="0" w:type="dxa"/>
          <w:right w:w="0" w:type="dxa"/>
        </w:tblCellMar>
      </w:tblPr>
      <w:tr>
        <w:trPr>
          <w:trHeight w:val="202"/>
        </w:trPr>
        <w:tc>
          <w:tcPr>
            <w:tcW w:w="8380" w:type="dxa"/>
            <w:vAlign w:val="bottom"/>
            <w:gridSpan w:val="2"/>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228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(in thousands of Soles)</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Underwriting result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w w:val="89"/>
              </w:rPr>
              <w:t>50,316</w:t>
            </w: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5"/>
              </w:rPr>
              <w:t>79,990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140" w:type="dxa"/>
            <w:vAlign w:val="bottom"/>
            <w:gridSpan w:val="2"/>
          </w:tcPr>
          <w:p>
            <w:pPr>
              <w:spacing w:after="0"/>
              <w:rPr>
                <w:sz w:val="20"/>
                <w:szCs w:val="20"/>
                <w:color w:val="auto"/>
              </w:rPr>
            </w:pPr>
            <w:r>
              <w:rPr>
                <w:rFonts w:ascii="Arial" w:cs="Arial" w:eastAsia="Arial" w:hAnsi="Arial"/>
                <w:sz w:val="16"/>
                <w:szCs w:val="16"/>
                <w:color w:val="auto"/>
              </w:rPr>
              <w:t>Net financial income</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20,167</w:t>
            </w:r>
          </w:p>
        </w:tc>
        <w:tc>
          <w:tcPr>
            <w:tcW w:w="7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w w:val="85"/>
              </w:rPr>
              <w:t>12,519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expenses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9"/>
              </w:rPr>
              <w:t>65,569</w:t>
            </w: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5"/>
              </w:rPr>
              <w:t>66,776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140" w:type="dxa"/>
            <w:vAlign w:val="bottom"/>
            <w:gridSpan w:val="2"/>
          </w:tcPr>
          <w:p>
            <w:pPr>
              <w:spacing w:after="0"/>
              <w:rPr>
                <w:sz w:val="20"/>
                <w:szCs w:val="20"/>
                <w:color w:val="auto"/>
              </w:rPr>
            </w:pPr>
            <w:r>
              <w:rPr>
                <w:rFonts w:ascii="Arial" w:cs="Arial" w:eastAsia="Arial" w:hAnsi="Arial"/>
                <w:sz w:val="16"/>
                <w:szCs w:val="16"/>
                <w:color w:val="auto"/>
              </w:rPr>
              <w:t>Other income/loss</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157</w:t>
            </w:r>
          </w:p>
        </w:tc>
        <w:tc>
          <w:tcPr>
            <w:tcW w:w="7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4,295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Translation result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(492)</w:t>
            </w: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140" w:type="dxa"/>
            <w:vAlign w:val="bottom"/>
            <w:gridSpan w:val="2"/>
          </w:tcPr>
          <w:p>
            <w:pPr>
              <w:jc w:val="right"/>
              <w:ind w:right="5038"/>
              <w:spacing w:after="0"/>
              <w:rPr>
                <w:sz w:val="20"/>
                <w:szCs w:val="20"/>
                <w:color w:val="auto"/>
              </w:rPr>
            </w:pPr>
            <w:r>
              <w:rPr>
                <w:rFonts w:ascii="Arial" w:cs="Arial" w:eastAsia="Arial" w:hAnsi="Arial"/>
                <w:sz w:val="16"/>
                <w:szCs w:val="16"/>
                <w:color w:val="auto"/>
                <w:w w:val="95"/>
              </w:rPr>
              <w:t>Gain (loss) from Grupo Pacifico and Banmedica agreement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(2,736)</w:t>
            </w:r>
          </w:p>
        </w:tc>
        <w:tc>
          <w:tcPr>
            <w:tcW w:w="7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(6,430)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w:t>
            </w:r>
          </w:p>
        </w:tc>
        <w:tc>
          <w:tcPr>
            <w:tcW w:w="1500" w:type="dxa"/>
            <w:vAlign w:val="bottom"/>
            <w:gridSpan w:val="3"/>
            <w:shd w:val="clear" w:color="auto" w:fill="CCEEFF"/>
          </w:tcPr>
          <w:p>
            <w:pPr>
              <w:jc w:val="right"/>
              <w:ind w:right="10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140" w:type="dxa"/>
            <w:vAlign w:val="bottom"/>
            <w:gridSpan w:val="2"/>
          </w:tcPr>
          <w:p>
            <w:pPr>
              <w:spacing w:after="0"/>
              <w:rPr>
                <w:sz w:val="20"/>
                <w:szCs w:val="20"/>
                <w:color w:val="auto"/>
              </w:rPr>
            </w:pPr>
            <w:r>
              <w:rPr>
                <w:rFonts w:ascii="Arial" w:cs="Arial" w:eastAsia="Arial" w:hAnsi="Arial"/>
                <w:sz w:val="16"/>
                <w:szCs w:val="16"/>
                <w:b w:val="1"/>
                <w:bCs w:val="1"/>
                <w:color w:val="auto"/>
              </w:rPr>
              <w:t>Income before minority interest</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1,843</w:t>
            </w:r>
          </w:p>
        </w:tc>
        <w:tc>
          <w:tcPr>
            <w:tcW w:w="7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85"/>
              </w:rPr>
              <w:t>26,592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1500" w:type="dxa"/>
            <w:vAlign w:val="bottom"/>
            <w:gridSpan w:val="3"/>
            <w:shd w:val="clear" w:color="auto" w:fill="CCEEFF"/>
          </w:tcPr>
          <w:p>
            <w:pPr>
              <w:jc w:val="right"/>
              <w:ind w:right="10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profit</w:t>
            </w:r>
          </w:p>
        </w:tc>
        <w:tc>
          <w:tcPr>
            <w:tcW w:w="78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1,843</w:t>
            </w:r>
          </w:p>
        </w:tc>
        <w:tc>
          <w:tcPr>
            <w:tcW w:w="26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5"/>
              </w:rPr>
              <w:t>26,592</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9140" w:type="dxa"/>
            <w:vAlign w:val="bottom"/>
            <w:gridSpan w:val="2"/>
          </w:tcPr>
          <w:p>
            <w:pPr>
              <w:spacing w:after="0"/>
              <w:rPr>
                <w:sz w:val="20"/>
                <w:szCs w:val="20"/>
                <w:color w:val="auto"/>
              </w:rPr>
            </w:pPr>
            <w:r>
              <w:rPr>
                <w:rFonts w:ascii="Arial" w:cs="Arial" w:eastAsia="Arial" w:hAnsi="Arial"/>
                <w:sz w:val="16"/>
                <w:szCs w:val="16"/>
                <w:color w:val="auto"/>
              </w:rPr>
              <w:t>Loss ratio(3)</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58.8%</w:t>
            </w:r>
          </w:p>
        </w:tc>
        <w:tc>
          <w:tcPr>
            <w:tcW w:w="7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 costs ratio(4)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23.5%</w:t>
            </w: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140" w:type="dxa"/>
            <w:vAlign w:val="bottom"/>
            <w:gridSpan w:val="2"/>
          </w:tcPr>
          <w:p>
            <w:pPr>
              <w:spacing w:after="0"/>
              <w:rPr>
                <w:sz w:val="20"/>
                <w:szCs w:val="20"/>
                <w:color w:val="auto"/>
              </w:rPr>
            </w:pPr>
            <w:r>
              <w:rPr>
                <w:rFonts w:ascii="Arial" w:cs="Arial" w:eastAsia="Arial" w:hAnsi="Arial"/>
                <w:sz w:val="16"/>
                <w:szCs w:val="16"/>
                <w:color w:val="auto"/>
              </w:rPr>
              <w:t>Operating expenses / net earned premiums</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23.1%</w:t>
            </w:r>
          </w:p>
        </w:tc>
        <w:tc>
          <w:tcPr>
            <w:tcW w:w="7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Combined ratio of P&amp;C(5)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105.4%</w:t>
            </w: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78625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311" w:lineRule="exact"/>
        <w:rPr>
          <w:sz w:val="20"/>
          <w:szCs w:val="20"/>
          <w:color w:val="auto"/>
        </w:rPr>
      </w:pPr>
    </w:p>
    <w:p>
      <w:pPr>
        <w:ind w:left="302" w:hanging="302"/>
        <w:spacing w:after="0"/>
        <w:tabs>
          <w:tab w:leader="none" w:pos="30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Financial statements without consolidation adjustments.</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Fees plus Underwriting expenses, net.</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Net claims / Net earned premiums.</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Acquisition costs / Net earned premiums.</w:t>
      </w:r>
    </w:p>
    <w:p>
      <w:pPr>
        <w:spacing w:after="0" w:line="209" w:lineRule="exact"/>
        <w:rPr>
          <w:rFonts w:ascii="Arial" w:cs="Arial" w:eastAsia="Arial" w:hAnsi="Arial"/>
          <w:sz w:val="16"/>
          <w:szCs w:val="16"/>
          <w:color w:val="auto"/>
        </w:rPr>
      </w:pPr>
    </w:p>
    <w:p>
      <w:pPr>
        <w:ind w:left="302" w:right="4100" w:hanging="302"/>
        <w:spacing w:after="0" w:line="512" w:lineRule="auto"/>
        <w:tabs>
          <w:tab w:leader="none" w:pos="30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(Net claims / Net earned premiums) plus (Acquisition costs plus Total expenses) / Net earned premiums. </w:t>
      </w:r>
      <w:r>
        <w:rPr>
          <w:rFonts w:ascii="Arial" w:cs="Arial" w:eastAsia="Arial" w:hAnsi="Arial"/>
          <w:sz w:val="16"/>
          <w:szCs w:val="16"/>
          <w:u w:val="single" w:color="auto"/>
          <w:color w:val="auto"/>
        </w:rPr>
        <w:t>Life Business</w:t>
      </w:r>
    </w:p>
    <w:p>
      <w:pPr>
        <w:spacing w:after="0" w:line="1" w:lineRule="exact"/>
        <w:rPr>
          <w:sz w:val="20"/>
          <w:szCs w:val="20"/>
          <w:color w:val="auto"/>
        </w:rPr>
      </w:pPr>
    </w:p>
    <w:p>
      <w:pPr>
        <w:ind w:left="2" w:right="100" w:firstLine="295"/>
        <w:spacing w:after="0" w:line="298" w:lineRule="auto"/>
        <w:rPr>
          <w:sz w:val="20"/>
          <w:szCs w:val="20"/>
          <w:color w:val="auto"/>
        </w:rPr>
      </w:pPr>
      <w:r>
        <w:rPr>
          <w:rFonts w:ascii="Arial" w:cs="Arial" w:eastAsia="Arial" w:hAnsi="Arial"/>
          <w:sz w:val="15"/>
          <w:szCs w:val="15"/>
          <w:color w:val="auto"/>
        </w:rPr>
        <w:t>Grupo Pacifico’s life insurance business net profit was S/52.6 million in the three months ended March 31, 2020, 15.7% less than the S/62.4 million reported in the three months ended March 31, 2019. This decrease was mainly attributable to (i) an increase in acquisition costs, (ii) higher net claims, (iii) higher total expenses, and (iv) a decrease in translations results. These effects were offset in part by an increase in net earned premiums and higher financial income.</w:t>
      </w:r>
    </w:p>
    <w:p>
      <w:pPr>
        <w:spacing w:after="0" w:line="144" w:lineRule="exact"/>
        <w:rPr>
          <w:sz w:val="20"/>
          <w:szCs w:val="20"/>
          <w:color w:val="auto"/>
        </w:rPr>
      </w:pPr>
    </w:p>
    <w:p>
      <w:pPr>
        <w:ind w:left="2" w:right="120" w:firstLine="295"/>
        <w:spacing w:after="0" w:line="287" w:lineRule="auto"/>
        <w:rPr>
          <w:sz w:val="20"/>
          <w:szCs w:val="20"/>
          <w:color w:val="auto"/>
        </w:rPr>
      </w:pPr>
      <w:r>
        <w:rPr>
          <w:rFonts w:ascii="Arial" w:cs="Arial" w:eastAsia="Arial" w:hAnsi="Arial"/>
          <w:sz w:val="16"/>
          <w:szCs w:val="16"/>
          <w:color w:val="auto"/>
        </w:rPr>
        <w:t>The life insurance business acquisition costs increased in the three months ended March 31, 2020 compared to the three months ended March 31, 2019 mainly due to the increase in fees for credit life after premiums rose through the alliance channel.</w:t>
      </w:r>
    </w:p>
    <w:p>
      <w:pPr>
        <w:spacing w:after="0" w:line="150" w:lineRule="exact"/>
        <w:rPr>
          <w:sz w:val="20"/>
          <w:szCs w:val="20"/>
          <w:color w:val="auto"/>
        </w:rPr>
      </w:pPr>
    </w:p>
    <w:p>
      <w:pPr>
        <w:ind w:left="2" w:right="200" w:firstLine="295"/>
        <w:spacing w:after="0" w:line="322" w:lineRule="auto"/>
        <w:rPr>
          <w:sz w:val="20"/>
          <w:szCs w:val="20"/>
          <w:color w:val="auto"/>
        </w:rPr>
      </w:pPr>
      <w:r>
        <w:rPr>
          <w:rFonts w:ascii="Arial" w:cs="Arial" w:eastAsia="Arial" w:hAnsi="Arial"/>
          <w:sz w:val="15"/>
          <w:szCs w:val="15"/>
          <w:color w:val="auto"/>
        </w:rPr>
        <w:t>In the three months ended March 31, 2020, net claims increased by 7.9% compared to the three months ended March 31, 2019, which was primarily driven by D&amp;S through SISCO II and SISCO III due to a decrease in interest rates and in annuities as a result of the growth in pension payments through individual annuities.</w:t>
      </w:r>
    </w:p>
    <w:p>
      <w:pPr>
        <w:spacing w:after="0" w:line="127" w:lineRule="exact"/>
        <w:rPr>
          <w:sz w:val="20"/>
          <w:szCs w:val="20"/>
          <w:color w:val="auto"/>
        </w:rPr>
      </w:pPr>
    </w:p>
    <w:p>
      <w:pPr>
        <w:ind w:left="302"/>
        <w:spacing w:after="0"/>
        <w:rPr>
          <w:sz w:val="20"/>
          <w:szCs w:val="20"/>
          <w:color w:val="auto"/>
        </w:rPr>
      </w:pPr>
      <w:r>
        <w:rPr>
          <w:rFonts w:ascii="Arial" w:cs="Arial" w:eastAsia="Arial" w:hAnsi="Arial"/>
          <w:sz w:val="15"/>
          <w:szCs w:val="15"/>
          <w:color w:val="auto"/>
        </w:rPr>
        <w:t>Grupo Pacifico’s life insurance business reported written premiums of S/502.3 million in the three months ended March 31, 2020, which represented an increase of</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4"/>
          <w:szCs w:val="14"/>
          <w:color w:val="auto"/>
        </w:rPr>
        <w:t>0.5% compared to the three months ended March 31, 2019. This result was mainly driven by (i) credit life, where growth was attributable to an increase in premiums in the</w:t>
      </w:r>
    </w:p>
    <w:p>
      <w:pPr>
        <w:spacing w:after="0" w:line="36" w:lineRule="exact"/>
        <w:rPr>
          <w:sz w:val="20"/>
          <w:szCs w:val="20"/>
          <w:color w:val="auto"/>
        </w:rPr>
      </w:pPr>
    </w:p>
    <w:p>
      <w:pPr>
        <w:ind w:left="2"/>
        <w:spacing w:after="0"/>
        <w:rPr>
          <w:sz w:val="20"/>
          <w:szCs w:val="20"/>
          <w:color w:val="auto"/>
        </w:rPr>
      </w:pPr>
      <w:r>
        <w:rPr>
          <w:rFonts w:ascii="Arial" w:cs="Arial" w:eastAsia="Arial" w:hAnsi="Arial"/>
          <w:sz w:val="15"/>
          <w:szCs w:val="15"/>
          <w:color w:val="auto"/>
        </w:rPr>
        <w:t>alliance and bancassurance channel and to solidarity payments (debts assumed by the entity); (ii) group life, due to an increase in statutory life products after a new</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5"/>
          <w:szCs w:val="15"/>
          <w:color w:val="auto"/>
        </w:rPr>
        <w:t>regulation went into effect in January 2020 which required companies to insure their employees from the first day of work (rather than after four years) and to growth in</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5"/>
          <w:szCs w:val="15"/>
          <w:color w:val="auto"/>
        </w:rPr>
        <w:t>collective life, which was reflected in an increase in premium turnover in the bancassurance channel; (iii) individual life, due to an increase in premium turnover for</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5"/>
          <w:szCs w:val="15"/>
          <w:color w:val="auto"/>
        </w:rPr>
        <w:t>renewals; and (iv) D&amp;S, due to an increase in premiums through SISCO IV. These increases were offset in part by a decrease in premiums in annuities due to individual</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color w:val="auto"/>
        </w:rPr>
        <w:t>annuities and to a decrease in selling days due to the quarantine ordered by the Peruvian government in connection with the COVID-19 pandemic.</w:t>
      </w:r>
    </w:p>
    <w:p>
      <w:pPr>
        <w:spacing w:after="0" w:line="39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56" w:right="339" w:bottom="1440" w:gutter="0" w:footer="0" w:header="0"/>
        </w:sectPr>
      </w:pPr>
    </w:p>
    <w:bookmarkStart w:id="138" w:name="page139"/>
    <w:bookmarkEnd w:id="138"/>
    <w:p>
      <w:pPr>
        <w:ind w:left="2" w:right="40" w:firstLine="295"/>
        <w:spacing w:after="0" w:line="287" w:lineRule="auto"/>
        <w:rPr>
          <w:sz w:val="20"/>
          <w:szCs w:val="20"/>
          <w:color w:val="auto"/>
        </w:rPr>
      </w:pPr>
      <w:r>
        <w:rPr>
          <w:rFonts w:ascii="Arial" w:cs="Arial" w:eastAsia="Arial" w:hAnsi="Arial"/>
          <w:sz w:val="16"/>
          <w:szCs w:val="16"/>
          <w:color w:val="auto"/>
        </w:rPr>
        <w:t>Financial income showed a slight growth of 0.6% in the three months ended March 31, 2020 compared to the three months ended March 31, 2019 as a result of higher interest and income on investments.</w:t>
      </w:r>
    </w:p>
    <w:p>
      <w:pPr>
        <w:spacing w:after="0" w:line="146"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020" w:type="dxa"/>
            <w:vAlign w:val="bottom"/>
            <w:gridSpan w:val="2"/>
          </w:tcPr>
          <w:p>
            <w:pPr>
              <w:jc w:val="right"/>
              <w:ind w:right="1958"/>
              <w:spacing w:after="0"/>
              <w:rPr>
                <w:sz w:val="20"/>
                <w:szCs w:val="20"/>
                <w:color w:val="auto"/>
              </w:rPr>
            </w:pPr>
            <w:r>
              <w:rPr>
                <w:rFonts w:ascii="Arial" w:cs="Arial" w:eastAsia="Arial" w:hAnsi="Arial"/>
                <w:sz w:val="16"/>
                <w:szCs w:val="16"/>
                <w:b w:val="1"/>
                <w:bCs w:val="1"/>
                <w:color w:val="auto"/>
                <w:w w:val="95"/>
              </w:rPr>
              <w:t>Net Profit and Selected Ratios for Grupo Pacifico’s- Life business(1)</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8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Three Months Ended March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660" w:type="dxa"/>
            <w:vAlign w:val="bottom"/>
            <w:tcBorders>
              <w:top w:val="single" w:sz="8" w:color="auto"/>
              <w:bottom w:val="single" w:sz="8" w:color="auto"/>
            </w:tcBorders>
          </w:tcPr>
          <w:p>
            <w:pPr>
              <w:jc w:val="right"/>
              <w:ind w:right="698"/>
              <w:spacing w:after="0"/>
              <w:rPr>
                <w:sz w:val="20"/>
                <w:szCs w:val="20"/>
                <w:color w:val="auto"/>
              </w:rPr>
            </w:pPr>
            <w:r>
              <w:rPr>
                <w:rFonts w:ascii="Arial" w:cs="Arial" w:eastAsia="Arial" w:hAnsi="Arial"/>
                <w:sz w:val="16"/>
                <w:szCs w:val="16"/>
                <w:b w:val="1"/>
                <w:bCs w:val="1"/>
                <w:color w:val="auto"/>
              </w:rPr>
              <w:t>2019(2)</w:t>
            </w:r>
          </w:p>
        </w:tc>
        <w:tc>
          <w:tcPr>
            <w:tcW w:w="106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(in thousands of Soles)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Written premiums</w:t>
            </w:r>
          </w:p>
        </w:tc>
        <w:tc>
          <w:tcPr>
            <w:tcW w:w="7020" w:type="dxa"/>
            <w:vAlign w:val="bottom"/>
            <w:gridSpan w:val="2"/>
            <w:shd w:val="clear" w:color="auto" w:fill="CCEEFF"/>
          </w:tcPr>
          <w:p>
            <w:pPr>
              <w:jc w:val="right"/>
              <w:ind w:right="338"/>
              <w:spacing w:after="0"/>
              <w:rPr>
                <w:sz w:val="20"/>
                <w:szCs w:val="20"/>
                <w:color w:val="auto"/>
              </w:rPr>
            </w:pPr>
            <w:r>
              <w:rPr>
                <w:rFonts w:ascii="Arial" w:cs="Arial" w:eastAsia="Arial" w:hAnsi="Arial"/>
                <w:sz w:val="16"/>
                <w:szCs w:val="16"/>
                <w:color w:val="auto"/>
              </w:rPr>
              <w:t>499,671</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502,265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6"/>
                <w:szCs w:val="16"/>
                <w:color w:val="auto"/>
              </w:rPr>
              <w:t>Ceded premiums</w:t>
            </w:r>
          </w:p>
        </w:tc>
        <w:tc>
          <w:tcPr>
            <w:tcW w:w="7020" w:type="dxa"/>
            <w:vAlign w:val="bottom"/>
            <w:gridSpan w:val="2"/>
          </w:tcPr>
          <w:p>
            <w:pPr>
              <w:jc w:val="right"/>
              <w:ind w:right="338"/>
              <w:spacing w:after="0"/>
              <w:rPr>
                <w:sz w:val="20"/>
                <w:szCs w:val="20"/>
                <w:color w:val="auto"/>
              </w:rPr>
            </w:pPr>
            <w:r>
              <w:rPr>
                <w:rFonts w:ascii="Arial" w:cs="Arial" w:eastAsia="Arial" w:hAnsi="Arial"/>
                <w:sz w:val="16"/>
                <w:szCs w:val="16"/>
                <w:color w:val="auto"/>
              </w:rPr>
              <w:t>31,190</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29,096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Reserves</w:t>
            </w:r>
          </w:p>
        </w:tc>
        <w:tc>
          <w:tcPr>
            <w:tcW w:w="7020" w:type="dxa"/>
            <w:vAlign w:val="bottom"/>
            <w:gridSpan w:val="2"/>
            <w:shd w:val="clear" w:color="auto" w:fill="CCEEFF"/>
          </w:tcPr>
          <w:p>
            <w:pPr>
              <w:jc w:val="right"/>
              <w:ind w:right="338"/>
              <w:spacing w:after="0"/>
              <w:rPr>
                <w:sz w:val="20"/>
                <w:szCs w:val="20"/>
                <w:color w:val="auto"/>
              </w:rPr>
            </w:pPr>
            <w:r>
              <w:rPr>
                <w:rFonts w:ascii="Arial" w:cs="Arial" w:eastAsia="Arial" w:hAnsi="Arial"/>
                <w:sz w:val="16"/>
                <w:szCs w:val="16"/>
                <w:color w:val="auto"/>
              </w:rPr>
              <w:t>177,449</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150,364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6"/>
                <w:szCs w:val="16"/>
                <w:b w:val="1"/>
                <w:bCs w:val="1"/>
                <w:color w:val="auto"/>
              </w:rPr>
              <w:t>Net earned premiums</w:t>
            </w:r>
          </w:p>
        </w:tc>
        <w:tc>
          <w:tcPr>
            <w:tcW w:w="7020" w:type="dxa"/>
            <w:vAlign w:val="bottom"/>
            <w:gridSpan w:val="2"/>
          </w:tcPr>
          <w:p>
            <w:pPr>
              <w:jc w:val="right"/>
              <w:ind w:right="338"/>
              <w:spacing w:after="0"/>
              <w:rPr>
                <w:sz w:val="20"/>
                <w:szCs w:val="20"/>
                <w:color w:val="auto"/>
              </w:rPr>
            </w:pPr>
            <w:r>
              <w:rPr>
                <w:rFonts w:ascii="Arial" w:cs="Arial" w:eastAsia="Arial" w:hAnsi="Arial"/>
                <w:sz w:val="16"/>
                <w:szCs w:val="16"/>
                <w:b w:val="1"/>
                <w:bCs w:val="1"/>
                <w:color w:val="auto"/>
              </w:rPr>
              <w:t>291,033</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322,805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Net claims</w:t>
            </w:r>
          </w:p>
        </w:tc>
        <w:tc>
          <w:tcPr>
            <w:tcW w:w="7020" w:type="dxa"/>
            <w:vAlign w:val="bottom"/>
            <w:gridSpan w:val="2"/>
            <w:shd w:val="clear" w:color="auto" w:fill="CCEEFF"/>
          </w:tcPr>
          <w:p>
            <w:pPr>
              <w:jc w:val="right"/>
              <w:ind w:right="338"/>
              <w:spacing w:after="0"/>
              <w:rPr>
                <w:sz w:val="20"/>
                <w:szCs w:val="20"/>
                <w:color w:val="auto"/>
              </w:rPr>
            </w:pPr>
            <w:r>
              <w:rPr>
                <w:rFonts w:ascii="Arial" w:cs="Arial" w:eastAsia="Arial" w:hAnsi="Arial"/>
                <w:sz w:val="16"/>
                <w:szCs w:val="16"/>
                <w:color w:val="auto"/>
              </w:rPr>
              <w:t>215,143</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232,243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6"/>
                <w:szCs w:val="16"/>
                <w:color w:val="auto"/>
              </w:rPr>
              <w:t>Acquisition costs(3)</w:t>
            </w:r>
          </w:p>
        </w:tc>
        <w:tc>
          <w:tcPr>
            <w:tcW w:w="7020" w:type="dxa"/>
            <w:vAlign w:val="bottom"/>
            <w:gridSpan w:val="2"/>
          </w:tcPr>
          <w:p>
            <w:pPr>
              <w:jc w:val="right"/>
              <w:ind w:right="338"/>
              <w:spacing w:after="0"/>
              <w:rPr>
                <w:sz w:val="20"/>
                <w:szCs w:val="20"/>
                <w:color w:val="auto"/>
              </w:rPr>
            </w:pPr>
            <w:r>
              <w:rPr>
                <w:rFonts w:ascii="Arial" w:cs="Arial" w:eastAsia="Arial" w:hAnsi="Arial"/>
                <w:sz w:val="16"/>
                <w:szCs w:val="16"/>
                <w:color w:val="auto"/>
              </w:rPr>
              <w:t>102,577</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126,744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Underwriting result</w:t>
            </w:r>
          </w:p>
        </w:tc>
        <w:tc>
          <w:tcPr>
            <w:tcW w:w="7020" w:type="dxa"/>
            <w:vAlign w:val="bottom"/>
            <w:gridSpan w:val="2"/>
            <w:shd w:val="clear" w:color="auto" w:fill="CCEEFF"/>
          </w:tcPr>
          <w:p>
            <w:pPr>
              <w:jc w:val="right"/>
              <w:ind w:right="278"/>
              <w:spacing w:after="0"/>
              <w:rPr>
                <w:sz w:val="20"/>
                <w:szCs w:val="20"/>
                <w:color w:val="auto"/>
              </w:rPr>
            </w:pPr>
            <w:r>
              <w:rPr>
                <w:rFonts w:ascii="Arial" w:cs="Arial" w:eastAsia="Arial" w:hAnsi="Arial"/>
                <w:sz w:val="16"/>
                <w:szCs w:val="16"/>
                <w:b w:val="1"/>
                <w:bCs w:val="1"/>
                <w:color w:val="auto"/>
              </w:rPr>
              <w:t>(26,687)</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(36,182)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6"/>
                <w:szCs w:val="16"/>
                <w:color w:val="auto"/>
              </w:rPr>
              <w:t>Net financial income</w:t>
            </w:r>
          </w:p>
        </w:tc>
        <w:tc>
          <w:tcPr>
            <w:tcW w:w="7020" w:type="dxa"/>
            <w:vAlign w:val="bottom"/>
            <w:gridSpan w:val="2"/>
          </w:tcPr>
          <w:p>
            <w:pPr>
              <w:jc w:val="right"/>
              <w:ind w:right="338"/>
              <w:spacing w:after="0"/>
              <w:rPr>
                <w:sz w:val="20"/>
                <w:szCs w:val="20"/>
                <w:color w:val="auto"/>
              </w:rPr>
            </w:pPr>
            <w:r>
              <w:rPr>
                <w:rFonts w:ascii="Arial" w:cs="Arial" w:eastAsia="Arial" w:hAnsi="Arial"/>
                <w:sz w:val="16"/>
                <w:szCs w:val="16"/>
                <w:color w:val="auto"/>
              </w:rPr>
              <w:t>118,982</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119,637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Total expenses</w:t>
            </w:r>
          </w:p>
        </w:tc>
        <w:tc>
          <w:tcPr>
            <w:tcW w:w="7020" w:type="dxa"/>
            <w:vAlign w:val="bottom"/>
            <w:gridSpan w:val="2"/>
            <w:shd w:val="clear" w:color="auto" w:fill="CCEEFF"/>
          </w:tcPr>
          <w:p>
            <w:pPr>
              <w:jc w:val="right"/>
              <w:ind w:right="338"/>
              <w:spacing w:after="0"/>
              <w:rPr>
                <w:sz w:val="20"/>
                <w:szCs w:val="20"/>
                <w:color w:val="auto"/>
              </w:rPr>
            </w:pPr>
            <w:r>
              <w:rPr>
                <w:rFonts w:ascii="Arial" w:cs="Arial" w:eastAsia="Arial" w:hAnsi="Arial"/>
                <w:sz w:val="16"/>
                <w:szCs w:val="16"/>
                <w:color w:val="auto"/>
              </w:rPr>
              <w:t>30,832</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31,894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6"/>
                <w:szCs w:val="16"/>
                <w:color w:val="auto"/>
              </w:rPr>
              <w:t>Other income/loss</w:t>
            </w:r>
          </w:p>
        </w:tc>
        <w:tc>
          <w:tcPr>
            <w:tcW w:w="7020" w:type="dxa"/>
            <w:vAlign w:val="bottom"/>
            <w:gridSpan w:val="2"/>
          </w:tcPr>
          <w:p>
            <w:pPr>
              <w:jc w:val="right"/>
              <w:ind w:right="338"/>
              <w:spacing w:after="0"/>
              <w:rPr>
                <w:sz w:val="20"/>
                <w:szCs w:val="20"/>
                <w:color w:val="auto"/>
              </w:rPr>
            </w:pPr>
            <w:r>
              <w:rPr>
                <w:rFonts w:ascii="Arial" w:cs="Arial" w:eastAsia="Arial" w:hAnsi="Arial"/>
                <w:sz w:val="16"/>
                <w:szCs w:val="16"/>
                <w:color w:val="auto"/>
              </w:rPr>
              <w:t>912</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Translations results</w:t>
            </w:r>
          </w:p>
        </w:tc>
        <w:tc>
          <w:tcPr>
            <w:tcW w:w="7020" w:type="dxa"/>
            <w:vAlign w:val="bottom"/>
            <w:gridSpan w:val="2"/>
            <w:shd w:val="clear" w:color="auto" w:fill="CCEEFF"/>
          </w:tcPr>
          <w:p>
            <w:pPr>
              <w:jc w:val="right"/>
              <w:ind w:right="278"/>
              <w:spacing w:after="0"/>
              <w:rPr>
                <w:sz w:val="20"/>
                <w:szCs w:val="20"/>
                <w:color w:val="auto"/>
              </w:rPr>
            </w:pPr>
            <w:r>
              <w:rPr>
                <w:rFonts w:ascii="Arial" w:cs="Arial" w:eastAsia="Arial" w:hAnsi="Arial"/>
                <w:sz w:val="16"/>
                <w:szCs w:val="16"/>
                <w:color w:val="auto"/>
              </w:rPr>
              <w:t>(51)</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(1,397)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6"/>
                <w:szCs w:val="16"/>
                <w:b w:val="1"/>
                <w:bCs w:val="1"/>
                <w:color w:val="auto"/>
              </w:rPr>
              <w:t>Income before minority interest</w:t>
            </w:r>
          </w:p>
        </w:tc>
        <w:tc>
          <w:tcPr>
            <w:tcW w:w="7020" w:type="dxa"/>
            <w:vAlign w:val="bottom"/>
            <w:gridSpan w:val="2"/>
          </w:tcPr>
          <w:p>
            <w:pPr>
              <w:jc w:val="right"/>
              <w:ind w:right="338"/>
              <w:spacing w:after="0"/>
              <w:rPr>
                <w:sz w:val="20"/>
                <w:szCs w:val="20"/>
                <w:color w:val="auto"/>
              </w:rPr>
            </w:pPr>
            <w:r>
              <w:rPr>
                <w:rFonts w:ascii="Arial" w:cs="Arial" w:eastAsia="Arial" w:hAnsi="Arial"/>
                <w:sz w:val="16"/>
                <w:szCs w:val="16"/>
                <w:b w:val="1"/>
                <w:bCs w:val="1"/>
                <w:color w:val="auto"/>
              </w:rPr>
              <w:t>62,324</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51,208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7020" w:type="dxa"/>
            <w:vAlign w:val="bottom"/>
            <w:gridSpan w:val="2"/>
            <w:shd w:val="clear" w:color="auto" w:fill="CCEEFF"/>
          </w:tcPr>
          <w:p>
            <w:pPr>
              <w:jc w:val="right"/>
              <w:ind w:right="338"/>
              <w:spacing w:after="0"/>
              <w:rPr>
                <w:sz w:val="20"/>
                <w:szCs w:val="20"/>
                <w:color w:val="auto"/>
              </w:rPr>
            </w:pPr>
            <w:r>
              <w:rPr>
                <w:rFonts w:ascii="Arial" w:cs="Arial" w:eastAsia="Arial" w:hAnsi="Arial"/>
                <w:sz w:val="16"/>
                <w:szCs w:val="16"/>
                <w:color w:val="auto"/>
              </w:rPr>
              <w:t>0</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6"/>
                <w:szCs w:val="16"/>
                <w:b w:val="1"/>
                <w:bCs w:val="1"/>
                <w:color w:val="auto"/>
              </w:rPr>
              <w:t>Net profit</w:t>
            </w:r>
          </w:p>
        </w:tc>
        <w:tc>
          <w:tcPr>
            <w:tcW w:w="7020" w:type="dxa"/>
            <w:vAlign w:val="bottom"/>
            <w:gridSpan w:val="2"/>
          </w:tcPr>
          <w:p>
            <w:pPr>
              <w:jc w:val="right"/>
              <w:ind w:right="338"/>
              <w:spacing w:after="0"/>
              <w:rPr>
                <w:sz w:val="20"/>
                <w:szCs w:val="20"/>
                <w:color w:val="auto"/>
              </w:rPr>
            </w:pPr>
            <w:r>
              <w:rPr>
                <w:rFonts w:ascii="Arial" w:cs="Arial" w:eastAsia="Arial" w:hAnsi="Arial"/>
                <w:sz w:val="16"/>
                <w:szCs w:val="16"/>
                <w:b w:val="1"/>
                <w:bCs w:val="1"/>
                <w:color w:val="auto"/>
              </w:rPr>
              <w:t>62,324</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51,208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6"/>
                <w:szCs w:val="16"/>
                <w:color w:val="auto"/>
              </w:rPr>
              <w:t>Loss ratio(4)</w:t>
            </w:r>
          </w:p>
        </w:tc>
        <w:tc>
          <w:tcPr>
            <w:tcW w:w="7020" w:type="dxa"/>
            <w:vAlign w:val="bottom"/>
            <w:gridSpan w:val="2"/>
          </w:tcPr>
          <w:p>
            <w:pPr>
              <w:jc w:val="right"/>
              <w:ind w:right="198"/>
              <w:spacing w:after="0"/>
              <w:rPr>
                <w:sz w:val="20"/>
                <w:szCs w:val="20"/>
                <w:color w:val="auto"/>
              </w:rPr>
            </w:pPr>
            <w:r>
              <w:rPr>
                <w:rFonts w:ascii="Arial" w:cs="Arial" w:eastAsia="Arial" w:hAnsi="Arial"/>
                <w:sz w:val="16"/>
                <w:szCs w:val="16"/>
                <w:color w:val="auto"/>
              </w:rPr>
              <w:t>33.2%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Acquisition costs ratio(5)</w:t>
            </w:r>
          </w:p>
        </w:tc>
        <w:tc>
          <w:tcPr>
            <w:tcW w:w="702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35.2%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6"/>
                <w:szCs w:val="16"/>
                <w:color w:val="auto"/>
                <w:w w:val="96"/>
              </w:rPr>
              <w:t>Operating expenses / net earned premiums</w:t>
            </w:r>
          </w:p>
        </w:tc>
        <w:tc>
          <w:tcPr>
            <w:tcW w:w="7020" w:type="dxa"/>
            <w:vAlign w:val="bottom"/>
            <w:gridSpan w:val="2"/>
          </w:tcPr>
          <w:p>
            <w:pPr>
              <w:jc w:val="right"/>
              <w:ind w:right="198"/>
              <w:spacing w:after="0"/>
              <w:rPr>
                <w:sz w:val="20"/>
                <w:szCs w:val="20"/>
                <w:color w:val="auto"/>
              </w:rPr>
            </w:pPr>
            <w:r>
              <w:rPr>
                <w:rFonts w:ascii="Arial" w:cs="Arial" w:eastAsia="Arial" w:hAnsi="Arial"/>
                <w:sz w:val="16"/>
                <w:szCs w:val="16"/>
                <w:color w:val="auto"/>
              </w:rPr>
              <w:t>10.6%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Combined ratio of Life(6)</w:t>
            </w:r>
          </w:p>
        </w:tc>
        <w:tc>
          <w:tcPr>
            <w:tcW w:w="702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79.0%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8625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01" w:lineRule="exact"/>
        <w:rPr>
          <w:sz w:val="20"/>
          <w:szCs w:val="20"/>
          <w:color w:val="auto"/>
        </w:rPr>
      </w:pPr>
    </w:p>
    <w:p>
      <w:pPr>
        <w:ind w:left="302" w:hanging="302"/>
        <w:spacing w:after="0"/>
        <w:tabs>
          <w:tab w:leader="none" w:pos="30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Financial statements without consolidation adjustments.</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concept of policy fee was not reclassified as written premium in 2017.</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Fees and underwriting expenses, net.</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Net claims / Net earned premiums.</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Acquisition costs / Net earned premiums.</w:t>
      </w:r>
    </w:p>
    <w:p>
      <w:pPr>
        <w:spacing w:after="0" w:line="209" w:lineRule="exact"/>
        <w:rPr>
          <w:rFonts w:ascii="Arial" w:cs="Arial" w:eastAsia="Arial" w:hAnsi="Arial"/>
          <w:sz w:val="16"/>
          <w:szCs w:val="16"/>
          <w:color w:val="auto"/>
        </w:rPr>
      </w:pPr>
    </w:p>
    <w:p>
      <w:pPr>
        <w:ind w:left="302" w:right="4100" w:hanging="302"/>
        <w:spacing w:after="0" w:line="512" w:lineRule="auto"/>
        <w:tabs>
          <w:tab w:leader="none" w:pos="30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(Net claims / Net earned premiums) plus (Acquisition costs plus Total expenses) / Net earned premiums. </w:t>
      </w:r>
      <w:r>
        <w:rPr>
          <w:rFonts w:ascii="Arial" w:cs="Arial" w:eastAsia="Arial" w:hAnsi="Arial"/>
          <w:sz w:val="16"/>
          <w:szCs w:val="16"/>
          <w:u w:val="single" w:color="auto"/>
          <w:color w:val="auto"/>
        </w:rPr>
        <w:t>Corporate Health Insurance and Medical Services</w:t>
      </w:r>
    </w:p>
    <w:p>
      <w:pPr>
        <w:spacing w:after="0" w:line="1" w:lineRule="exact"/>
        <w:rPr>
          <w:sz w:val="20"/>
          <w:szCs w:val="20"/>
          <w:color w:val="auto"/>
        </w:rPr>
      </w:pPr>
    </w:p>
    <w:p>
      <w:pPr>
        <w:ind w:left="2" w:firstLine="295"/>
        <w:spacing w:after="0" w:line="289" w:lineRule="auto"/>
        <w:rPr>
          <w:sz w:val="20"/>
          <w:szCs w:val="20"/>
          <w:color w:val="auto"/>
        </w:rPr>
      </w:pPr>
      <w:r>
        <w:rPr>
          <w:rFonts w:ascii="Arial" w:cs="Arial" w:eastAsia="Arial" w:hAnsi="Arial"/>
          <w:sz w:val="15"/>
          <w:szCs w:val="15"/>
          <w:color w:val="auto"/>
        </w:rPr>
        <w:t>Corporate health insurance and medical services recorded net profit of S/34.3 million in the three months ended March 31, 2020, an increase of 93.1% compared to the S/17.8 million reported in the three months ended March 31, 2019. This increase is primarily the result of corporate health insurance, mainly due to higher net earned premiums and lower claims as a result of a decrease in frequency of medical care due to quarantine during the COVID-19 pandemic, and was offset by the decrease in medical services income (S/12.8 million in the three months ended March 31, 2020 compared to S/21.1 million in the three months ended March 31, 2019).</w:t>
      </w:r>
    </w:p>
    <w:p>
      <w:pPr>
        <w:spacing w:after="0" w:line="34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520" w:right="339" w:bottom="1440" w:gutter="0" w:footer="0" w:header="0"/>
        </w:sectPr>
      </w:pPr>
    </w:p>
    <w:bookmarkStart w:id="139" w:name="page140"/>
    <w:bookmarkEnd w:id="139"/>
    <w:p>
      <w:pPr>
        <w:jc w:val="center"/>
        <w:ind w:right="-1"/>
        <w:spacing w:after="0"/>
        <w:rPr>
          <w:sz w:val="20"/>
          <w:szCs w:val="20"/>
          <w:color w:val="auto"/>
        </w:rPr>
      </w:pPr>
      <w:r>
        <w:rPr>
          <w:rFonts w:ascii="Arial" w:cs="Arial" w:eastAsia="Arial" w:hAnsi="Arial"/>
          <w:sz w:val="16"/>
          <w:szCs w:val="16"/>
          <w:b w:val="1"/>
          <w:bCs w:val="1"/>
          <w:color w:val="auto"/>
        </w:rPr>
        <w:t>Net Profit and Selected Ratios for Grupo Pacifico’s - Corporate Health Insurance and Medical Services(1)</w:t>
      </w:r>
    </w:p>
    <w:p>
      <w:pPr>
        <w:spacing w:after="0" w:line="221"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8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Three Months Ended March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60" w:type="dxa"/>
            <w:vAlign w:val="bottom"/>
          </w:tcPr>
          <w:p>
            <w:pPr>
              <w:spacing w:after="0"/>
              <w:rPr>
                <w:sz w:val="17"/>
                <w:szCs w:val="17"/>
                <w:color w:val="auto"/>
              </w:rPr>
            </w:pPr>
          </w:p>
        </w:tc>
        <w:tc>
          <w:tcPr>
            <w:tcW w:w="1660" w:type="dxa"/>
            <w:vAlign w:val="bottom"/>
            <w:tcBorders>
              <w:top w:val="single" w:sz="8" w:color="auto"/>
              <w:bottom w:val="single" w:sz="8" w:color="auto"/>
            </w:tcBorders>
          </w:tcPr>
          <w:p>
            <w:pPr>
              <w:jc w:val="right"/>
              <w:ind w:right="698"/>
              <w:spacing w:after="0"/>
              <w:rPr>
                <w:sz w:val="20"/>
                <w:szCs w:val="20"/>
                <w:color w:val="auto"/>
              </w:rPr>
            </w:pPr>
            <w:r>
              <w:rPr>
                <w:rFonts w:ascii="Arial" w:cs="Arial" w:eastAsia="Arial" w:hAnsi="Arial"/>
                <w:sz w:val="16"/>
                <w:szCs w:val="16"/>
                <w:b w:val="1"/>
                <w:bCs w:val="1"/>
                <w:color w:val="auto"/>
              </w:rPr>
              <w:t>2019(2)</w:t>
            </w:r>
          </w:p>
        </w:tc>
        <w:tc>
          <w:tcPr>
            <w:tcW w:w="106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2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(in thousands of Soles)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Written premiums</w:t>
            </w:r>
          </w:p>
        </w:tc>
        <w:tc>
          <w:tcPr>
            <w:tcW w:w="166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262,085</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282,092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60" w:type="dxa"/>
            <w:vAlign w:val="bottom"/>
          </w:tcPr>
          <w:p>
            <w:pPr>
              <w:spacing w:after="0"/>
              <w:rPr>
                <w:sz w:val="20"/>
                <w:szCs w:val="20"/>
                <w:color w:val="auto"/>
              </w:rPr>
            </w:pPr>
            <w:r>
              <w:rPr>
                <w:rFonts w:ascii="Arial" w:cs="Arial" w:eastAsia="Arial" w:hAnsi="Arial"/>
                <w:sz w:val="16"/>
                <w:szCs w:val="16"/>
                <w:color w:val="auto"/>
              </w:rPr>
              <w:t>Ceded premiums</w:t>
            </w:r>
          </w:p>
        </w:tc>
        <w:tc>
          <w:tcPr>
            <w:tcW w:w="1660" w:type="dxa"/>
            <w:vAlign w:val="bottom"/>
          </w:tcPr>
          <w:p>
            <w:pPr>
              <w:jc w:val="right"/>
              <w:ind w:right="338"/>
              <w:spacing w:after="0"/>
              <w:rPr>
                <w:sz w:val="20"/>
                <w:szCs w:val="20"/>
                <w:color w:val="auto"/>
              </w:rPr>
            </w:pPr>
            <w:r>
              <w:rPr>
                <w:rFonts w:ascii="Arial" w:cs="Arial" w:eastAsia="Arial" w:hAnsi="Arial"/>
                <w:sz w:val="16"/>
                <w:szCs w:val="16"/>
                <w:color w:val="auto"/>
              </w:rPr>
              <w:t>2,727</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3,004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Reserves</w:t>
            </w:r>
          </w:p>
        </w:tc>
        <w:tc>
          <w:tcPr>
            <w:tcW w:w="166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99</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60" w:type="dxa"/>
            <w:vAlign w:val="bottom"/>
          </w:tcPr>
          <w:p>
            <w:pPr>
              <w:spacing w:after="0"/>
              <w:rPr>
                <w:sz w:val="20"/>
                <w:szCs w:val="20"/>
                <w:color w:val="auto"/>
              </w:rPr>
            </w:pPr>
            <w:r>
              <w:rPr>
                <w:rFonts w:ascii="Arial" w:cs="Arial" w:eastAsia="Arial" w:hAnsi="Arial"/>
                <w:sz w:val="16"/>
                <w:szCs w:val="16"/>
                <w:b w:val="1"/>
                <w:bCs w:val="1"/>
                <w:color w:val="auto"/>
              </w:rPr>
              <w:t>Net earned premiums</w:t>
            </w:r>
          </w:p>
        </w:tc>
        <w:tc>
          <w:tcPr>
            <w:tcW w:w="1660" w:type="dxa"/>
            <w:vAlign w:val="bottom"/>
          </w:tcPr>
          <w:p>
            <w:pPr>
              <w:jc w:val="right"/>
              <w:ind w:right="338"/>
              <w:spacing w:after="0"/>
              <w:rPr>
                <w:sz w:val="20"/>
                <w:szCs w:val="20"/>
                <w:color w:val="auto"/>
              </w:rPr>
            </w:pPr>
            <w:r>
              <w:rPr>
                <w:rFonts w:ascii="Arial" w:cs="Arial" w:eastAsia="Arial" w:hAnsi="Arial"/>
                <w:sz w:val="16"/>
                <w:szCs w:val="16"/>
                <w:b w:val="1"/>
                <w:bCs w:val="1"/>
                <w:color w:val="auto"/>
              </w:rPr>
              <w:t>259,258</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279,606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Net claims</w:t>
            </w:r>
          </w:p>
        </w:tc>
        <w:tc>
          <w:tcPr>
            <w:tcW w:w="166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233,597</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213,978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60" w:type="dxa"/>
            <w:vAlign w:val="bottom"/>
          </w:tcPr>
          <w:p>
            <w:pPr>
              <w:spacing w:after="0"/>
              <w:rPr>
                <w:sz w:val="20"/>
                <w:szCs w:val="20"/>
                <w:color w:val="auto"/>
              </w:rPr>
            </w:pPr>
            <w:r>
              <w:rPr>
                <w:rFonts w:ascii="Arial" w:cs="Arial" w:eastAsia="Arial" w:hAnsi="Arial"/>
                <w:sz w:val="16"/>
                <w:szCs w:val="16"/>
                <w:color w:val="auto"/>
              </w:rPr>
              <w:t>Acquisition costs(3)</w:t>
            </w:r>
          </w:p>
        </w:tc>
        <w:tc>
          <w:tcPr>
            <w:tcW w:w="1660" w:type="dxa"/>
            <w:vAlign w:val="bottom"/>
          </w:tcPr>
          <w:p>
            <w:pPr>
              <w:jc w:val="right"/>
              <w:ind w:right="338"/>
              <w:spacing w:after="0"/>
              <w:rPr>
                <w:sz w:val="20"/>
                <w:szCs w:val="20"/>
                <w:color w:val="auto"/>
              </w:rPr>
            </w:pPr>
            <w:r>
              <w:rPr>
                <w:rFonts w:ascii="Arial" w:cs="Arial" w:eastAsia="Arial" w:hAnsi="Arial"/>
                <w:sz w:val="16"/>
                <w:szCs w:val="16"/>
                <w:color w:val="auto"/>
              </w:rPr>
              <w:t>15,594</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16,313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Underwriting result</w:t>
            </w:r>
          </w:p>
        </w:tc>
        <w:tc>
          <w:tcPr>
            <w:tcW w:w="1660" w:type="dxa"/>
            <w:vAlign w:val="bottom"/>
            <w:shd w:val="clear" w:color="auto" w:fill="CCEEFF"/>
          </w:tcPr>
          <w:p>
            <w:pPr>
              <w:jc w:val="right"/>
              <w:ind w:right="338"/>
              <w:spacing w:after="0"/>
              <w:rPr>
                <w:sz w:val="20"/>
                <w:szCs w:val="20"/>
                <w:color w:val="auto"/>
              </w:rPr>
            </w:pPr>
            <w:r>
              <w:rPr>
                <w:rFonts w:ascii="Arial" w:cs="Arial" w:eastAsia="Arial" w:hAnsi="Arial"/>
                <w:sz w:val="16"/>
                <w:szCs w:val="16"/>
                <w:b w:val="1"/>
                <w:bCs w:val="1"/>
                <w:color w:val="auto"/>
              </w:rPr>
              <w:t>10,068</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49,315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60" w:type="dxa"/>
            <w:vAlign w:val="bottom"/>
          </w:tcPr>
          <w:p>
            <w:pPr>
              <w:spacing w:after="0"/>
              <w:rPr>
                <w:sz w:val="20"/>
                <w:szCs w:val="20"/>
                <w:color w:val="auto"/>
              </w:rPr>
            </w:pPr>
            <w:r>
              <w:rPr>
                <w:rFonts w:ascii="Arial" w:cs="Arial" w:eastAsia="Arial" w:hAnsi="Arial"/>
                <w:sz w:val="16"/>
                <w:szCs w:val="16"/>
                <w:color w:val="auto"/>
              </w:rPr>
              <w:t>Net financial income</w:t>
            </w:r>
          </w:p>
        </w:tc>
        <w:tc>
          <w:tcPr>
            <w:tcW w:w="1660" w:type="dxa"/>
            <w:vAlign w:val="bottom"/>
          </w:tcPr>
          <w:p>
            <w:pPr>
              <w:jc w:val="right"/>
              <w:ind w:right="338"/>
              <w:spacing w:after="0"/>
              <w:rPr>
                <w:sz w:val="20"/>
                <w:szCs w:val="20"/>
                <w:color w:val="auto"/>
              </w:rPr>
            </w:pPr>
            <w:r>
              <w:rPr>
                <w:rFonts w:ascii="Arial" w:cs="Arial" w:eastAsia="Arial" w:hAnsi="Arial"/>
                <w:sz w:val="16"/>
                <w:szCs w:val="16"/>
                <w:color w:val="auto"/>
              </w:rPr>
              <w:t>1,505</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Total expenses</w:t>
            </w:r>
          </w:p>
        </w:tc>
        <w:tc>
          <w:tcPr>
            <w:tcW w:w="166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17,535</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19,659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60" w:type="dxa"/>
            <w:vAlign w:val="bottom"/>
          </w:tcPr>
          <w:p>
            <w:pPr>
              <w:spacing w:after="0"/>
              <w:rPr>
                <w:sz w:val="20"/>
                <w:szCs w:val="20"/>
                <w:color w:val="auto"/>
              </w:rPr>
            </w:pPr>
            <w:r>
              <w:rPr>
                <w:rFonts w:ascii="Arial" w:cs="Arial" w:eastAsia="Arial" w:hAnsi="Arial"/>
                <w:sz w:val="16"/>
                <w:szCs w:val="16"/>
                <w:color w:val="auto"/>
              </w:rPr>
              <w:t>Other income/loss</w:t>
            </w:r>
          </w:p>
        </w:tc>
        <w:tc>
          <w:tcPr>
            <w:tcW w:w="1660" w:type="dxa"/>
            <w:vAlign w:val="bottom"/>
          </w:tcPr>
          <w:p>
            <w:pPr>
              <w:jc w:val="right"/>
              <w:ind w:right="338"/>
              <w:spacing w:after="0"/>
              <w:rPr>
                <w:sz w:val="20"/>
                <w:szCs w:val="20"/>
                <w:color w:val="auto"/>
              </w:rPr>
            </w:pPr>
            <w:r>
              <w:rPr>
                <w:rFonts w:ascii="Arial" w:cs="Arial" w:eastAsia="Arial" w:hAnsi="Arial"/>
                <w:sz w:val="16"/>
                <w:szCs w:val="16"/>
                <w:color w:val="auto"/>
              </w:rPr>
              <w:t>1,012</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Translations results</w:t>
            </w:r>
          </w:p>
        </w:tc>
        <w:tc>
          <w:tcPr>
            <w:tcW w:w="166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rPr>
              <w:t>(17)</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60" w:type="dxa"/>
            <w:vAlign w:val="bottom"/>
          </w:tcPr>
          <w:p>
            <w:pPr>
              <w:spacing w:after="0"/>
              <w:rPr>
                <w:sz w:val="20"/>
                <w:szCs w:val="20"/>
                <w:color w:val="auto"/>
              </w:rPr>
            </w:pPr>
            <w:r>
              <w:rPr>
                <w:rFonts w:ascii="Arial" w:cs="Arial" w:eastAsia="Arial" w:hAnsi="Arial"/>
                <w:sz w:val="16"/>
                <w:szCs w:val="16"/>
                <w:color w:val="auto"/>
              </w:rPr>
              <w:t>Income tax</w:t>
            </w:r>
          </w:p>
        </w:tc>
        <w:tc>
          <w:tcPr>
            <w:tcW w:w="1660" w:type="dxa"/>
            <w:vAlign w:val="bottom"/>
          </w:tcPr>
          <w:p>
            <w:pPr>
              <w:jc w:val="right"/>
              <w:ind w:right="278"/>
              <w:spacing w:after="0"/>
              <w:rPr>
                <w:sz w:val="20"/>
                <w:szCs w:val="20"/>
                <w:color w:val="auto"/>
              </w:rPr>
            </w:pPr>
            <w:r>
              <w:rPr>
                <w:rFonts w:ascii="Arial" w:cs="Arial" w:eastAsia="Arial" w:hAnsi="Arial"/>
                <w:sz w:val="16"/>
                <w:szCs w:val="16"/>
                <w:color w:val="auto"/>
              </w:rPr>
              <w:t>(1,615)</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9,825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profit Corporate health insurance</w:t>
            </w:r>
          </w:p>
        </w:tc>
        <w:tc>
          <w:tcPr>
            <w:tcW w:w="1660" w:type="dxa"/>
            <w:vAlign w:val="bottom"/>
            <w:shd w:val="clear" w:color="auto" w:fill="CCEEFF"/>
          </w:tcPr>
          <w:p>
            <w:pPr>
              <w:jc w:val="right"/>
              <w:ind w:right="278"/>
              <w:spacing w:after="0"/>
              <w:rPr>
                <w:sz w:val="20"/>
                <w:szCs w:val="20"/>
                <w:color w:val="auto"/>
              </w:rPr>
            </w:pPr>
            <w:r>
              <w:rPr>
                <w:rFonts w:ascii="Arial" w:cs="Arial" w:eastAsia="Arial" w:hAnsi="Arial"/>
                <w:sz w:val="16"/>
                <w:szCs w:val="16"/>
                <w:b w:val="1"/>
                <w:bCs w:val="1"/>
                <w:color w:val="auto"/>
              </w:rPr>
              <w:t>(3,353)</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21,526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60" w:type="dxa"/>
            <w:vAlign w:val="bottom"/>
          </w:tcPr>
          <w:p>
            <w:pPr>
              <w:spacing w:after="0"/>
              <w:rPr>
                <w:sz w:val="20"/>
                <w:szCs w:val="20"/>
                <w:color w:val="auto"/>
              </w:rPr>
            </w:pPr>
            <w:r>
              <w:rPr>
                <w:rFonts w:ascii="Arial" w:cs="Arial" w:eastAsia="Arial" w:hAnsi="Arial"/>
                <w:sz w:val="16"/>
                <w:szCs w:val="16"/>
                <w:color w:val="auto"/>
              </w:rPr>
              <w:t>Medical Services</w:t>
            </w:r>
          </w:p>
        </w:tc>
        <w:tc>
          <w:tcPr>
            <w:tcW w:w="1660" w:type="dxa"/>
            <w:vAlign w:val="bottom"/>
          </w:tcPr>
          <w:p>
            <w:pPr>
              <w:jc w:val="right"/>
              <w:ind w:right="338"/>
              <w:spacing w:after="0"/>
              <w:rPr>
                <w:sz w:val="20"/>
                <w:szCs w:val="20"/>
                <w:color w:val="auto"/>
              </w:rPr>
            </w:pPr>
            <w:r>
              <w:rPr>
                <w:rFonts w:ascii="Arial" w:cs="Arial" w:eastAsia="Arial" w:hAnsi="Arial"/>
                <w:sz w:val="16"/>
                <w:szCs w:val="16"/>
                <w:color w:val="auto"/>
              </w:rPr>
              <w:t>21,108</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12,765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profit</w:t>
            </w:r>
          </w:p>
        </w:tc>
        <w:tc>
          <w:tcPr>
            <w:tcW w:w="1660" w:type="dxa"/>
            <w:vAlign w:val="bottom"/>
            <w:shd w:val="clear" w:color="auto" w:fill="CCEEFF"/>
          </w:tcPr>
          <w:p>
            <w:pPr>
              <w:jc w:val="right"/>
              <w:ind w:right="338"/>
              <w:spacing w:after="0"/>
              <w:rPr>
                <w:sz w:val="20"/>
                <w:szCs w:val="20"/>
                <w:color w:val="auto"/>
              </w:rPr>
            </w:pPr>
            <w:r>
              <w:rPr>
                <w:rFonts w:ascii="Arial" w:cs="Arial" w:eastAsia="Arial" w:hAnsi="Arial"/>
                <w:sz w:val="16"/>
                <w:szCs w:val="16"/>
                <w:b w:val="1"/>
                <w:bCs w:val="1"/>
                <w:color w:val="auto"/>
              </w:rPr>
              <w:t>17,756</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34,290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Loss ratio(3)</w:t>
            </w:r>
          </w:p>
        </w:tc>
        <w:tc>
          <w:tcPr>
            <w:tcW w:w="166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90.1%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60" w:type="dxa"/>
            <w:vAlign w:val="bottom"/>
          </w:tcPr>
          <w:p>
            <w:pPr>
              <w:spacing w:after="0"/>
              <w:rPr>
                <w:sz w:val="20"/>
                <w:szCs w:val="20"/>
                <w:color w:val="auto"/>
              </w:rPr>
            </w:pPr>
            <w:r>
              <w:rPr>
                <w:rFonts w:ascii="Arial" w:cs="Arial" w:eastAsia="Arial" w:hAnsi="Arial"/>
                <w:sz w:val="16"/>
                <w:szCs w:val="16"/>
                <w:color w:val="auto"/>
              </w:rPr>
              <w:t>Acquisition costs ratio(4)</w:t>
            </w:r>
          </w:p>
        </w:tc>
        <w:tc>
          <w:tcPr>
            <w:tcW w:w="1660" w:type="dxa"/>
            <w:vAlign w:val="bottom"/>
          </w:tcPr>
          <w:p>
            <w:pPr>
              <w:jc w:val="right"/>
              <w:ind w:right="198"/>
              <w:spacing w:after="0"/>
              <w:rPr>
                <w:sz w:val="20"/>
                <w:szCs w:val="20"/>
                <w:color w:val="auto"/>
              </w:rPr>
            </w:pPr>
            <w:r>
              <w:rPr>
                <w:rFonts w:ascii="Arial" w:cs="Arial" w:eastAsia="Arial" w:hAnsi="Arial"/>
                <w:sz w:val="16"/>
                <w:szCs w:val="16"/>
                <w:color w:val="auto"/>
              </w:rPr>
              <w:t>6.0%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 / net earned premiums</w:t>
            </w:r>
          </w:p>
        </w:tc>
        <w:tc>
          <w:tcPr>
            <w:tcW w:w="166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6.8%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6"/>
                <w:szCs w:val="16"/>
                <w:color w:val="auto"/>
              </w:rPr>
              <w:t>Combined ratio(5)</w:t>
            </w:r>
          </w:p>
        </w:tc>
        <w:tc>
          <w:tcPr>
            <w:tcW w:w="1660" w:type="dxa"/>
            <w:vAlign w:val="bottom"/>
          </w:tcPr>
          <w:p>
            <w:pPr>
              <w:jc w:val="right"/>
              <w:ind w:right="198"/>
              <w:spacing w:after="0"/>
              <w:rPr>
                <w:sz w:val="20"/>
                <w:szCs w:val="20"/>
                <w:color w:val="auto"/>
              </w:rPr>
            </w:pPr>
            <w:r>
              <w:rPr>
                <w:rFonts w:ascii="Arial" w:cs="Arial" w:eastAsia="Arial" w:hAnsi="Arial"/>
                <w:sz w:val="16"/>
                <w:szCs w:val="16"/>
                <w:color w:val="auto"/>
              </w:rPr>
              <w:t>102.9%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78625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190" w:lineRule="exact"/>
        <w:rPr>
          <w:sz w:val="20"/>
          <w:szCs w:val="20"/>
          <w:color w:val="auto"/>
        </w:rPr>
      </w:pPr>
    </w:p>
    <w:p>
      <w:pPr>
        <w:ind w:left="302" w:hanging="302"/>
        <w:spacing w:after="0"/>
        <w:tabs>
          <w:tab w:leader="none" w:pos="30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Financial statements without consolidation adjustments.</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Fees plus underwriting expenses, net</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(Net claims)/ Net earned premiums.</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Acquisition costs / Net earned premiums</w:t>
      </w:r>
    </w:p>
    <w:p>
      <w:pPr>
        <w:spacing w:after="0" w:line="209" w:lineRule="exact"/>
        <w:rPr>
          <w:rFonts w:ascii="Arial" w:cs="Arial" w:eastAsia="Arial" w:hAnsi="Arial"/>
          <w:sz w:val="16"/>
          <w:szCs w:val="16"/>
          <w:color w:val="auto"/>
        </w:rPr>
      </w:pPr>
    </w:p>
    <w:p>
      <w:pPr>
        <w:ind w:left="302" w:right="4100" w:hanging="302"/>
        <w:spacing w:after="0" w:line="512" w:lineRule="auto"/>
        <w:tabs>
          <w:tab w:leader="none" w:pos="30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(Net claims / Net earned premiums) plus (Acquisition costs plus Total expenses) / Net earned premiums. </w:t>
      </w:r>
      <w:r>
        <w:rPr>
          <w:rFonts w:ascii="Arial" w:cs="Arial" w:eastAsia="Arial" w:hAnsi="Arial"/>
          <w:sz w:val="16"/>
          <w:szCs w:val="16"/>
          <w:u w:val="single" w:color="auto"/>
          <w:color w:val="auto"/>
        </w:rPr>
        <w:t>Underwriting, Actuarial and Reinsurance</w:t>
      </w:r>
    </w:p>
    <w:p>
      <w:pPr>
        <w:spacing w:after="0" w:line="1" w:lineRule="exact"/>
        <w:rPr>
          <w:sz w:val="20"/>
          <w:szCs w:val="20"/>
          <w:color w:val="auto"/>
        </w:rPr>
      </w:pPr>
    </w:p>
    <w:p>
      <w:pPr>
        <w:ind w:left="2" w:right="40" w:firstLine="295"/>
        <w:spacing w:after="0" w:line="264" w:lineRule="auto"/>
        <w:rPr>
          <w:sz w:val="20"/>
          <w:szCs w:val="20"/>
          <w:color w:val="auto"/>
        </w:rPr>
      </w:pPr>
      <w:r>
        <w:rPr>
          <w:rFonts w:ascii="Arial" w:cs="Arial" w:eastAsia="Arial" w:hAnsi="Arial"/>
          <w:sz w:val="16"/>
          <w:szCs w:val="16"/>
          <w:color w:val="auto"/>
        </w:rPr>
        <w:t>Underwriting guidelines for substantially all P&amp;C and corporate health insurance risks are developed by profit centers in collaboration with the actuarial staff. Grupo Pacifico’s P&amp;C unit has an engineering staff which inspects most medium and medium-to-large commercial property insured for risks prior to underwriting and third party surveyors are employed to inspect smaller and/or lower risk property. Pricing and underwriting guidelines, rates and approval thresholds for these risks are periodically reviewed by the profit centers with actuarial staff and reported to the risk committee. Conditions are monitored continuously to ensure they are within competitive market conditions and profitability targets.</w:t>
      </w:r>
    </w:p>
    <w:p>
      <w:pPr>
        <w:spacing w:after="0" w:line="167" w:lineRule="exact"/>
        <w:rPr>
          <w:sz w:val="20"/>
          <w:szCs w:val="20"/>
          <w:color w:val="auto"/>
        </w:rPr>
      </w:pPr>
    </w:p>
    <w:p>
      <w:pPr>
        <w:ind w:left="2" w:right="280" w:firstLine="295"/>
        <w:spacing w:after="0" w:line="266" w:lineRule="auto"/>
        <w:rPr>
          <w:sz w:val="20"/>
          <w:szCs w:val="20"/>
          <w:color w:val="auto"/>
        </w:rPr>
      </w:pPr>
      <w:r>
        <w:rPr>
          <w:rFonts w:ascii="Arial" w:cs="Arial" w:eastAsia="Arial" w:hAnsi="Arial"/>
          <w:sz w:val="16"/>
          <w:szCs w:val="16"/>
          <w:color w:val="auto"/>
        </w:rPr>
        <w:t>Grupo Pacifico’s P&amp;C insurance business transfers risks to reinsurers in order to limit its maximum aggregate potential losses and minimize exposures on large individual risks. Reinsurance is placed with reinsurance companies based on the evaluation of the credit quality of the reinsurer, terms of coverage and price. The P&amp;C insurance business acts as a reinsurer on a very limited basis, providing excess facultative reinsurance capacity to other Peruvian insurers that are unable to satisfy their reinsurance requirements and/or the interests of Peruvian clients in Latin America.</w:t>
      </w:r>
    </w:p>
    <w:p>
      <w:pPr>
        <w:spacing w:after="0" w:line="167" w:lineRule="exact"/>
        <w:rPr>
          <w:sz w:val="20"/>
          <w:szCs w:val="20"/>
          <w:color w:val="auto"/>
        </w:rPr>
      </w:pPr>
    </w:p>
    <w:p>
      <w:pPr>
        <w:ind w:left="2" w:right="140" w:firstLine="295"/>
        <w:spacing w:after="0" w:line="264" w:lineRule="auto"/>
        <w:rPr>
          <w:sz w:val="20"/>
          <w:szCs w:val="20"/>
          <w:color w:val="auto"/>
        </w:rPr>
      </w:pPr>
      <w:r>
        <w:rPr>
          <w:rFonts w:ascii="Arial" w:cs="Arial" w:eastAsia="Arial" w:hAnsi="Arial"/>
          <w:sz w:val="16"/>
          <w:szCs w:val="16"/>
          <w:color w:val="auto"/>
        </w:rPr>
        <w:t>Historically, Grupo Pacifico’s P&amp;C insurance business has obtained reinsurance for a substantial portion of its earthquake-related insurance portfolio through excess loss reinsurance treaties. In 2012, Grupo Pacifico’s P&amp;C insurance business negotiated proportional reinsurance support for this portfolio, which it maintains as of March 31, 2020. Grupo Pacifico’s P&amp;C insurance business has property catastrophe reinsurance coverage in place that covers its probable maximum loss under local regulatory requirements. However, there can be no assurance that a major catastrophe would not have a material adverse impact on Grupo Pacifico’s financial condition and/or its operations.</w:t>
      </w:r>
    </w:p>
    <w:p>
      <w:pPr>
        <w:spacing w:after="0" w:line="167" w:lineRule="exact"/>
        <w:rPr>
          <w:sz w:val="20"/>
          <w:szCs w:val="20"/>
          <w:color w:val="auto"/>
        </w:rPr>
      </w:pPr>
    </w:p>
    <w:p>
      <w:pPr>
        <w:ind w:left="2" w:right="220" w:firstLine="295"/>
        <w:spacing w:after="0" w:line="298" w:lineRule="auto"/>
        <w:rPr>
          <w:sz w:val="20"/>
          <w:szCs w:val="20"/>
          <w:color w:val="auto"/>
        </w:rPr>
      </w:pPr>
      <w:r>
        <w:rPr>
          <w:rFonts w:ascii="Arial" w:cs="Arial" w:eastAsia="Arial" w:hAnsi="Arial"/>
          <w:sz w:val="15"/>
          <w:szCs w:val="15"/>
          <w:color w:val="auto"/>
        </w:rPr>
        <w:t>Heavy rains caused by the El Nino Phenomenon in early 2017 generated losses in Grupo Pacifico’s P&amp;C insurance business of approximately U.S.$131.1 million (through March 31,2020), of which approximately 95% was ceded to reinsurers and coinsurers. Approximately 5% constituted net retained losses, which was within the risk appetite and risk tolerance parameters set by Grupo Pacifico’s risk management unit and approved by our risk committee.</w:t>
      </w:r>
    </w:p>
    <w:p>
      <w:pPr>
        <w:spacing w:after="0" w:line="34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19" w:right="339" w:bottom="1440" w:gutter="0" w:footer="0" w:header="0"/>
        </w:sectPr>
      </w:pPr>
    </w:p>
    <w:bookmarkStart w:id="140" w:name="page141"/>
    <w:bookmarkEnd w:id="140"/>
    <w:p>
      <w:pPr>
        <w:ind w:firstLine="295"/>
        <w:spacing w:after="0" w:line="287" w:lineRule="auto"/>
        <w:rPr>
          <w:sz w:val="20"/>
          <w:szCs w:val="20"/>
          <w:color w:val="auto"/>
        </w:rPr>
      </w:pPr>
      <w:r>
        <w:rPr>
          <w:rFonts w:ascii="Arial" w:cs="Arial" w:eastAsia="Arial" w:hAnsi="Arial"/>
          <w:sz w:val="16"/>
          <w:szCs w:val="16"/>
          <w:color w:val="auto"/>
        </w:rPr>
        <w:t>In the three months ended March 31, 2020, Grupo Pacifico’s total ceded reinsurance premiums totaled approximately U.S.$ 34.7 million (approximately 12.8% of total group written premiums), of which approximately 90.4% were ceded to carriers with A- and above ratings.</w:t>
      </w:r>
    </w:p>
    <w:p>
      <w:pPr>
        <w:spacing w:after="0" w:line="150" w:lineRule="exact"/>
        <w:rPr>
          <w:sz w:val="20"/>
          <w:szCs w:val="20"/>
          <w:color w:val="auto"/>
        </w:rPr>
      </w:pPr>
    </w:p>
    <w:p>
      <w:pPr>
        <w:ind w:right="200" w:firstLine="295"/>
        <w:spacing w:after="0" w:line="281" w:lineRule="auto"/>
        <w:rPr>
          <w:sz w:val="20"/>
          <w:szCs w:val="20"/>
          <w:color w:val="auto"/>
        </w:rPr>
      </w:pPr>
      <w:r>
        <w:rPr>
          <w:rFonts w:ascii="Arial" w:cs="Arial" w:eastAsia="Arial" w:hAnsi="Arial"/>
          <w:sz w:val="15"/>
          <w:szCs w:val="15"/>
          <w:color w:val="auto"/>
        </w:rPr>
        <w:t>Grupo Pacifico’s life insurance business holds excess of loss reinsurance contracts for its individual life, personal accident, group life and credit life products; and in the case of work compensation risk insurance and D&amp;S products, a quota share contract is held. Catastrophic reinsurance contracts cover all of Grupo</w:t>
      </w:r>
    </w:p>
    <w:p>
      <w:pPr>
        <w:spacing w:after="0" w:line="1" w:lineRule="exact"/>
        <w:rPr>
          <w:sz w:val="20"/>
          <w:szCs w:val="20"/>
          <w:color w:val="auto"/>
        </w:rPr>
      </w:pPr>
    </w:p>
    <w:p>
      <w:pPr>
        <w:ind w:right="700"/>
        <w:spacing w:after="0" w:line="272" w:lineRule="auto"/>
        <w:rPr>
          <w:sz w:val="20"/>
          <w:szCs w:val="20"/>
          <w:color w:val="auto"/>
        </w:rPr>
      </w:pPr>
      <w:r>
        <w:rPr>
          <w:rFonts w:ascii="Arial" w:cs="Arial" w:eastAsia="Arial" w:hAnsi="Arial"/>
          <w:sz w:val="16"/>
          <w:szCs w:val="16"/>
          <w:color w:val="auto"/>
        </w:rPr>
        <w:t>Pacifico’s life lines (Individual Life, Personal Accident, Group Life, Credit Life, SCTR and D&amp;S), except for the annuity line. Life premiums ceded to reinsurers represented less than 6% of the life business written premiums in the three months ended March 31, 2020.</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auto"/>
        </w:rPr>
        <w:t>Investment portfolio</w:t>
      </w:r>
    </w:p>
    <w:p>
      <w:pPr>
        <w:spacing w:after="0" w:line="209" w:lineRule="exact"/>
        <w:rPr>
          <w:sz w:val="20"/>
          <w:szCs w:val="20"/>
          <w:color w:val="auto"/>
        </w:rPr>
      </w:pPr>
    </w:p>
    <w:p>
      <w:pPr>
        <w:ind w:right="20" w:firstLine="295"/>
        <w:spacing w:after="0" w:line="264" w:lineRule="auto"/>
        <w:rPr>
          <w:sz w:val="20"/>
          <w:szCs w:val="20"/>
          <w:color w:val="auto"/>
        </w:rPr>
      </w:pPr>
      <w:r>
        <w:rPr>
          <w:rFonts w:ascii="Arial" w:cs="Arial" w:eastAsia="Arial" w:hAnsi="Arial"/>
          <w:sz w:val="16"/>
          <w:szCs w:val="16"/>
          <w:color w:val="auto"/>
        </w:rPr>
        <w:t>Grupo Pacifico’s investments are made primarily to meet its solvency equity ratio and to provide reserves for its claims. Investments are managed by product within (i) the property and casualty lines, and (ii) the life and annuities lines, and are designed to contain sufficient assets to match the company’s liabilities and to comply with the specific technical requirements of each business line. Grupo Pacifico has adopted strict policies related to investment decisions that are reviewed and approved by Grupo Pacifico’s Board of Directors. Its investment strategy is reviewed by the Investment Committee and the Board of Directors on a monthly basis. Grupo Pacifico invests in local and international markets, emphasizing investments in Peru, the U.S. and Latin America.</w:t>
      </w:r>
    </w:p>
    <w:p>
      <w:pPr>
        <w:spacing w:after="0" w:line="167" w:lineRule="exact"/>
        <w:rPr>
          <w:sz w:val="20"/>
          <w:szCs w:val="20"/>
          <w:color w:val="auto"/>
        </w:rPr>
      </w:pPr>
    </w:p>
    <w:p>
      <w:pPr>
        <w:ind w:right="100" w:firstLine="295"/>
        <w:spacing w:after="0" w:line="316" w:lineRule="auto"/>
        <w:rPr>
          <w:sz w:val="20"/>
          <w:szCs w:val="20"/>
          <w:color w:val="auto"/>
        </w:rPr>
      </w:pPr>
      <w:r>
        <w:rPr>
          <w:rFonts w:ascii="Arial" w:cs="Arial" w:eastAsia="Arial" w:hAnsi="Arial"/>
          <w:sz w:val="14"/>
          <w:szCs w:val="14"/>
          <w:color w:val="auto"/>
        </w:rPr>
        <w:t>As of March 31, 2020, the market value of Grupo Pacifico’s investment portfolio was S/11,439 million, which included mainly S/441 million in equity securities, S/1,197 million in investment properties, and S/9,801 million in fixed income instruments. The portfolio is diversified and follows an asset-liability management strategy focused on cash flow, duration and currency matching of assets (portfolio) and liabilities (reserves), and on supporting Grupo Pacifico’s capital structure. Grupo Pacifico’s financial income decreased 5.0% in the three months ended March 31, 2020 (to S/132.2 million, from S/139.1 million in the three months ended March 31, 2019).</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Prima AFP</w:t>
      </w:r>
    </w:p>
    <w:p>
      <w:pPr>
        <w:spacing w:after="0" w:line="209" w:lineRule="exact"/>
        <w:rPr>
          <w:sz w:val="20"/>
          <w:szCs w:val="20"/>
          <w:color w:val="auto"/>
        </w:rPr>
      </w:pPr>
    </w:p>
    <w:p>
      <w:pPr>
        <w:ind w:right="40" w:firstLine="295"/>
        <w:spacing w:after="0" w:line="322" w:lineRule="auto"/>
        <w:rPr>
          <w:sz w:val="20"/>
          <w:szCs w:val="20"/>
          <w:color w:val="auto"/>
        </w:rPr>
      </w:pPr>
      <w:r>
        <w:rPr>
          <w:rFonts w:ascii="Arial" w:cs="Arial" w:eastAsia="Arial" w:hAnsi="Arial"/>
          <w:sz w:val="15"/>
          <w:szCs w:val="15"/>
          <w:color w:val="auto"/>
        </w:rPr>
        <w:t>As of March 31, 2020, the number of affiliates in Prima AFP was 2.37 million, an increase from 2.26 million as of March 31, 2019. This increase was primarily driven by Prima AFP’s winning the Third Pension Tender (May 2017-June 2019), as a result of which new members of the SPP joined Prima AFP by default.</w:t>
      </w:r>
    </w:p>
    <w:p>
      <w:pPr>
        <w:spacing w:after="0" w:line="127" w:lineRule="exact"/>
        <w:rPr>
          <w:sz w:val="20"/>
          <w:szCs w:val="20"/>
          <w:color w:val="auto"/>
        </w:rPr>
      </w:pPr>
    </w:p>
    <w:p>
      <w:pPr>
        <w:ind w:right="20" w:firstLine="295"/>
        <w:spacing w:after="0" w:line="271" w:lineRule="auto"/>
        <w:rPr>
          <w:sz w:val="20"/>
          <w:szCs w:val="20"/>
          <w:color w:val="auto"/>
        </w:rPr>
      </w:pPr>
      <w:r>
        <w:rPr>
          <w:rFonts w:ascii="Arial" w:cs="Arial" w:eastAsia="Arial" w:hAnsi="Arial"/>
          <w:sz w:val="16"/>
          <w:szCs w:val="16"/>
          <w:color w:val="auto"/>
        </w:rPr>
        <w:t>Prima AFP’s funds under management (“FuMs”) totaled S/46.86 billion in the three months ended March 31, 2020, a decrease of 7.6% compared to the prior year (S/50.74 billion). The decrease was mainly driven by the below average return of the FuMs. In the three months ended March 31, 2020, nominal annual yields were 4.31%, 3.32%, negative 1.77%, and negative 11.81% for Funds 0, 1, 2, and 3, respectively.</w:t>
      </w:r>
    </w:p>
    <w:p>
      <w:pPr>
        <w:spacing w:after="0" w:line="163" w:lineRule="exact"/>
        <w:rPr>
          <w:sz w:val="20"/>
          <w:szCs w:val="20"/>
          <w:color w:val="auto"/>
        </w:rPr>
      </w:pPr>
    </w:p>
    <w:p>
      <w:pPr>
        <w:ind w:right="220" w:firstLine="295"/>
        <w:spacing w:after="0" w:line="327" w:lineRule="auto"/>
        <w:rPr>
          <w:sz w:val="20"/>
          <w:szCs w:val="20"/>
          <w:color w:val="auto"/>
        </w:rPr>
      </w:pPr>
      <w:r>
        <w:rPr>
          <w:rFonts w:ascii="Arial" w:cs="Arial" w:eastAsia="Arial" w:hAnsi="Arial"/>
          <w:sz w:val="14"/>
          <w:szCs w:val="14"/>
          <w:color w:val="auto"/>
        </w:rPr>
        <w:t>Prima AFP’s revenues were S/103.23 million in the three months ended March 31, 2020, an increase over S/99.76 million in revenues for the three months ended March 31, 2019. The increase in the three months ended March 31, 2020 was primarily the result of winning the Third Pension Tender. Additionally, operating expenses were S/41.93 million in the three months ended March 31, 2020, and relatively stable as compared to S/41.82 million in the three months ended March 31, 2019.</w:t>
      </w:r>
    </w:p>
    <w:p>
      <w:pPr>
        <w:spacing w:after="0" w:line="128" w:lineRule="exact"/>
        <w:rPr>
          <w:sz w:val="20"/>
          <w:szCs w:val="20"/>
          <w:color w:val="auto"/>
        </w:rPr>
      </w:pPr>
    </w:p>
    <w:p>
      <w:pPr>
        <w:ind w:right="60" w:firstLine="295"/>
        <w:spacing w:after="0" w:line="271" w:lineRule="auto"/>
        <w:rPr>
          <w:sz w:val="20"/>
          <w:szCs w:val="20"/>
          <w:color w:val="auto"/>
        </w:rPr>
      </w:pPr>
      <w:r>
        <w:rPr>
          <w:rFonts w:ascii="Arial" w:cs="Arial" w:eastAsia="Arial" w:hAnsi="Arial"/>
          <w:sz w:val="16"/>
          <w:szCs w:val="16"/>
          <w:color w:val="auto"/>
        </w:rPr>
        <w:t>Prima AFP’s net profit was S/-4.08 million in the three months ended March 31, 2020, down from S/57.0 million in the three months ended March 31, 2019 due to the negative returns in the reserve fund given the COVID-19 crisis. In the three months ended March 31, 2020, Prima AFP’s ROAE decreased to negative 2.6%, compared to 37.6% in the three months ended March 31, 2019.</w:t>
      </w: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141" w:name="page142"/>
    <w:bookmarkEnd w:id="141"/>
    <w:p>
      <w:pPr>
        <w:ind w:left="302"/>
        <w:spacing w:after="0"/>
        <w:rPr>
          <w:sz w:val="20"/>
          <w:szCs w:val="20"/>
          <w:color w:val="auto"/>
        </w:rPr>
      </w:pPr>
      <w:r>
        <w:rPr>
          <w:rFonts w:ascii="Arial" w:cs="Arial" w:eastAsia="Arial" w:hAnsi="Arial"/>
          <w:sz w:val="16"/>
          <w:szCs w:val="16"/>
          <w:color w:val="auto"/>
        </w:rPr>
        <w:t>The following table summarizes the administration fees charged by the SPP’s AFPs in the three months ended March 31, 2020:</w:t>
      </w:r>
    </w:p>
    <w:p>
      <w:pPr>
        <w:spacing w:after="0" w:line="205"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690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Remuneration</w:t>
            </w:r>
          </w:p>
        </w:tc>
        <w:tc>
          <w:tcPr>
            <w:tcW w:w="1660" w:type="dxa"/>
            <w:vAlign w:val="bottom"/>
            <w:gridSpan w:val="3"/>
          </w:tcPr>
          <w:p>
            <w:pPr>
              <w:ind w:left="1120"/>
              <w:spacing w:after="0"/>
              <w:rPr>
                <w:sz w:val="20"/>
                <w:szCs w:val="20"/>
                <w:color w:val="auto"/>
              </w:rPr>
            </w:pPr>
            <w:r>
              <w:rPr>
                <w:rFonts w:ascii="Arial" w:cs="Arial" w:eastAsia="Arial" w:hAnsi="Arial"/>
                <w:sz w:val="16"/>
                <w:szCs w:val="16"/>
                <w:b w:val="1"/>
                <w:bCs w:val="1"/>
                <w:color w:val="auto"/>
              </w:rPr>
              <w:t>Mixed-</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69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Scheme</w:t>
            </w:r>
          </w:p>
        </w:tc>
        <w:tc>
          <w:tcPr>
            <w:tcW w:w="286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Commission Scheme</w:t>
            </w:r>
          </w:p>
        </w:tc>
      </w:tr>
      <w:tr>
        <w:trPr>
          <w:trHeight w:val="173"/>
        </w:trPr>
        <w:tc>
          <w:tcPr>
            <w:tcW w:w="6900" w:type="dxa"/>
            <w:vAlign w:val="bottom"/>
          </w:tcPr>
          <w:p>
            <w:pPr>
              <w:spacing w:after="0"/>
              <w:rPr>
                <w:sz w:val="15"/>
                <w:szCs w:val="15"/>
                <w:color w:val="auto"/>
              </w:rPr>
            </w:pPr>
          </w:p>
        </w:tc>
        <w:tc>
          <w:tcPr>
            <w:tcW w:w="1220" w:type="dxa"/>
            <w:vAlign w:val="bottom"/>
            <w:tcBorders>
              <w:top w:val="single" w:sz="8" w:color="auto"/>
            </w:tcBorders>
          </w:tcPr>
          <w:p>
            <w:pPr>
              <w:jc w:val="center"/>
              <w:spacing w:after="0" w:line="174" w:lineRule="exact"/>
              <w:rPr>
                <w:sz w:val="20"/>
                <w:szCs w:val="20"/>
                <w:color w:val="auto"/>
              </w:rPr>
            </w:pPr>
            <w:r>
              <w:rPr>
                <w:rFonts w:ascii="Arial" w:cs="Arial" w:eastAsia="Arial" w:hAnsi="Arial"/>
                <w:sz w:val="16"/>
                <w:szCs w:val="16"/>
                <w:b w:val="1"/>
                <w:bCs w:val="1"/>
                <w:color w:val="auto"/>
                <w:w w:val="94"/>
              </w:rPr>
              <w:t>Monthly Fee</w:t>
            </w:r>
          </w:p>
        </w:tc>
        <w:tc>
          <w:tcPr>
            <w:tcW w:w="260" w:type="dxa"/>
            <w:vAlign w:val="bottom"/>
          </w:tcPr>
          <w:p>
            <w:pPr>
              <w:spacing w:after="0"/>
              <w:rPr>
                <w:sz w:val="15"/>
                <w:szCs w:val="15"/>
                <w:color w:val="auto"/>
              </w:rPr>
            </w:pPr>
          </w:p>
        </w:tc>
        <w:tc>
          <w:tcPr>
            <w:tcW w:w="1660" w:type="dxa"/>
            <w:vAlign w:val="bottom"/>
            <w:tcBorders>
              <w:top w:val="single" w:sz="8" w:color="auto"/>
            </w:tcBorders>
            <w:gridSpan w:val="3"/>
          </w:tcPr>
          <w:p>
            <w:pPr>
              <w:jc w:val="center"/>
              <w:ind w:right="420"/>
              <w:spacing w:after="0" w:line="174" w:lineRule="exact"/>
              <w:rPr>
                <w:sz w:val="20"/>
                <w:szCs w:val="20"/>
                <w:color w:val="auto"/>
              </w:rPr>
            </w:pPr>
            <w:r>
              <w:rPr>
                <w:rFonts w:ascii="Arial" w:cs="Arial" w:eastAsia="Arial" w:hAnsi="Arial"/>
                <w:sz w:val="16"/>
                <w:szCs w:val="16"/>
                <w:b w:val="1"/>
                <w:bCs w:val="1"/>
                <w:color w:val="auto"/>
                <w:w w:val="94"/>
              </w:rPr>
              <w:t>Monthly Fee</w:t>
            </w:r>
          </w:p>
        </w:tc>
        <w:tc>
          <w:tcPr>
            <w:tcW w:w="1060" w:type="dxa"/>
            <w:vAlign w:val="bottom"/>
            <w:tcBorders>
              <w:top w:val="single" w:sz="8" w:color="auto"/>
            </w:tcBorders>
          </w:tcPr>
          <w:p>
            <w:pPr>
              <w:jc w:val="right"/>
              <w:ind w:right="118"/>
              <w:spacing w:after="0" w:line="174" w:lineRule="exact"/>
              <w:rPr>
                <w:sz w:val="20"/>
                <w:szCs w:val="20"/>
                <w:color w:val="auto"/>
              </w:rPr>
            </w:pPr>
            <w:r>
              <w:rPr>
                <w:rFonts w:ascii="Arial" w:cs="Arial" w:eastAsia="Arial" w:hAnsi="Arial"/>
                <w:sz w:val="16"/>
                <w:szCs w:val="16"/>
                <w:b w:val="1"/>
                <w:bCs w:val="1"/>
                <w:color w:val="auto"/>
                <w:w w:val="97"/>
              </w:rPr>
              <w:t>Annual Fee</w:t>
            </w:r>
          </w:p>
        </w:tc>
        <w:tc>
          <w:tcPr>
            <w:tcW w:w="140" w:type="dxa"/>
            <w:vAlign w:val="bottom"/>
          </w:tcPr>
          <w:p>
            <w:pPr>
              <w:spacing w:after="0"/>
              <w:rPr>
                <w:sz w:val="15"/>
                <w:szCs w:val="15"/>
                <w:color w:val="auto"/>
              </w:rPr>
            </w:pPr>
          </w:p>
        </w:tc>
      </w:tr>
      <w:tr>
        <w:trPr>
          <w:trHeight w:val="212"/>
        </w:trPr>
        <w:tc>
          <w:tcPr>
            <w:tcW w:w="69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on Salary</w:t>
            </w:r>
          </w:p>
        </w:tc>
        <w:tc>
          <w:tcPr>
            <w:tcW w:w="166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4"/>
              </w:rPr>
              <w:t>on Salary</w:t>
            </w: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on Funds</w:t>
            </w:r>
          </w:p>
        </w:tc>
      </w:tr>
      <w:tr>
        <w:trPr>
          <w:trHeight w:val="19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AFP</w:t>
            </w:r>
          </w:p>
        </w:tc>
        <w:tc>
          <w:tcPr>
            <w:tcW w:w="12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197"/>
        </w:trPr>
        <w:tc>
          <w:tcPr>
            <w:tcW w:w="6900" w:type="dxa"/>
            <w:vAlign w:val="bottom"/>
          </w:tcPr>
          <w:p>
            <w:pPr>
              <w:spacing w:after="0"/>
              <w:rPr>
                <w:sz w:val="20"/>
                <w:szCs w:val="20"/>
                <w:color w:val="auto"/>
              </w:rPr>
            </w:pPr>
            <w:r>
              <w:rPr>
                <w:rFonts w:ascii="Arial" w:cs="Arial" w:eastAsia="Arial" w:hAnsi="Arial"/>
                <w:sz w:val="16"/>
                <w:szCs w:val="16"/>
                <w:color w:val="auto"/>
              </w:rPr>
              <w:t>Prima AFP</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1.60%</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0.18%</w:t>
            </w:r>
          </w:p>
        </w:tc>
        <w:tc>
          <w:tcPr>
            <w:tcW w:w="1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1.25%</w:t>
            </w:r>
          </w:p>
        </w:tc>
      </w:tr>
      <w:tr>
        <w:trPr>
          <w:trHeight w:val="197"/>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AFP Integra</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0.00%</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0.82%</w:t>
            </w:r>
          </w:p>
        </w:tc>
      </w:tr>
      <w:tr>
        <w:trPr>
          <w:trHeight w:val="197"/>
        </w:trPr>
        <w:tc>
          <w:tcPr>
            <w:tcW w:w="6900" w:type="dxa"/>
            <w:vAlign w:val="bottom"/>
          </w:tcPr>
          <w:p>
            <w:pPr>
              <w:spacing w:after="0"/>
              <w:rPr>
                <w:sz w:val="20"/>
                <w:szCs w:val="20"/>
                <w:color w:val="auto"/>
              </w:rPr>
            </w:pPr>
            <w:r>
              <w:rPr>
                <w:rFonts w:ascii="Arial" w:cs="Arial" w:eastAsia="Arial" w:hAnsi="Arial"/>
                <w:sz w:val="16"/>
                <w:szCs w:val="16"/>
                <w:color w:val="auto"/>
              </w:rPr>
              <w:t>Profuturo AFP</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1.69%</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0.67%</w:t>
            </w:r>
          </w:p>
        </w:tc>
        <w:tc>
          <w:tcPr>
            <w:tcW w:w="16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1.20%</w:t>
            </w:r>
          </w:p>
        </w:tc>
      </w:tr>
      <w:tr>
        <w:trPr>
          <w:trHeight w:val="197"/>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AFP Habitat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0.38%</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w:t>
            </w:r>
          </w:p>
        </w:tc>
      </w:tr>
    </w:tbl>
    <w:p>
      <w:pPr>
        <w:spacing w:after="0" w:line="184" w:lineRule="exact"/>
        <w:rPr>
          <w:sz w:val="20"/>
          <w:szCs w:val="20"/>
          <w:color w:val="auto"/>
        </w:rPr>
      </w:pPr>
    </w:p>
    <w:p>
      <w:pPr>
        <w:ind w:left="2" w:right="220" w:firstLine="295"/>
        <w:spacing w:after="0" w:line="287" w:lineRule="auto"/>
        <w:rPr>
          <w:sz w:val="20"/>
          <w:szCs w:val="20"/>
          <w:color w:val="auto"/>
        </w:rPr>
      </w:pPr>
      <w:r>
        <w:rPr>
          <w:rFonts w:ascii="Arial" w:cs="Arial" w:eastAsia="Arial" w:hAnsi="Arial"/>
          <w:sz w:val="16"/>
          <w:szCs w:val="16"/>
          <w:color w:val="auto"/>
        </w:rPr>
        <w:t>As of March 31, 2020, Prima AFP had S/973.86 million in assets (compared to S/982.26 million as of March 31, 2019), S/426.51 million in liabilities (compared to S/402.45 million as of March 31, 2019), and shareholders’ equity of S/547.35 million (S/579.82 million as of March 31, 2019).</w:t>
      </w:r>
    </w:p>
    <w:p>
      <w:pPr>
        <w:spacing w:after="0" w:line="150" w:lineRule="exact"/>
        <w:rPr>
          <w:sz w:val="20"/>
          <w:szCs w:val="20"/>
          <w:color w:val="auto"/>
        </w:rPr>
      </w:pPr>
    </w:p>
    <w:p>
      <w:pPr>
        <w:ind w:left="162"/>
        <w:spacing w:after="0"/>
        <w:rPr>
          <w:sz w:val="20"/>
          <w:szCs w:val="20"/>
          <w:color w:val="auto"/>
        </w:rPr>
      </w:pPr>
      <w:r>
        <w:rPr>
          <w:rFonts w:ascii="Arial" w:cs="Arial" w:eastAsia="Arial" w:hAnsi="Arial"/>
          <w:sz w:val="16"/>
          <w:szCs w:val="16"/>
          <w:b w:val="1"/>
          <w:bCs w:val="1"/>
          <w:i w:val="1"/>
          <w:iCs w:val="1"/>
          <w:color w:val="auto"/>
        </w:rPr>
        <w:t>Investment Banking and Wealth Management</w:t>
      </w:r>
    </w:p>
    <w:p>
      <w:pPr>
        <w:spacing w:after="0" w:line="209" w:lineRule="exact"/>
        <w:rPr>
          <w:sz w:val="20"/>
          <w:szCs w:val="20"/>
          <w:color w:val="auto"/>
        </w:rPr>
      </w:pPr>
    </w:p>
    <w:p>
      <w:pPr>
        <w:ind w:left="2" w:right="60" w:firstLine="295"/>
        <w:spacing w:after="0" w:line="264" w:lineRule="auto"/>
        <w:rPr>
          <w:sz w:val="20"/>
          <w:szCs w:val="20"/>
          <w:color w:val="auto"/>
        </w:rPr>
      </w:pPr>
      <w:r>
        <w:rPr>
          <w:rFonts w:ascii="Arial" w:cs="Arial" w:eastAsia="Arial" w:hAnsi="Arial"/>
          <w:sz w:val="16"/>
          <w:szCs w:val="16"/>
          <w:color w:val="auto"/>
        </w:rPr>
        <w:t>Our investment banking and wealth management line of business registered a net loss of S/4 million in the three months ended March 31, 2020, mainly due to a 28% decrease in revenues due to the market impact of the COVID-19 pandemic. Throughout this period, we were adversely affected by the economic and market conditions arising from the pandemic. Projects and deals were postponed, the market downturn had a significant impact in our proprietary portfolios and early fund withdrawals were made by our institutional clients. However, our wealth management teams in Peru, Colombia and Chile carried out a focused client outreach effort that allowed us to mitigate asset outflows and offset the negative impact of the pandemic on our revenues.</w:t>
      </w:r>
    </w:p>
    <w:p>
      <w:pPr>
        <w:spacing w:after="0" w:line="167" w:lineRule="exact"/>
        <w:rPr>
          <w:sz w:val="20"/>
          <w:szCs w:val="20"/>
          <w:color w:val="auto"/>
        </w:rPr>
      </w:pPr>
    </w:p>
    <w:p>
      <w:pPr>
        <w:ind w:left="302"/>
        <w:spacing w:after="0"/>
        <w:rPr>
          <w:sz w:val="20"/>
          <w:szCs w:val="20"/>
          <w:color w:val="auto"/>
        </w:rPr>
      </w:pPr>
      <w:r>
        <w:rPr>
          <w:rFonts w:ascii="Arial" w:cs="Arial" w:eastAsia="Arial" w:hAnsi="Arial"/>
          <w:sz w:val="16"/>
          <w:szCs w:val="16"/>
          <w:i w:val="1"/>
          <w:iCs w:val="1"/>
          <w:color w:val="auto"/>
        </w:rPr>
        <w:t>Corporate Finance</w:t>
      </w:r>
    </w:p>
    <w:p>
      <w:pPr>
        <w:spacing w:after="0" w:line="209" w:lineRule="exact"/>
        <w:rPr>
          <w:sz w:val="20"/>
          <w:szCs w:val="20"/>
          <w:color w:val="auto"/>
        </w:rPr>
      </w:pPr>
    </w:p>
    <w:p>
      <w:pPr>
        <w:ind w:left="2" w:right="20" w:firstLine="295"/>
        <w:spacing w:after="0" w:line="266" w:lineRule="auto"/>
        <w:rPr>
          <w:sz w:val="20"/>
          <w:szCs w:val="20"/>
          <w:color w:val="auto"/>
        </w:rPr>
      </w:pPr>
      <w:r>
        <w:rPr>
          <w:rFonts w:ascii="Arial" w:cs="Arial" w:eastAsia="Arial" w:hAnsi="Arial"/>
          <w:sz w:val="16"/>
          <w:szCs w:val="16"/>
          <w:color w:val="auto"/>
        </w:rPr>
        <w:t>Our corporate finance business was affected by decreased corporate activity, resulting in a reduced number of executed transactions compared to the three months ended March 31, 2019. However, there were a series of important operations that were executed throughout the first quarter of the year: Loans to Buenaventura, Skanon Investments and Austral Group in Perú; M&amp;A advisory work for Nexus for the sale of Banco Santander Chile’s participation in Nexus (Chile); and advisory work for CAP S.A. in Chile for the modification of its corporate bond issuance contracts.</w:t>
      </w:r>
    </w:p>
    <w:p>
      <w:pPr>
        <w:spacing w:after="0" w:line="167" w:lineRule="exact"/>
        <w:rPr>
          <w:sz w:val="20"/>
          <w:szCs w:val="20"/>
          <w:color w:val="auto"/>
        </w:rPr>
      </w:pPr>
    </w:p>
    <w:p>
      <w:pPr>
        <w:ind w:left="302"/>
        <w:spacing w:after="0"/>
        <w:rPr>
          <w:sz w:val="20"/>
          <w:szCs w:val="20"/>
          <w:color w:val="auto"/>
        </w:rPr>
      </w:pPr>
      <w:r>
        <w:rPr>
          <w:rFonts w:ascii="Arial" w:cs="Arial" w:eastAsia="Arial" w:hAnsi="Arial"/>
          <w:sz w:val="16"/>
          <w:szCs w:val="16"/>
          <w:i w:val="1"/>
          <w:iCs w:val="1"/>
          <w:color w:val="auto"/>
        </w:rPr>
        <w:t>Asset Management</w:t>
      </w:r>
    </w:p>
    <w:p>
      <w:pPr>
        <w:spacing w:after="0" w:line="209" w:lineRule="exact"/>
        <w:rPr>
          <w:sz w:val="20"/>
          <w:szCs w:val="20"/>
          <w:color w:val="auto"/>
        </w:rPr>
      </w:pPr>
    </w:p>
    <w:p>
      <w:pPr>
        <w:ind w:left="2" w:right="220" w:firstLine="295"/>
        <w:spacing w:after="0" w:line="316" w:lineRule="auto"/>
        <w:rPr>
          <w:sz w:val="20"/>
          <w:szCs w:val="20"/>
          <w:color w:val="auto"/>
        </w:rPr>
      </w:pPr>
      <w:r>
        <w:rPr>
          <w:rFonts w:ascii="Arial" w:cs="Arial" w:eastAsia="Arial" w:hAnsi="Arial"/>
          <w:sz w:val="14"/>
          <w:szCs w:val="14"/>
          <w:color w:val="auto"/>
        </w:rPr>
        <w:t>Market conditions led to withdrawals from traditional funds in the second half of March, mainly from institutional clients and mainly in Colombia (where AUM for Fonval decreased by almost 50%). However, despite a decrease in fund management income during March 2020, overall revenues increased in the three months ended March 31, 2020 compared to the same period in 2019, boosted by an increase in AUMs from retail and institutional clients, due to an attractive range of products that maintain international standards, competitive returns, and a knowledgeable investment team with a high degree of specialization in the Latin American market.</w:t>
      </w:r>
    </w:p>
    <w:p>
      <w:pPr>
        <w:spacing w:after="0" w:line="135" w:lineRule="exact"/>
        <w:rPr>
          <w:sz w:val="20"/>
          <w:szCs w:val="20"/>
          <w:color w:val="auto"/>
        </w:rPr>
      </w:pPr>
    </w:p>
    <w:p>
      <w:pPr>
        <w:ind w:left="2" w:right="40" w:firstLine="295"/>
        <w:spacing w:after="0" w:line="362" w:lineRule="auto"/>
        <w:rPr>
          <w:sz w:val="20"/>
          <w:szCs w:val="20"/>
          <w:color w:val="auto"/>
        </w:rPr>
      </w:pPr>
      <w:r>
        <w:rPr>
          <w:rFonts w:ascii="Arial" w:cs="Arial" w:eastAsia="Arial" w:hAnsi="Arial"/>
          <w:sz w:val="14"/>
          <w:szCs w:val="14"/>
          <w:color w:val="auto"/>
        </w:rPr>
        <w:t>Revenues were also boosted by the increase in the sale of structured products and third-party funds to private banking clients, the continued development of a regional platform of alternative funds (especially the real estate fund Inmoval in Colombia), and higher revenues as distributors of third-party products to institutional investors.</w:t>
      </w:r>
    </w:p>
    <w:p>
      <w:pPr>
        <w:spacing w:after="0" w:line="104" w:lineRule="exact"/>
        <w:rPr>
          <w:sz w:val="20"/>
          <w:szCs w:val="20"/>
          <w:color w:val="auto"/>
        </w:rPr>
      </w:pPr>
    </w:p>
    <w:p>
      <w:pPr>
        <w:ind w:left="2" w:right="280" w:firstLine="295"/>
        <w:spacing w:after="0" w:line="287" w:lineRule="auto"/>
        <w:rPr>
          <w:sz w:val="20"/>
          <w:szCs w:val="20"/>
          <w:color w:val="auto"/>
        </w:rPr>
      </w:pPr>
      <w:r>
        <w:rPr>
          <w:rFonts w:ascii="Arial" w:cs="Arial" w:eastAsia="Arial" w:hAnsi="Arial"/>
          <w:sz w:val="16"/>
          <w:szCs w:val="16"/>
          <w:color w:val="auto"/>
        </w:rPr>
        <w:t>In total, assets under management, aggregating institutional and retail clients, exceeded S/60 billion in the three months ended March 31, 2020, an increase of 12% compared to the end of the three months ended March 31, 2019.</w:t>
      </w:r>
    </w:p>
    <w:p>
      <w:pPr>
        <w:spacing w:after="0" w:line="158" w:lineRule="exact"/>
        <w:rPr>
          <w:sz w:val="20"/>
          <w:szCs w:val="20"/>
          <w:color w:val="auto"/>
        </w:rPr>
      </w:pPr>
    </w:p>
    <w:p>
      <w:pPr>
        <w:ind w:left="8682"/>
        <w:spacing w:after="0"/>
        <w:rPr>
          <w:sz w:val="20"/>
          <w:szCs w:val="20"/>
          <w:color w:val="auto"/>
        </w:rPr>
      </w:pPr>
      <w:r>
        <w:rPr>
          <w:rFonts w:ascii="Arial" w:cs="Arial" w:eastAsia="Arial" w:hAnsi="Arial"/>
          <w:sz w:val="16"/>
          <w:szCs w:val="16"/>
          <w:b w:val="1"/>
          <w:bCs w:val="1"/>
          <w:color w:val="auto"/>
        </w:rPr>
        <w:t>Three Months Ended March 31,</w:t>
      </w:r>
    </w:p>
    <w:p>
      <w:pPr>
        <w:spacing w:after="0" w:line="28" w:lineRule="exact"/>
        <w:rPr>
          <w:sz w:val="20"/>
          <w:szCs w:val="20"/>
          <w:color w:val="auto"/>
        </w:rPr>
      </w:pPr>
    </w:p>
    <w:tbl>
      <w:tblPr>
        <w:tblLayout w:type="fixed"/>
        <w:tblInd w:w="2" w:type="dxa"/>
        <w:tblCellMar>
          <w:top w:w="0" w:type="dxa"/>
          <w:left w:w="0" w:type="dxa"/>
          <w:bottom w:w="0" w:type="dxa"/>
          <w:right w:w="0" w:type="dxa"/>
        </w:tblCellMar>
      </w:tblPr>
      <w:tr>
        <w:trPr>
          <w:trHeight w:val="202"/>
        </w:trPr>
        <w:tc>
          <w:tcPr>
            <w:tcW w:w="844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440" w:type="dxa"/>
            <w:vAlign w:val="bottom"/>
            <w:tcBorders>
              <w:top w:val="single" w:sz="8" w:color="auto"/>
              <w:bottom w:val="single" w:sz="8" w:color="auto"/>
            </w:tcBorders>
            <w:gridSpan w:val="3"/>
          </w:tcPr>
          <w:p>
            <w:pPr>
              <w:ind w:left="1120"/>
              <w:spacing w:after="0"/>
              <w:rPr>
                <w:sz w:val="20"/>
                <w:szCs w:val="20"/>
                <w:color w:val="auto"/>
              </w:rPr>
            </w:pPr>
            <w:r>
              <w:rPr>
                <w:rFonts w:ascii="Arial" w:cs="Arial" w:eastAsia="Arial" w:hAnsi="Arial"/>
                <w:sz w:val="16"/>
                <w:szCs w:val="16"/>
                <w:b w:val="1"/>
                <w:bCs w:val="1"/>
                <w:color w:val="auto"/>
                <w:w w:val="84"/>
              </w:rPr>
              <w:t>2020</w:t>
            </w:r>
          </w:p>
        </w:tc>
        <w:tc>
          <w:tcPr>
            <w:tcW w:w="46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8440" w:type="dxa"/>
            <w:vAlign w:val="bottom"/>
          </w:tcPr>
          <w:p>
            <w:pPr>
              <w:spacing w:after="0"/>
              <w:rPr>
                <w:sz w:val="16"/>
                <w:szCs w:val="16"/>
                <w:color w:val="auto"/>
              </w:rPr>
            </w:pPr>
          </w:p>
        </w:tc>
        <w:tc>
          <w:tcPr>
            <w:tcW w:w="2240" w:type="dxa"/>
            <w:vAlign w:val="bottom"/>
            <w:gridSpan w:val="4"/>
          </w:tcPr>
          <w:p>
            <w:pPr>
              <w:ind w:left="640"/>
              <w:spacing w:after="0"/>
              <w:rPr>
                <w:sz w:val="20"/>
                <w:szCs w:val="20"/>
                <w:color w:val="auto"/>
              </w:rPr>
            </w:pPr>
            <w:r>
              <w:rPr>
                <w:rFonts w:ascii="Arial" w:cs="Arial" w:eastAsia="Arial" w:hAnsi="Arial"/>
                <w:sz w:val="16"/>
                <w:szCs w:val="16"/>
                <w:b w:val="1"/>
                <w:bCs w:val="1"/>
                <w:color w:val="auto"/>
              </w:rPr>
              <w:t>(in millions of Soles)</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 under management (“AuM”) – Peru(1)</w:t>
            </w:r>
          </w:p>
        </w:tc>
        <w:tc>
          <w:tcPr>
            <w:tcW w:w="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22,073</w:t>
            </w: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24,477</w:t>
            </w:r>
          </w:p>
        </w:tc>
        <w:tc>
          <w:tcPr>
            <w:tcW w:w="80" w:type="dxa"/>
            <w:vAlign w:val="bottom"/>
            <w:shd w:val="clear" w:color="auto" w:fill="CCEEFF"/>
          </w:tcPr>
          <w:p>
            <w:pPr>
              <w:spacing w:after="0"/>
              <w:rPr>
                <w:sz w:val="17"/>
                <w:szCs w:val="17"/>
                <w:color w:val="auto"/>
              </w:rPr>
            </w:pPr>
          </w:p>
        </w:tc>
      </w:tr>
      <w:tr>
        <w:trPr>
          <w:trHeight w:val="197"/>
        </w:trPr>
        <w:tc>
          <w:tcPr>
            <w:tcW w:w="9240" w:type="dxa"/>
            <w:vAlign w:val="bottom"/>
            <w:gridSpan w:val="2"/>
          </w:tcPr>
          <w:p>
            <w:pPr>
              <w:spacing w:after="0"/>
              <w:rPr>
                <w:sz w:val="20"/>
                <w:szCs w:val="20"/>
                <w:color w:val="auto"/>
              </w:rPr>
            </w:pPr>
            <w:r>
              <w:rPr>
                <w:rFonts w:ascii="Arial" w:cs="Arial" w:eastAsia="Arial" w:hAnsi="Arial"/>
                <w:sz w:val="16"/>
                <w:szCs w:val="16"/>
                <w:color w:val="auto"/>
              </w:rPr>
              <w:t>AuM – Colombia</w:t>
            </w:r>
          </w:p>
        </w:tc>
        <w:tc>
          <w:tcPr>
            <w:tcW w:w="680" w:type="dxa"/>
            <w:vAlign w:val="bottom"/>
            <w:gridSpan w:val="2"/>
          </w:tcPr>
          <w:p>
            <w:pPr>
              <w:spacing w:after="0"/>
              <w:rPr>
                <w:sz w:val="20"/>
                <w:szCs w:val="20"/>
                <w:color w:val="auto"/>
              </w:rPr>
            </w:pPr>
            <w:r>
              <w:rPr>
                <w:rFonts w:ascii="Arial" w:cs="Arial" w:eastAsia="Arial" w:hAnsi="Arial"/>
                <w:sz w:val="16"/>
                <w:szCs w:val="16"/>
                <w:color w:val="auto"/>
              </w:rPr>
              <w:t>10,686</w:t>
            </w:r>
          </w:p>
        </w:tc>
        <w:tc>
          <w:tcPr>
            <w:tcW w:w="76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10,800</w:t>
            </w:r>
          </w:p>
        </w:tc>
        <w:tc>
          <w:tcPr>
            <w:tcW w:w="80" w:type="dxa"/>
            <w:vAlign w:val="bottom"/>
          </w:tcPr>
          <w:p>
            <w:pPr>
              <w:spacing w:after="0"/>
              <w:rPr>
                <w:sz w:val="17"/>
                <w:szCs w:val="17"/>
                <w:color w:val="auto"/>
              </w:rPr>
            </w:pPr>
          </w:p>
        </w:tc>
      </w:tr>
      <w:tr>
        <w:trPr>
          <w:trHeight w:val="209"/>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AuM – Chile</w:t>
            </w:r>
          </w:p>
        </w:tc>
        <w:tc>
          <w:tcPr>
            <w:tcW w:w="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20,935</w:t>
            </w: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25,065</w:t>
            </w:r>
          </w:p>
        </w:tc>
        <w:tc>
          <w:tcPr>
            <w:tcW w:w="80" w:type="dxa"/>
            <w:vAlign w:val="bottom"/>
            <w:shd w:val="clear" w:color="auto" w:fill="CCEEFF"/>
          </w:tcPr>
          <w:p>
            <w:pPr>
              <w:spacing w:after="0"/>
              <w:rPr>
                <w:sz w:val="18"/>
                <w:szCs w:val="18"/>
                <w:color w:val="auto"/>
              </w:rPr>
            </w:pPr>
          </w:p>
        </w:tc>
      </w:tr>
      <w:tr>
        <w:trPr>
          <w:trHeight w:val="189"/>
        </w:trPr>
        <w:tc>
          <w:tcPr>
            <w:tcW w:w="8440" w:type="dxa"/>
            <w:vAlign w:val="bottom"/>
          </w:tcPr>
          <w:p>
            <w:pPr>
              <w:spacing w:after="0"/>
              <w:rPr>
                <w:sz w:val="20"/>
                <w:szCs w:val="20"/>
                <w:color w:val="auto"/>
              </w:rPr>
            </w:pPr>
            <w:r>
              <w:rPr>
                <w:rFonts w:ascii="Arial" w:cs="Arial" w:eastAsia="Arial" w:hAnsi="Arial"/>
                <w:sz w:val="16"/>
                <w:szCs w:val="16"/>
                <w:color w:val="auto"/>
              </w:rPr>
              <w:t>Total AuM</w:t>
            </w:r>
          </w:p>
        </w:tc>
        <w:tc>
          <w:tcPr>
            <w:tcW w:w="80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5"/>
              </w:rPr>
              <w:t>53,694</w:t>
            </w:r>
          </w:p>
        </w:tc>
        <w:tc>
          <w:tcPr>
            <w:tcW w:w="240" w:type="dxa"/>
            <w:vAlign w:val="bottom"/>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60,342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8625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01" w:lineRule="exact"/>
        <w:rPr>
          <w:sz w:val="20"/>
          <w:szCs w:val="20"/>
          <w:color w:val="auto"/>
        </w:rPr>
      </w:pPr>
    </w:p>
    <w:p>
      <w:pPr>
        <w:jc w:val="both"/>
        <w:ind w:left="302" w:right="40" w:hanging="302"/>
        <w:spacing w:after="0" w:line="271" w:lineRule="auto"/>
        <w:tabs>
          <w:tab w:leader="none" w:pos="30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Includes AuMs in Atlantic Security Bank. Includes AuM for which there is a service agreement between Atlantic Security Bank and Credicorp Capital for the latter to perform functions as portfolio manager (Atlantic Security Bank funds in millions of Soles are: S/5,020 and S/5,001 in the three months ended March 31, 2019 and the three months ended March 31, 2020, respectively).</w:t>
      </w:r>
    </w:p>
    <w:p>
      <w:pPr>
        <w:spacing w:after="0" w:line="35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23" w:right="339" w:bottom="1440" w:gutter="0" w:footer="0" w:header="0"/>
        </w:sectPr>
      </w:pPr>
    </w:p>
    <w:bookmarkStart w:id="142" w:name="page143"/>
    <w:bookmarkEnd w:id="142"/>
    <w:p>
      <w:pPr>
        <w:ind w:left="302"/>
        <w:spacing w:after="0"/>
        <w:rPr>
          <w:sz w:val="20"/>
          <w:szCs w:val="20"/>
          <w:color w:val="auto"/>
        </w:rPr>
      </w:pPr>
      <w:r>
        <w:rPr>
          <w:rFonts w:ascii="Arial" w:cs="Arial" w:eastAsia="Arial" w:hAnsi="Arial"/>
          <w:sz w:val="16"/>
          <w:szCs w:val="16"/>
          <w:i w:val="1"/>
          <w:iCs w:val="1"/>
          <w:color w:val="auto"/>
        </w:rPr>
        <w:t>Capital Markets</w:t>
      </w:r>
    </w:p>
    <w:p>
      <w:pPr>
        <w:spacing w:after="0" w:line="209" w:lineRule="exact"/>
        <w:rPr>
          <w:sz w:val="20"/>
          <w:szCs w:val="20"/>
          <w:color w:val="auto"/>
        </w:rPr>
      </w:pPr>
    </w:p>
    <w:p>
      <w:pPr>
        <w:ind w:left="2" w:right="120" w:firstLine="295"/>
        <w:spacing w:after="0" w:line="289" w:lineRule="auto"/>
        <w:rPr>
          <w:sz w:val="20"/>
          <w:szCs w:val="20"/>
          <w:color w:val="auto"/>
        </w:rPr>
      </w:pPr>
      <w:r>
        <w:rPr>
          <w:rFonts w:ascii="Arial" w:cs="Arial" w:eastAsia="Arial" w:hAnsi="Arial"/>
          <w:sz w:val="15"/>
          <w:szCs w:val="15"/>
          <w:color w:val="auto"/>
        </w:rPr>
        <w:t>In the three months ended March 31, 2020, our capital markets business was significantly affected by the global crisis related to the COVID-19 pandemic. As market downturn scaled up, specifically during March, the impact in our proprietary portfolios resulted in a decrease of approximately S/27 million that offset favorable returns achieved in the first half of the quarter, which led to our implementation of a stop-loss strategy during the crisis. These results are in contrast to those obtained during the three months ended March 31, 2019, which were above expectations and characterized by stable and favorable market conditions..</w:t>
      </w:r>
    </w:p>
    <w:p>
      <w:pPr>
        <w:spacing w:after="0" w:line="152" w:lineRule="exact"/>
        <w:rPr>
          <w:sz w:val="20"/>
          <w:szCs w:val="20"/>
          <w:color w:val="auto"/>
        </w:rPr>
      </w:pPr>
    </w:p>
    <w:p>
      <w:pPr>
        <w:ind w:left="2" w:right="40" w:firstLine="295"/>
        <w:spacing w:after="0" w:line="271" w:lineRule="auto"/>
        <w:rPr>
          <w:sz w:val="20"/>
          <w:szCs w:val="20"/>
          <w:color w:val="auto"/>
        </w:rPr>
      </w:pPr>
      <w:r>
        <w:rPr>
          <w:rFonts w:ascii="Arial" w:cs="Arial" w:eastAsia="Arial" w:hAnsi="Arial"/>
          <w:sz w:val="16"/>
          <w:szCs w:val="16"/>
          <w:color w:val="auto"/>
        </w:rPr>
        <w:t>Notwithstanding, even in the context of the COVID-19 pandemic, our sales business generated an increase in revenues compared to the three months ended March 31, 2019, even while traded volumes in Colombia appear to be lower than those from a year ago due to a currency conversion effect. A portion of the increase came during March 2020, when trading volumes were unusually higher due to sales of securities and bargain purchases.</w:t>
      </w:r>
    </w:p>
    <w:p>
      <w:pPr>
        <w:spacing w:after="0" w:line="159"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Capital Markets Securities Portfolio</w:t>
      </w:r>
    </w:p>
    <w:p>
      <w:pPr>
        <w:spacing w:after="0" w:line="221" w:lineRule="exact"/>
        <w:rPr>
          <w:sz w:val="20"/>
          <w:szCs w:val="20"/>
          <w:color w:val="auto"/>
        </w:rPr>
      </w:pPr>
    </w:p>
    <w:p>
      <w:pPr>
        <w:ind w:left="8682"/>
        <w:spacing w:after="0"/>
        <w:rPr>
          <w:sz w:val="20"/>
          <w:szCs w:val="20"/>
          <w:color w:val="auto"/>
        </w:rPr>
      </w:pPr>
      <w:r>
        <w:rPr>
          <w:rFonts w:ascii="Arial" w:cs="Arial" w:eastAsia="Arial" w:hAnsi="Arial"/>
          <w:sz w:val="16"/>
          <w:szCs w:val="16"/>
          <w:b w:val="1"/>
          <w:bCs w:val="1"/>
          <w:color w:val="auto"/>
        </w:rPr>
        <w:t>Three Months Ended March 31,</w:t>
      </w:r>
    </w:p>
    <w:p>
      <w:pPr>
        <w:spacing w:after="0" w:line="28" w:lineRule="exact"/>
        <w:rPr>
          <w:sz w:val="20"/>
          <w:szCs w:val="20"/>
          <w:color w:val="auto"/>
        </w:rPr>
      </w:pPr>
    </w:p>
    <w:tbl>
      <w:tblPr>
        <w:tblLayout w:type="fixed"/>
        <w:tblInd w:w="2" w:type="dxa"/>
        <w:tblCellMar>
          <w:top w:w="0" w:type="dxa"/>
          <w:left w:w="0" w:type="dxa"/>
          <w:bottom w:w="0" w:type="dxa"/>
          <w:right w:w="0" w:type="dxa"/>
        </w:tblCellMar>
      </w:tblPr>
      <w:tr>
        <w:trPr>
          <w:trHeight w:val="202"/>
        </w:trPr>
        <w:tc>
          <w:tcPr>
            <w:tcW w:w="844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8440" w:type="dxa"/>
            <w:vAlign w:val="bottom"/>
          </w:tcPr>
          <w:p>
            <w:pPr>
              <w:spacing w:after="0"/>
              <w:rPr>
                <w:sz w:val="16"/>
                <w:szCs w:val="16"/>
                <w:color w:val="auto"/>
              </w:rPr>
            </w:pPr>
          </w:p>
        </w:tc>
        <w:tc>
          <w:tcPr>
            <w:tcW w:w="2240" w:type="dxa"/>
            <w:vAlign w:val="bottom"/>
            <w:gridSpan w:val="2"/>
          </w:tcPr>
          <w:p>
            <w:pPr>
              <w:jc w:val="right"/>
              <w:ind w:right="98"/>
              <w:spacing w:after="0"/>
              <w:rPr>
                <w:sz w:val="20"/>
                <w:szCs w:val="20"/>
                <w:color w:val="auto"/>
              </w:rPr>
            </w:pPr>
            <w:r>
              <w:rPr>
                <w:rFonts w:ascii="Arial" w:cs="Arial" w:eastAsia="Arial" w:hAnsi="Arial"/>
                <w:sz w:val="16"/>
                <w:szCs w:val="16"/>
                <w:b w:val="1"/>
                <w:bCs w:val="1"/>
                <w:color w:val="auto"/>
              </w:rPr>
              <w:t>(in millions of Soles)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Traded Volume</w:t>
            </w:r>
          </w:p>
        </w:tc>
        <w:tc>
          <w:tcPr>
            <w:tcW w:w="1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9240" w:type="dxa"/>
            <w:vAlign w:val="bottom"/>
            <w:gridSpan w:val="2"/>
          </w:tcPr>
          <w:p>
            <w:pPr>
              <w:spacing w:after="0"/>
              <w:rPr>
                <w:sz w:val="20"/>
                <w:szCs w:val="20"/>
                <w:color w:val="auto"/>
              </w:rPr>
            </w:pPr>
            <w:r>
              <w:rPr>
                <w:rFonts w:ascii="Arial" w:cs="Arial" w:eastAsia="Arial" w:hAnsi="Arial"/>
                <w:sz w:val="16"/>
                <w:szCs w:val="16"/>
                <w:color w:val="auto"/>
              </w:rPr>
              <w:t>Equity Securities – Peru(1)</w:t>
            </w:r>
          </w:p>
        </w:tc>
        <w:tc>
          <w:tcPr>
            <w:tcW w:w="1440" w:type="dxa"/>
            <w:vAlign w:val="bottom"/>
          </w:tcPr>
          <w:p>
            <w:pPr>
              <w:jc w:val="right"/>
              <w:ind w:right="918"/>
              <w:spacing w:after="0"/>
              <w:rPr>
                <w:sz w:val="20"/>
                <w:szCs w:val="20"/>
                <w:color w:val="auto"/>
              </w:rPr>
            </w:pPr>
            <w:r>
              <w:rPr>
                <w:rFonts w:ascii="Arial" w:cs="Arial" w:eastAsia="Arial" w:hAnsi="Arial"/>
                <w:sz w:val="16"/>
                <w:szCs w:val="16"/>
                <w:color w:val="auto"/>
              </w:rPr>
              <w:t>1,605</w:t>
            </w: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3,674</w:t>
            </w:r>
          </w:p>
        </w:tc>
      </w:tr>
      <w:tr>
        <w:trPr>
          <w:trHeight w:val="197"/>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Fixed Income – Peru(1)</w:t>
            </w:r>
          </w:p>
        </w:tc>
        <w:tc>
          <w:tcPr>
            <w:tcW w:w="1440" w:type="dxa"/>
            <w:vAlign w:val="bottom"/>
            <w:shd w:val="clear" w:color="auto" w:fill="CCEEFF"/>
          </w:tcPr>
          <w:p>
            <w:pPr>
              <w:jc w:val="right"/>
              <w:ind w:right="918"/>
              <w:spacing w:after="0"/>
              <w:rPr>
                <w:sz w:val="20"/>
                <w:szCs w:val="20"/>
                <w:color w:val="auto"/>
              </w:rPr>
            </w:pPr>
            <w:r>
              <w:rPr>
                <w:rFonts w:ascii="Arial" w:cs="Arial" w:eastAsia="Arial" w:hAnsi="Arial"/>
                <w:sz w:val="16"/>
                <w:szCs w:val="16"/>
                <w:color w:val="auto"/>
              </w:rPr>
              <w:t>8,282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16,052</w:t>
            </w:r>
          </w:p>
        </w:tc>
      </w:tr>
      <w:tr>
        <w:trPr>
          <w:trHeight w:val="197"/>
        </w:trPr>
        <w:tc>
          <w:tcPr>
            <w:tcW w:w="9240" w:type="dxa"/>
            <w:vAlign w:val="bottom"/>
            <w:gridSpan w:val="2"/>
          </w:tcPr>
          <w:p>
            <w:pPr>
              <w:spacing w:after="0"/>
              <w:rPr>
                <w:sz w:val="20"/>
                <w:szCs w:val="20"/>
                <w:color w:val="auto"/>
              </w:rPr>
            </w:pPr>
            <w:r>
              <w:rPr>
                <w:rFonts w:ascii="Arial" w:cs="Arial" w:eastAsia="Arial" w:hAnsi="Arial"/>
                <w:sz w:val="16"/>
                <w:szCs w:val="16"/>
                <w:color w:val="auto"/>
              </w:rPr>
              <w:t>Equity Securities – Colombia(2)</w:t>
            </w:r>
          </w:p>
        </w:tc>
        <w:tc>
          <w:tcPr>
            <w:tcW w:w="1440" w:type="dxa"/>
            <w:vAlign w:val="bottom"/>
          </w:tcPr>
          <w:p>
            <w:pPr>
              <w:jc w:val="right"/>
              <w:ind w:right="918"/>
              <w:spacing w:after="0"/>
              <w:rPr>
                <w:sz w:val="20"/>
                <w:szCs w:val="20"/>
                <w:color w:val="auto"/>
              </w:rPr>
            </w:pPr>
            <w:r>
              <w:rPr>
                <w:rFonts w:ascii="Arial" w:cs="Arial" w:eastAsia="Arial" w:hAnsi="Arial"/>
                <w:sz w:val="16"/>
                <w:szCs w:val="16"/>
                <w:color w:val="auto"/>
              </w:rPr>
              <w:t>4,042</w:t>
            </w: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3,813</w:t>
            </w:r>
          </w:p>
        </w:tc>
      </w:tr>
      <w:tr>
        <w:trPr>
          <w:trHeight w:val="197"/>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Fixed Income – Colombia(2)</w:t>
            </w:r>
          </w:p>
        </w:tc>
        <w:tc>
          <w:tcPr>
            <w:tcW w:w="1440" w:type="dxa"/>
            <w:vAlign w:val="bottom"/>
            <w:shd w:val="clear" w:color="auto" w:fill="CCEEFF"/>
          </w:tcPr>
          <w:p>
            <w:pPr>
              <w:jc w:val="right"/>
              <w:ind w:right="898"/>
              <w:spacing w:after="0"/>
              <w:rPr>
                <w:sz w:val="20"/>
                <w:szCs w:val="20"/>
                <w:color w:val="auto"/>
              </w:rPr>
            </w:pPr>
            <w:r>
              <w:rPr>
                <w:rFonts w:ascii="Arial" w:cs="Arial" w:eastAsia="Arial" w:hAnsi="Arial"/>
                <w:sz w:val="16"/>
                <w:szCs w:val="16"/>
                <w:color w:val="auto"/>
                <w:w w:val="89"/>
              </w:rPr>
              <w:t>53,683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50,463</w:t>
            </w:r>
          </w:p>
        </w:tc>
      </w:tr>
      <w:tr>
        <w:trPr>
          <w:trHeight w:val="197"/>
        </w:trPr>
        <w:tc>
          <w:tcPr>
            <w:tcW w:w="9240" w:type="dxa"/>
            <w:vAlign w:val="bottom"/>
            <w:gridSpan w:val="2"/>
          </w:tcPr>
          <w:p>
            <w:pPr>
              <w:spacing w:after="0"/>
              <w:rPr>
                <w:sz w:val="20"/>
                <w:szCs w:val="20"/>
                <w:color w:val="auto"/>
              </w:rPr>
            </w:pPr>
            <w:r>
              <w:rPr>
                <w:rFonts w:ascii="Arial" w:cs="Arial" w:eastAsia="Arial" w:hAnsi="Arial"/>
                <w:sz w:val="16"/>
                <w:szCs w:val="16"/>
                <w:color w:val="auto"/>
              </w:rPr>
              <w:t>Equity Securities – Chile(3)</w:t>
            </w:r>
          </w:p>
        </w:tc>
        <w:tc>
          <w:tcPr>
            <w:tcW w:w="1440" w:type="dxa"/>
            <w:vAlign w:val="bottom"/>
          </w:tcPr>
          <w:p>
            <w:pPr>
              <w:jc w:val="right"/>
              <w:ind w:right="918"/>
              <w:spacing w:after="0"/>
              <w:rPr>
                <w:sz w:val="20"/>
                <w:szCs w:val="20"/>
                <w:color w:val="auto"/>
              </w:rPr>
            </w:pPr>
            <w:r>
              <w:rPr>
                <w:rFonts w:ascii="Arial" w:cs="Arial" w:eastAsia="Arial" w:hAnsi="Arial"/>
                <w:sz w:val="16"/>
                <w:szCs w:val="16"/>
                <w:color w:val="auto"/>
              </w:rPr>
              <w:t>7,237</w:t>
            </w: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3,127</w:t>
            </w:r>
          </w:p>
        </w:tc>
      </w:tr>
      <w:tr>
        <w:trPr>
          <w:trHeight w:val="197"/>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Fixed Income – Chile(3)</w:t>
            </w:r>
          </w:p>
        </w:tc>
        <w:tc>
          <w:tcPr>
            <w:tcW w:w="1440" w:type="dxa"/>
            <w:vAlign w:val="bottom"/>
            <w:shd w:val="clear" w:color="auto" w:fill="CCEEFF"/>
          </w:tcPr>
          <w:p>
            <w:pPr>
              <w:jc w:val="right"/>
              <w:ind w:right="898"/>
              <w:spacing w:after="0"/>
              <w:rPr>
                <w:sz w:val="20"/>
                <w:szCs w:val="20"/>
                <w:color w:val="auto"/>
              </w:rPr>
            </w:pPr>
            <w:r>
              <w:rPr>
                <w:rFonts w:ascii="Arial" w:cs="Arial" w:eastAsia="Arial" w:hAnsi="Arial"/>
                <w:sz w:val="16"/>
                <w:szCs w:val="16"/>
                <w:color w:val="auto"/>
                <w:w w:val="89"/>
              </w:rPr>
              <w:t>28,478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14,549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8625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01" w:lineRule="exact"/>
        <w:rPr>
          <w:sz w:val="20"/>
          <w:szCs w:val="20"/>
          <w:color w:val="auto"/>
        </w:rPr>
      </w:pPr>
    </w:p>
    <w:p>
      <w:pPr>
        <w:ind w:left="302" w:hanging="302"/>
        <w:spacing w:after="0"/>
        <w:tabs>
          <w:tab w:leader="none" w:pos="30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Peru: BVL information. Fixed income data also includes information from Datatec platform. Does not include repo operations.</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Colombia: Colombia Stock Exchange information. Fixed income data also includes Banco de la Republica’s information. Does not include repo operations.</w:t>
      </w:r>
    </w:p>
    <w:p>
      <w:pPr>
        <w:spacing w:after="0" w:line="209" w:lineRule="exact"/>
        <w:rPr>
          <w:rFonts w:ascii="Arial" w:cs="Arial" w:eastAsia="Arial" w:hAnsi="Arial"/>
          <w:sz w:val="16"/>
          <w:szCs w:val="16"/>
          <w:color w:val="auto"/>
        </w:rPr>
      </w:pPr>
    </w:p>
    <w:p>
      <w:pPr>
        <w:ind w:left="302" w:right="300" w:hanging="302"/>
        <w:spacing w:after="0" w:line="287" w:lineRule="auto"/>
        <w:tabs>
          <w:tab w:leader="none" w:pos="30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Chile: Santiago Stock Exchange information. Fixed income data includes financial intermediation operations. Equity securities include operations with investment fund shares and foreign stock. Does not include repo operations</w:t>
      </w:r>
    </w:p>
    <w:p>
      <w:pPr>
        <w:spacing w:after="0" w:line="149" w:lineRule="exact"/>
        <w:rPr>
          <w:rFonts w:ascii="Arial" w:cs="Arial" w:eastAsia="Arial" w:hAnsi="Arial"/>
          <w:sz w:val="16"/>
          <w:szCs w:val="16"/>
          <w:color w:val="auto"/>
        </w:rPr>
      </w:pPr>
    </w:p>
    <w:p>
      <w:pPr>
        <w:ind w:left="302"/>
        <w:spacing w:after="0"/>
        <w:rPr>
          <w:rFonts w:ascii="Arial" w:cs="Arial" w:eastAsia="Arial" w:hAnsi="Arial"/>
          <w:sz w:val="16"/>
          <w:szCs w:val="16"/>
          <w:color w:val="auto"/>
        </w:rPr>
      </w:pPr>
      <w:r>
        <w:rPr>
          <w:rFonts w:ascii="Arial" w:cs="Arial" w:eastAsia="Arial" w:hAnsi="Arial"/>
          <w:sz w:val="16"/>
          <w:szCs w:val="16"/>
          <w:i w:val="1"/>
          <w:iCs w:val="1"/>
          <w:color w:val="auto"/>
        </w:rPr>
        <w:t>Wealth Management</w:t>
      </w:r>
    </w:p>
    <w:p>
      <w:pPr>
        <w:spacing w:after="0" w:line="209" w:lineRule="exact"/>
        <w:rPr>
          <w:sz w:val="20"/>
          <w:szCs w:val="20"/>
          <w:color w:val="auto"/>
        </w:rPr>
      </w:pPr>
    </w:p>
    <w:p>
      <w:pPr>
        <w:ind w:left="2" w:right="80" w:firstLine="295"/>
        <w:spacing w:after="0" w:line="285" w:lineRule="auto"/>
        <w:rPr>
          <w:sz w:val="20"/>
          <w:szCs w:val="20"/>
          <w:color w:val="auto"/>
        </w:rPr>
      </w:pPr>
      <w:r>
        <w:rPr>
          <w:rFonts w:ascii="Arial" w:cs="Arial" w:eastAsia="Arial" w:hAnsi="Arial"/>
          <w:sz w:val="15"/>
          <w:szCs w:val="15"/>
          <w:color w:val="auto"/>
        </w:rPr>
        <w:t>Our wealth management business experienced a first quarter with different results across countries. Compared to the three months ended March 31, 2019, revenues in the three months ended March 31, 2020 increased in both Colombia and Chile, where we are carrying out an initiative to standardize and expand an integral private banking advisory model and deploy the full value of our wealth management model (including lending, wealth and financial planning and family office). The result in Colombia was also impacted positively following the acquisition of Ultraserfinco and Ultralat at the end of 2019. However, increased revenues in Colombia and Chile were offset by a slight decrease in revenue in Peru, mainly due to lower deposit balances and lower income from the family office services.</w:t>
      </w:r>
    </w:p>
    <w:p>
      <w:pPr>
        <w:spacing w:after="0" w:line="155" w:lineRule="exact"/>
        <w:rPr>
          <w:sz w:val="20"/>
          <w:szCs w:val="20"/>
          <w:color w:val="auto"/>
        </w:rPr>
      </w:pPr>
    </w:p>
    <w:p>
      <w:pPr>
        <w:ind w:left="2" w:right="120" w:firstLine="295"/>
        <w:spacing w:after="0" w:line="271" w:lineRule="auto"/>
        <w:rPr>
          <w:sz w:val="20"/>
          <w:szCs w:val="20"/>
          <w:color w:val="auto"/>
        </w:rPr>
      </w:pPr>
      <w:r>
        <w:rPr>
          <w:rFonts w:ascii="Arial" w:cs="Arial" w:eastAsia="Arial" w:hAnsi="Arial"/>
          <w:sz w:val="16"/>
          <w:szCs w:val="16"/>
          <w:color w:val="auto"/>
        </w:rPr>
        <w:t>Assets under management for private banking clients reached a total of S/48.7 billion as of March 31, 2020, a decrease of 12% compared to March 31, 2019. Most of the decrease is due to a mark-to-market effect (including currency conversion) on AUMs during the last two weeks of the first quarter of 2020, as we were able to avoid withdrawals in the context of the COVID-19 pandemic due to an important client outreach effort.</w:t>
      </w:r>
    </w:p>
    <w:p>
      <w:pPr>
        <w:spacing w:after="0" w:line="35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24"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6"/>
          <w:szCs w:val="16"/>
          <w:b w:val="1"/>
          <w:bCs w:val="1"/>
          <w:color w:val="auto"/>
        </w:rPr>
        <w:t>Wealth Management Assets under Management</w:t>
      </w:r>
    </w:p>
    <w:p>
      <w:pPr>
        <w:spacing w:after="0" w:line="221" w:lineRule="exact"/>
        <w:rPr>
          <w:sz w:val="20"/>
          <w:szCs w:val="20"/>
          <w:color w:val="auto"/>
        </w:rPr>
      </w:pPr>
    </w:p>
    <w:p>
      <w:pPr>
        <w:ind w:left="8680"/>
        <w:spacing w:after="0"/>
        <w:rPr>
          <w:sz w:val="20"/>
          <w:szCs w:val="20"/>
          <w:color w:val="auto"/>
        </w:rPr>
      </w:pPr>
      <w:r>
        <w:rPr>
          <w:rFonts w:ascii="Arial" w:cs="Arial" w:eastAsia="Arial" w:hAnsi="Arial"/>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0" w:type="dxa"/>
            <w:vAlign w:val="bottom"/>
          </w:tcPr>
          <w:p>
            <w:pPr>
              <w:spacing w:after="0"/>
              <w:rPr>
                <w:sz w:val="17"/>
                <w:szCs w:val="17"/>
                <w:color w:val="auto"/>
              </w:rPr>
            </w:pPr>
          </w:p>
        </w:tc>
        <w:tc>
          <w:tcPr>
            <w:tcW w:w="8200" w:type="dxa"/>
            <w:vAlign w:val="bottom"/>
            <w:gridSpan w:val="2"/>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224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rPr>
              <w:t>(in millions of Soles)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92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WM AuMs Peru(1)</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42,837</w:t>
            </w:r>
          </w:p>
        </w:tc>
        <w:tc>
          <w:tcPr>
            <w:tcW w:w="7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37,146</w:t>
            </w:r>
          </w:p>
        </w:tc>
      </w:tr>
      <w:tr>
        <w:trPr>
          <w:trHeight w:val="197"/>
        </w:trPr>
        <w:tc>
          <w:tcPr>
            <w:tcW w:w="9240" w:type="dxa"/>
            <w:vAlign w:val="bottom"/>
            <w:gridSpan w:val="4"/>
          </w:tcPr>
          <w:p>
            <w:pPr>
              <w:spacing w:after="0"/>
              <w:rPr>
                <w:sz w:val="20"/>
                <w:szCs w:val="20"/>
                <w:color w:val="auto"/>
              </w:rPr>
            </w:pPr>
            <w:r>
              <w:rPr>
                <w:rFonts w:ascii="Arial" w:cs="Arial" w:eastAsia="Arial" w:hAnsi="Arial"/>
                <w:sz w:val="16"/>
                <w:szCs w:val="16"/>
                <w:color w:val="auto"/>
              </w:rPr>
              <w:t>WM AuMs Colombia(2)(3)</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3,979</w:t>
            </w:r>
          </w:p>
        </w:tc>
        <w:tc>
          <w:tcPr>
            <w:tcW w:w="76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3,401</w:t>
            </w:r>
          </w:p>
        </w:tc>
      </w:tr>
      <w:tr>
        <w:trPr>
          <w:trHeight w:val="209"/>
        </w:trPr>
        <w:tc>
          <w:tcPr>
            <w:tcW w:w="92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WM AuMs Chile(2)</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8,290</w:t>
            </w: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8,142</w:t>
            </w:r>
          </w:p>
        </w:tc>
      </w:tr>
      <w:tr>
        <w:trPr>
          <w:trHeight w:val="200"/>
        </w:trPr>
        <w:tc>
          <w:tcPr>
            <w:tcW w:w="844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Total WM AuMs</w:t>
            </w:r>
          </w:p>
        </w:tc>
        <w:tc>
          <w:tcPr>
            <w:tcW w:w="8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5"/>
              </w:rPr>
              <w:t>55,106</w:t>
            </w:r>
          </w:p>
        </w:tc>
        <w:tc>
          <w:tcPr>
            <w:tcW w:w="24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48,689</w:t>
            </w:r>
          </w:p>
        </w:tc>
        <w:tc>
          <w:tcPr>
            <w:tcW w:w="100" w:type="dxa"/>
            <w:vAlign w:val="bottom"/>
            <w:tcBorders>
              <w:bottom w:val="single" w:sz="8" w:color="CCEEFF"/>
            </w:tcBorders>
          </w:tcPr>
          <w:p>
            <w:pPr>
              <w:spacing w:after="0"/>
              <w:rPr>
                <w:sz w:val="17"/>
                <w:szCs w:val="17"/>
                <w:color w:val="auto"/>
              </w:rPr>
            </w:pPr>
          </w:p>
        </w:tc>
      </w:tr>
      <w:tr>
        <w:trPr>
          <w:trHeight w:val="202"/>
        </w:trPr>
        <w:tc>
          <w:tcPr>
            <w:tcW w:w="8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 WM Clients(2)(3)</w:t>
            </w:r>
          </w:p>
        </w:tc>
        <w:tc>
          <w:tcPr>
            <w:tcW w:w="8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4,117</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6420" w:type="dxa"/>
            <w:vAlign w:val="bottom"/>
            <w:gridSpan w:val="2"/>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2"/>
        </w:trPr>
        <w:tc>
          <w:tcPr>
            <w:tcW w:w="240" w:type="dxa"/>
            <w:vAlign w:val="bottom"/>
          </w:tcPr>
          <w:p>
            <w:pPr>
              <w:spacing w:after="0"/>
              <w:rPr>
                <w:sz w:val="20"/>
                <w:szCs w:val="20"/>
                <w:color w:val="auto"/>
              </w:rPr>
            </w:pPr>
            <w:r>
              <w:rPr>
                <w:rFonts w:ascii="Arial" w:cs="Arial" w:eastAsia="Arial" w:hAnsi="Arial"/>
                <w:sz w:val="16"/>
                <w:szCs w:val="16"/>
                <w:color w:val="auto"/>
              </w:rPr>
              <w:t>(1)</w:t>
            </w:r>
          </w:p>
        </w:tc>
        <w:tc>
          <w:tcPr>
            <w:tcW w:w="9000" w:type="dxa"/>
            <w:vAlign w:val="bottom"/>
            <w:gridSpan w:val="3"/>
          </w:tcPr>
          <w:p>
            <w:pPr>
              <w:ind w:left="60"/>
              <w:spacing w:after="0"/>
              <w:rPr>
                <w:sz w:val="20"/>
                <w:szCs w:val="20"/>
                <w:color w:val="auto"/>
              </w:rPr>
            </w:pPr>
            <w:r>
              <w:rPr>
                <w:rFonts w:ascii="Arial" w:cs="Arial" w:eastAsia="Arial" w:hAnsi="Arial"/>
                <w:sz w:val="16"/>
                <w:szCs w:val="16"/>
                <w:color w:val="auto"/>
              </w:rPr>
              <w:t>Includes AuMs booked in Atlantic Security Bank.</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3"/>
        </w:trPr>
        <w:tc>
          <w:tcPr>
            <w:tcW w:w="240" w:type="dxa"/>
            <w:vAlign w:val="bottom"/>
          </w:tcPr>
          <w:p>
            <w:pPr>
              <w:spacing w:after="0"/>
              <w:rPr>
                <w:sz w:val="20"/>
                <w:szCs w:val="20"/>
                <w:color w:val="auto"/>
              </w:rPr>
            </w:pPr>
            <w:r>
              <w:rPr>
                <w:rFonts w:ascii="Arial" w:cs="Arial" w:eastAsia="Arial" w:hAnsi="Arial"/>
                <w:sz w:val="16"/>
                <w:szCs w:val="16"/>
                <w:color w:val="auto"/>
              </w:rPr>
              <w:t>(2)</w:t>
            </w:r>
          </w:p>
        </w:tc>
        <w:tc>
          <w:tcPr>
            <w:tcW w:w="9000" w:type="dxa"/>
            <w:vAlign w:val="bottom"/>
            <w:gridSpan w:val="3"/>
          </w:tcPr>
          <w:p>
            <w:pPr>
              <w:ind w:left="60"/>
              <w:spacing w:after="0"/>
              <w:rPr>
                <w:sz w:val="20"/>
                <w:szCs w:val="20"/>
                <w:color w:val="auto"/>
              </w:rPr>
            </w:pPr>
            <w:r>
              <w:rPr>
                <w:rFonts w:ascii="Arial" w:cs="Arial" w:eastAsia="Arial" w:hAnsi="Arial"/>
                <w:sz w:val="16"/>
                <w:szCs w:val="16"/>
                <w:color w:val="auto"/>
              </w:rPr>
              <w:t>Estimated. Includes clients with net worth over U.S.$1 million.</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3"/>
        </w:trPr>
        <w:tc>
          <w:tcPr>
            <w:tcW w:w="240" w:type="dxa"/>
            <w:vAlign w:val="bottom"/>
          </w:tcPr>
          <w:p>
            <w:pPr>
              <w:spacing w:after="0"/>
              <w:rPr>
                <w:sz w:val="20"/>
                <w:szCs w:val="20"/>
                <w:color w:val="auto"/>
              </w:rPr>
            </w:pPr>
            <w:r>
              <w:rPr>
                <w:rFonts w:ascii="Arial" w:cs="Arial" w:eastAsia="Arial" w:hAnsi="Arial"/>
                <w:sz w:val="16"/>
                <w:szCs w:val="16"/>
                <w:color w:val="auto"/>
              </w:rPr>
              <w:t>(3)</w:t>
            </w:r>
          </w:p>
        </w:tc>
        <w:tc>
          <w:tcPr>
            <w:tcW w:w="9000" w:type="dxa"/>
            <w:vAlign w:val="bottom"/>
            <w:gridSpan w:val="3"/>
          </w:tcPr>
          <w:p>
            <w:pPr>
              <w:ind w:left="60"/>
              <w:spacing w:after="0"/>
              <w:rPr>
                <w:sz w:val="20"/>
                <w:szCs w:val="20"/>
                <w:color w:val="auto"/>
              </w:rPr>
            </w:pPr>
            <w:r>
              <w:rPr>
                <w:rFonts w:ascii="Arial" w:cs="Arial" w:eastAsia="Arial" w:hAnsi="Arial"/>
                <w:sz w:val="16"/>
                <w:szCs w:val="16"/>
                <w:color w:val="auto"/>
              </w:rPr>
              <w:t>Does not include Ultraserfinco and subsidiaries.</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3"/>
        </w:trPr>
        <w:tc>
          <w:tcPr>
            <w:tcW w:w="240" w:type="dxa"/>
            <w:vAlign w:val="bottom"/>
          </w:tcPr>
          <w:p>
            <w:pPr>
              <w:spacing w:after="0"/>
              <w:rPr>
                <w:sz w:val="24"/>
                <w:szCs w:val="24"/>
                <w:color w:val="auto"/>
              </w:rPr>
            </w:pPr>
          </w:p>
        </w:tc>
        <w:tc>
          <w:tcPr>
            <w:tcW w:w="9000" w:type="dxa"/>
            <w:vAlign w:val="bottom"/>
            <w:gridSpan w:val="3"/>
          </w:tcPr>
          <w:p>
            <w:pPr>
              <w:ind w:left="60"/>
              <w:spacing w:after="0"/>
              <w:rPr>
                <w:sz w:val="20"/>
                <w:szCs w:val="20"/>
                <w:color w:val="auto"/>
              </w:rPr>
            </w:pPr>
            <w:r>
              <w:rPr>
                <w:rFonts w:ascii="Arial" w:cs="Arial" w:eastAsia="Arial" w:hAnsi="Arial"/>
                <w:sz w:val="16"/>
                <w:szCs w:val="16"/>
                <w:i w:val="1"/>
                <w:iCs w:val="1"/>
                <w:color w:val="auto"/>
              </w:rPr>
              <w:t>Other Relevant Businesses</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85" w:lineRule="exact"/>
        <w:rPr>
          <w:sz w:val="20"/>
          <w:szCs w:val="20"/>
          <w:color w:val="auto"/>
        </w:rPr>
      </w:pPr>
    </w:p>
    <w:p>
      <w:pPr>
        <w:jc w:val="both"/>
        <w:ind w:firstLine="295"/>
        <w:spacing w:after="0" w:line="287" w:lineRule="auto"/>
        <w:rPr>
          <w:sz w:val="20"/>
          <w:szCs w:val="20"/>
          <w:color w:val="auto"/>
        </w:rPr>
      </w:pPr>
      <w:r>
        <w:rPr>
          <w:rFonts w:ascii="Arial" w:cs="Arial" w:eastAsia="Arial" w:hAnsi="Arial"/>
          <w:sz w:val="16"/>
          <w:szCs w:val="16"/>
          <w:color w:val="auto"/>
        </w:rPr>
        <w:t>Our trust services business, which mainly includes income from custody of securities in Peru and administration of trusts in Peru and Colombia, demonstrated positive results in the three months ended March 31, 2020 with an increase of 15% compared to the three months ended March 31, 2019.</w:t>
      </w:r>
    </w:p>
    <w:p>
      <w:pPr>
        <w:spacing w:after="0" w:line="150" w:lineRule="exact"/>
        <w:rPr>
          <w:sz w:val="20"/>
          <w:szCs w:val="20"/>
          <w:color w:val="auto"/>
        </w:rPr>
      </w:pPr>
    </w:p>
    <w:p>
      <w:pPr>
        <w:ind w:right="60" w:firstLine="295"/>
        <w:spacing w:after="0" w:line="264" w:lineRule="auto"/>
        <w:rPr>
          <w:sz w:val="20"/>
          <w:szCs w:val="20"/>
          <w:color w:val="auto"/>
        </w:rPr>
      </w:pPr>
      <w:r>
        <w:rPr>
          <w:rFonts w:ascii="Arial" w:cs="Arial" w:eastAsia="Arial" w:hAnsi="Arial"/>
          <w:sz w:val="16"/>
          <w:szCs w:val="16"/>
          <w:color w:val="auto"/>
        </w:rPr>
        <w:t>Finally, treasury income decreased in the three months ended March 31, 2020 compared to the three months ended March 31, 2020, mainly because we realized gains from selling securities within our ALM portfolio in Atlantic Security Bank in the three months ended March 31, 2019, which gains were not repeated in 2020. In addition, revenues were also affected by the financial crisis in connection with the COVID-19 pandemic. We recorded negative foreign exchange rate results from positions in foreign currency, and the ALM portfolio in Atlantic Security Bank was negatively impacted by sovereign and corporate spreads on interest rates, leading to a deterioration in Atlantic Security Bank’s net equity</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 and History</w:t>
      </w:r>
    </w:p>
    <w:p>
      <w:pPr>
        <w:spacing w:after="0" w:line="213" w:lineRule="exact"/>
        <w:rPr>
          <w:sz w:val="20"/>
          <w:szCs w:val="20"/>
          <w:color w:val="auto"/>
        </w:rPr>
      </w:pPr>
    </w:p>
    <w:p>
      <w:pPr>
        <w:ind w:right="100" w:firstLine="295"/>
        <w:spacing w:after="0" w:line="287" w:lineRule="auto"/>
        <w:rPr>
          <w:sz w:val="20"/>
          <w:szCs w:val="20"/>
          <w:color w:val="auto"/>
        </w:rPr>
      </w:pPr>
      <w:r>
        <w:rPr>
          <w:rFonts w:ascii="Arial" w:cs="Arial" w:eastAsia="Arial" w:hAnsi="Arial"/>
          <w:sz w:val="16"/>
          <w:szCs w:val="16"/>
          <w:color w:val="auto"/>
        </w:rPr>
        <w:t>It is our policy to pay cash dividends each year in an amount not less than 25% of our consolidated net profits based on the last audited financial accounts. The Board of Directors takes into consideration the following when deciding to distribute dividends:</w:t>
      </w:r>
    </w:p>
    <w:p>
      <w:pPr>
        <w:spacing w:after="0" w:line="150" w:lineRule="exact"/>
        <w:rPr>
          <w:sz w:val="20"/>
          <w:szCs w:val="20"/>
          <w:color w:val="auto"/>
        </w:rPr>
      </w:pPr>
    </w:p>
    <w:p>
      <w:pPr>
        <w:ind w:left="580" w:hanging="287"/>
        <w:spacing w:after="0"/>
        <w:tabs>
          <w:tab w:leader="none" w:pos="5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availability of dividends from the Company’s subsidiaries;</w:t>
      </w:r>
    </w:p>
    <w:p>
      <w:pPr>
        <w:spacing w:after="0" w:line="209" w:lineRule="exact"/>
        <w:rPr>
          <w:rFonts w:ascii="Arial" w:cs="Arial" w:eastAsia="Arial" w:hAnsi="Arial"/>
          <w:sz w:val="16"/>
          <w:szCs w:val="16"/>
          <w:color w:val="auto"/>
        </w:rPr>
      </w:pPr>
    </w:p>
    <w:p>
      <w:pPr>
        <w:ind w:left="580" w:right="20" w:hanging="287"/>
        <w:spacing w:after="0" w:line="287" w:lineRule="auto"/>
        <w:tabs>
          <w:tab w:leader="none" w:pos="5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whether the declaration and payment of dividends would cause the Company to breach any applicable laws or adversely impact the equity growth requirements of the Company or its subsidiaries;</w:t>
      </w:r>
    </w:p>
    <w:p>
      <w:pPr>
        <w:spacing w:after="0" w:line="149" w:lineRule="exact"/>
        <w:rPr>
          <w:rFonts w:ascii="Arial" w:cs="Arial" w:eastAsia="Arial" w:hAnsi="Arial"/>
          <w:sz w:val="16"/>
          <w:szCs w:val="16"/>
          <w:color w:val="auto"/>
        </w:rPr>
      </w:pPr>
    </w:p>
    <w:p>
      <w:pPr>
        <w:ind w:left="580" w:hanging="287"/>
        <w:spacing w:after="0"/>
        <w:tabs>
          <w:tab w:leader="none" w:pos="5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financial performance of the Company;</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general business and economic-financial conditions affecting the Company; and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any other factors which the Board may deem relevant.</w:t>
      </w:r>
    </w:p>
    <w:p>
      <w:pPr>
        <w:spacing w:after="0" w:line="209" w:lineRule="exact"/>
        <w:rPr>
          <w:sz w:val="20"/>
          <w:szCs w:val="20"/>
          <w:color w:val="auto"/>
        </w:rPr>
      </w:pPr>
    </w:p>
    <w:p>
      <w:pPr>
        <w:ind w:right="220" w:firstLine="295"/>
        <w:spacing w:after="0" w:line="287" w:lineRule="auto"/>
        <w:rPr>
          <w:sz w:val="20"/>
          <w:szCs w:val="20"/>
          <w:color w:val="auto"/>
        </w:rPr>
      </w:pPr>
      <w:r>
        <w:rPr>
          <w:rFonts w:ascii="Arial" w:cs="Arial" w:eastAsia="Arial" w:hAnsi="Arial"/>
          <w:sz w:val="16"/>
          <w:szCs w:val="16"/>
          <w:color w:val="auto"/>
        </w:rPr>
        <w:t>Under Bermuda Law, any dividend may only be declared and paid if (i) the Company is able to pay its liabilities as they become due, and (ii) the realizable value of the Company’s assets would not thereby be less than its liabilities.</w:t>
      </w:r>
    </w:p>
    <w:p>
      <w:pPr>
        <w:spacing w:after="0" w:line="150" w:lineRule="exact"/>
        <w:rPr>
          <w:sz w:val="20"/>
          <w:szCs w:val="20"/>
          <w:color w:val="auto"/>
        </w:rPr>
      </w:pPr>
    </w:p>
    <w:p>
      <w:pPr>
        <w:ind w:right="220" w:firstLine="295"/>
        <w:spacing w:after="0" w:line="289" w:lineRule="auto"/>
        <w:rPr>
          <w:sz w:val="20"/>
          <w:szCs w:val="20"/>
          <w:color w:val="auto"/>
        </w:rPr>
      </w:pPr>
      <w:r>
        <w:rPr>
          <w:rFonts w:ascii="Arial" w:cs="Arial" w:eastAsia="Arial" w:hAnsi="Arial"/>
          <w:sz w:val="15"/>
          <w:szCs w:val="15"/>
          <w:color w:val="auto"/>
        </w:rPr>
        <w:t>The Board of Directors may in its sole discretion declare and pay a dividend below 25% if any of the above mentioned conditions are not met. Subject to the foregoing, it is expected that regular dividend payments are to be made once a year within 90 calendar days of the meeting held by the Board to approve the dividend declaration. No interim dividends are to be paid. In certain years the payment of extraordinary dividends could be done if previously approved by the board of directors. This policy has been in force since fiscal year 2016, and will continue to be applicable until amended or rescinded by the Board of Directors.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438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44" w:name="page145"/>
    <w:bookmarkEnd w:id="144"/>
    <w:p>
      <w:pPr>
        <w:ind w:left="2" w:right="140" w:firstLine="295"/>
        <w:spacing w:after="0" w:line="287" w:lineRule="auto"/>
        <w:rPr>
          <w:sz w:val="20"/>
          <w:szCs w:val="20"/>
          <w:color w:val="auto"/>
        </w:rPr>
      </w:pPr>
      <w:r>
        <w:rPr>
          <w:rFonts w:ascii="Arial" w:cs="Arial" w:eastAsia="Arial" w:hAnsi="Arial"/>
          <w:sz w:val="16"/>
          <w:szCs w:val="16"/>
          <w:color w:val="auto"/>
        </w:rPr>
        <w:t>The following table sets forth the net cash dividends available to Credicorp Ltd, as principal shareholder, from other group companies in 2015, 2016, 2017, 2018 and 2019, as derived from Credicorp's standalone financial statements as of and for the years ended December 31, 2019 and 2018:</w:t>
      </w:r>
    </w:p>
    <w:p>
      <w:pPr>
        <w:spacing w:after="0" w:line="146" w:lineRule="exact"/>
        <w:rPr>
          <w:sz w:val="20"/>
          <w:szCs w:val="20"/>
          <w:color w:val="auto"/>
        </w:rPr>
      </w:pPr>
    </w:p>
    <w:p>
      <w:pPr>
        <w:jc w:val="center"/>
        <w:ind w:left="1140"/>
        <w:spacing w:after="0"/>
        <w:rPr>
          <w:sz w:val="20"/>
          <w:szCs w:val="20"/>
          <w:color w:val="auto"/>
        </w:rPr>
      </w:pPr>
      <w:r>
        <w:rPr>
          <w:rFonts w:ascii="Arial" w:cs="Arial" w:eastAsia="Arial" w:hAnsi="Arial"/>
          <w:sz w:val="11"/>
          <w:szCs w:val="11"/>
          <w:b w:val="1"/>
          <w:bCs w:val="1"/>
          <w:color w:val="auto"/>
        </w:rPr>
        <w:t>As of and for the years ended</w:t>
      </w:r>
    </w:p>
    <w:p>
      <w:pPr>
        <w:spacing w:after="0" w:line="8" w:lineRule="exact"/>
        <w:rPr>
          <w:sz w:val="20"/>
          <w:szCs w:val="20"/>
          <w:color w:val="auto"/>
        </w:rPr>
      </w:pPr>
    </w:p>
    <w:p>
      <w:pPr>
        <w:jc w:val="center"/>
        <w:ind w:left="1140"/>
        <w:spacing w:after="0"/>
        <w:rPr>
          <w:sz w:val="20"/>
          <w:szCs w:val="20"/>
          <w:color w:val="auto"/>
        </w:rPr>
      </w:pPr>
      <w:r>
        <w:rPr>
          <w:rFonts w:ascii="Arial" w:cs="Arial" w:eastAsia="Arial" w:hAnsi="Arial"/>
          <w:sz w:val="11"/>
          <w:szCs w:val="11"/>
          <w:b w:val="1"/>
          <w:bCs w:val="1"/>
          <w:color w:val="auto"/>
        </w:rPr>
        <w:t>December 31,</w:t>
      </w:r>
    </w:p>
    <w:tbl>
      <w:tblPr>
        <w:tblLayout w:type="fixed"/>
        <w:tblInd w:w="2" w:type="dxa"/>
        <w:tblCellMar>
          <w:top w:w="0" w:type="dxa"/>
          <w:left w:w="0" w:type="dxa"/>
          <w:bottom w:w="0" w:type="dxa"/>
          <w:right w:w="0" w:type="dxa"/>
        </w:tblCellMar>
      </w:tblPr>
      <w:tr>
        <w:trPr>
          <w:trHeight w:val="127"/>
        </w:trPr>
        <w:tc>
          <w:tcPr>
            <w:tcW w:w="1260" w:type="dxa"/>
            <w:vAlign w:val="bottom"/>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81"/>
              </w:rPr>
              <w:t>2015</w:t>
            </w:r>
          </w:p>
        </w:tc>
        <w:tc>
          <w:tcPr>
            <w:tcW w:w="80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81"/>
              </w:rPr>
              <w:t>2016</w:t>
            </w:r>
          </w:p>
        </w:tc>
        <w:tc>
          <w:tcPr>
            <w:tcW w:w="7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rPr>
              <w:t>2017</w:t>
            </w:r>
          </w:p>
        </w:tc>
        <w:tc>
          <w:tcPr>
            <w:tcW w:w="72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rPr>
              <w:t>2018</w:t>
            </w:r>
          </w:p>
        </w:tc>
        <w:tc>
          <w:tcPr>
            <w:tcW w:w="70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rPr>
              <w:t>2019</w:t>
            </w:r>
          </w:p>
        </w:tc>
        <w:tc>
          <w:tcPr>
            <w:tcW w:w="720" w:type="dxa"/>
            <w:vAlign w:val="bottom"/>
            <w:tcBorders>
              <w:top w:val="single" w:sz="8" w:color="auto"/>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99"/>
        </w:trPr>
        <w:tc>
          <w:tcPr>
            <w:tcW w:w="1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5"/>
              </w:rPr>
              <w:t>(U.S.</w:t>
            </w: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5"/>
              </w:rPr>
              <w:t>(U.S.</w:t>
            </w: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5"/>
              </w:rPr>
              <w:t>(U.S.</w:t>
            </w: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jc w:val="center"/>
              <w:ind w:right="3"/>
              <w:spacing w:after="0" w:line="100" w:lineRule="exact"/>
              <w:rPr>
                <w:sz w:val="20"/>
                <w:szCs w:val="20"/>
                <w:color w:val="auto"/>
              </w:rPr>
            </w:pPr>
            <w:r>
              <w:rPr>
                <w:rFonts w:ascii="Arial" w:cs="Arial" w:eastAsia="Arial" w:hAnsi="Arial"/>
                <w:sz w:val="11"/>
                <w:szCs w:val="11"/>
                <w:b w:val="1"/>
                <w:bCs w:val="1"/>
                <w:color w:val="auto"/>
                <w:w w:val="95"/>
              </w:rPr>
              <w:t>(U.S.</w:t>
            </w: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5"/>
              </w:rPr>
              <w:t>(U.S.</w:t>
            </w:r>
          </w:p>
        </w:tc>
        <w:tc>
          <w:tcPr>
            <w:tcW w:w="100" w:type="dxa"/>
            <w:vAlign w:val="bottom"/>
            <w:gridSpan w:val="2"/>
          </w:tcPr>
          <w:p>
            <w:pPr>
              <w:spacing w:after="0"/>
              <w:rPr>
                <w:sz w:val="8"/>
                <w:szCs w:val="8"/>
                <w:color w:val="auto"/>
              </w:rPr>
            </w:pPr>
          </w:p>
        </w:tc>
      </w:tr>
      <w:tr>
        <w:trPr>
          <w:trHeight w:val="123"/>
        </w:trPr>
        <w:tc>
          <w:tcPr>
            <w:tcW w:w="1260" w:type="dxa"/>
            <w:vAlign w:val="bottom"/>
          </w:tcPr>
          <w:p>
            <w:pPr>
              <w:spacing w:after="0"/>
              <w:rPr>
                <w:sz w:val="10"/>
                <w:szCs w:val="10"/>
                <w:color w:val="auto"/>
              </w:rPr>
            </w:pPr>
          </w:p>
        </w:tc>
        <w:tc>
          <w:tcPr>
            <w:tcW w:w="620" w:type="dxa"/>
            <w:vAlign w:val="bottom"/>
          </w:tcPr>
          <w:p>
            <w:pPr>
              <w:ind w:left="180"/>
              <w:spacing w:after="0" w:line="123" w:lineRule="exact"/>
              <w:rPr>
                <w:sz w:val="20"/>
                <w:szCs w:val="20"/>
                <w:color w:val="auto"/>
              </w:rPr>
            </w:pPr>
            <w:r>
              <w:rPr>
                <w:rFonts w:ascii="Arial" w:cs="Arial" w:eastAsia="Arial" w:hAnsi="Arial"/>
                <w:sz w:val="11"/>
                <w:szCs w:val="11"/>
                <w:b w:val="1"/>
                <w:bCs w:val="1"/>
                <w:color w:val="auto"/>
                <w:w w:val="91"/>
              </w:rPr>
              <w:t>(Soles in</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center"/>
              <w:ind w:right="260"/>
              <w:spacing w:after="0" w:line="123" w:lineRule="exact"/>
              <w:rPr>
                <w:sz w:val="20"/>
                <w:szCs w:val="20"/>
                <w:color w:val="auto"/>
              </w:rPr>
            </w:pPr>
            <w:r>
              <w:rPr>
                <w:rFonts w:ascii="Arial" w:cs="Arial" w:eastAsia="Arial" w:hAnsi="Arial"/>
                <w:sz w:val="11"/>
                <w:szCs w:val="11"/>
                <w:b w:val="1"/>
                <w:bCs w:val="1"/>
                <w:color w:val="auto"/>
                <w:w w:val="93"/>
              </w:rPr>
              <w:t>dollars in</w:t>
            </w:r>
          </w:p>
        </w:tc>
        <w:tc>
          <w:tcPr>
            <w:tcW w:w="800" w:type="dxa"/>
            <w:vAlign w:val="bottom"/>
          </w:tcPr>
          <w:p>
            <w:pPr>
              <w:jc w:val="right"/>
              <w:ind w:right="143"/>
              <w:spacing w:after="0" w:line="123" w:lineRule="exact"/>
              <w:rPr>
                <w:sz w:val="20"/>
                <w:szCs w:val="20"/>
                <w:color w:val="auto"/>
              </w:rPr>
            </w:pPr>
            <w:r>
              <w:rPr>
                <w:rFonts w:ascii="Arial" w:cs="Arial" w:eastAsia="Arial" w:hAnsi="Arial"/>
                <w:sz w:val="11"/>
                <w:szCs w:val="11"/>
                <w:b w:val="1"/>
                <w:bCs w:val="1"/>
                <w:color w:val="auto"/>
              </w:rPr>
              <w:t>(Soles in</w:t>
            </w:r>
          </w:p>
        </w:tc>
        <w:tc>
          <w:tcPr>
            <w:tcW w:w="240" w:type="dxa"/>
            <w:vAlign w:val="bottom"/>
          </w:tcPr>
          <w:p>
            <w:pPr>
              <w:spacing w:after="0"/>
              <w:rPr>
                <w:sz w:val="10"/>
                <w:szCs w:val="10"/>
                <w:color w:val="auto"/>
              </w:rPr>
            </w:pPr>
          </w:p>
        </w:tc>
        <w:tc>
          <w:tcPr>
            <w:tcW w:w="1020" w:type="dxa"/>
            <w:vAlign w:val="bottom"/>
            <w:gridSpan w:val="2"/>
          </w:tcPr>
          <w:p>
            <w:pPr>
              <w:jc w:val="center"/>
              <w:ind w:right="240"/>
              <w:spacing w:after="0" w:line="123" w:lineRule="exact"/>
              <w:rPr>
                <w:sz w:val="20"/>
                <w:szCs w:val="20"/>
                <w:color w:val="auto"/>
              </w:rPr>
            </w:pPr>
            <w:r>
              <w:rPr>
                <w:rFonts w:ascii="Arial" w:cs="Arial" w:eastAsia="Arial" w:hAnsi="Arial"/>
                <w:sz w:val="11"/>
                <w:szCs w:val="11"/>
                <w:b w:val="1"/>
                <w:bCs w:val="1"/>
                <w:color w:val="auto"/>
                <w:w w:val="93"/>
              </w:rPr>
              <w:t>dollars in</w:t>
            </w:r>
          </w:p>
        </w:tc>
        <w:tc>
          <w:tcPr>
            <w:tcW w:w="1040" w:type="dxa"/>
            <w:vAlign w:val="bottom"/>
            <w:gridSpan w:val="3"/>
          </w:tcPr>
          <w:p>
            <w:pPr>
              <w:ind w:left="180"/>
              <w:spacing w:after="0" w:line="123" w:lineRule="exact"/>
              <w:rPr>
                <w:sz w:val="20"/>
                <w:szCs w:val="20"/>
                <w:color w:val="auto"/>
              </w:rPr>
            </w:pPr>
            <w:r>
              <w:rPr>
                <w:rFonts w:ascii="Arial" w:cs="Arial" w:eastAsia="Arial" w:hAnsi="Arial"/>
                <w:sz w:val="11"/>
                <w:szCs w:val="11"/>
                <w:b w:val="1"/>
                <w:bCs w:val="1"/>
                <w:color w:val="auto"/>
              </w:rPr>
              <w:t>(Soles in</w:t>
            </w:r>
          </w:p>
        </w:tc>
        <w:tc>
          <w:tcPr>
            <w:tcW w:w="940" w:type="dxa"/>
            <w:vAlign w:val="bottom"/>
            <w:gridSpan w:val="2"/>
          </w:tcPr>
          <w:p>
            <w:pPr>
              <w:jc w:val="center"/>
              <w:ind w:right="280"/>
              <w:spacing w:after="0" w:line="123" w:lineRule="exact"/>
              <w:rPr>
                <w:sz w:val="20"/>
                <w:szCs w:val="20"/>
                <w:color w:val="auto"/>
              </w:rPr>
            </w:pPr>
            <w:r>
              <w:rPr>
                <w:rFonts w:ascii="Arial" w:cs="Arial" w:eastAsia="Arial" w:hAnsi="Arial"/>
                <w:sz w:val="11"/>
                <w:szCs w:val="11"/>
                <w:b w:val="1"/>
                <w:bCs w:val="1"/>
                <w:color w:val="auto"/>
                <w:w w:val="93"/>
              </w:rPr>
              <w:t>dollars in</w:t>
            </w:r>
          </w:p>
        </w:tc>
        <w:tc>
          <w:tcPr>
            <w:tcW w:w="1060" w:type="dxa"/>
            <w:vAlign w:val="bottom"/>
            <w:gridSpan w:val="3"/>
          </w:tcPr>
          <w:p>
            <w:pPr>
              <w:ind w:left="180"/>
              <w:spacing w:after="0" w:line="123" w:lineRule="exact"/>
              <w:rPr>
                <w:sz w:val="20"/>
                <w:szCs w:val="20"/>
                <w:color w:val="auto"/>
              </w:rPr>
            </w:pPr>
            <w:r>
              <w:rPr>
                <w:rFonts w:ascii="Arial" w:cs="Arial" w:eastAsia="Arial" w:hAnsi="Arial"/>
                <w:sz w:val="11"/>
                <w:szCs w:val="11"/>
                <w:b w:val="1"/>
                <w:bCs w:val="1"/>
                <w:color w:val="auto"/>
              </w:rPr>
              <w:t>(Soles in</w:t>
            </w:r>
          </w:p>
        </w:tc>
        <w:tc>
          <w:tcPr>
            <w:tcW w:w="940" w:type="dxa"/>
            <w:vAlign w:val="bottom"/>
            <w:gridSpan w:val="2"/>
          </w:tcPr>
          <w:p>
            <w:pPr>
              <w:jc w:val="center"/>
              <w:ind w:right="280"/>
              <w:spacing w:after="0" w:line="123" w:lineRule="exact"/>
              <w:rPr>
                <w:sz w:val="20"/>
                <w:szCs w:val="20"/>
                <w:color w:val="auto"/>
              </w:rPr>
            </w:pPr>
            <w:r>
              <w:rPr>
                <w:rFonts w:ascii="Arial" w:cs="Arial" w:eastAsia="Arial" w:hAnsi="Arial"/>
                <w:sz w:val="11"/>
                <w:szCs w:val="11"/>
                <w:b w:val="1"/>
                <w:bCs w:val="1"/>
                <w:color w:val="auto"/>
                <w:w w:val="93"/>
              </w:rPr>
              <w:t>dollars in</w:t>
            </w:r>
          </w:p>
        </w:tc>
        <w:tc>
          <w:tcPr>
            <w:tcW w:w="1040" w:type="dxa"/>
            <w:vAlign w:val="bottom"/>
            <w:gridSpan w:val="3"/>
          </w:tcPr>
          <w:p>
            <w:pPr>
              <w:ind w:left="180"/>
              <w:spacing w:after="0" w:line="123" w:lineRule="exact"/>
              <w:rPr>
                <w:sz w:val="20"/>
                <w:szCs w:val="20"/>
                <w:color w:val="auto"/>
              </w:rPr>
            </w:pPr>
            <w:r>
              <w:rPr>
                <w:rFonts w:ascii="Arial" w:cs="Arial" w:eastAsia="Arial" w:hAnsi="Arial"/>
                <w:sz w:val="11"/>
                <w:szCs w:val="11"/>
                <w:b w:val="1"/>
                <w:bCs w:val="1"/>
                <w:color w:val="auto"/>
              </w:rPr>
              <w:t>(Soles in</w:t>
            </w:r>
          </w:p>
        </w:tc>
        <w:tc>
          <w:tcPr>
            <w:tcW w:w="820" w:type="dxa"/>
            <w:vAlign w:val="bottom"/>
            <w:gridSpan w:val="3"/>
          </w:tcPr>
          <w:p>
            <w:pPr>
              <w:jc w:val="center"/>
              <w:ind w:right="160"/>
              <w:spacing w:after="0" w:line="123" w:lineRule="exact"/>
              <w:rPr>
                <w:sz w:val="20"/>
                <w:szCs w:val="20"/>
                <w:color w:val="auto"/>
              </w:rPr>
            </w:pPr>
            <w:r>
              <w:rPr>
                <w:rFonts w:ascii="Arial" w:cs="Arial" w:eastAsia="Arial" w:hAnsi="Arial"/>
                <w:sz w:val="11"/>
                <w:szCs w:val="11"/>
                <w:b w:val="1"/>
                <w:bCs w:val="1"/>
                <w:color w:val="auto"/>
                <w:w w:val="93"/>
              </w:rPr>
              <w:t>dollars in</w:t>
            </w:r>
          </w:p>
        </w:tc>
      </w:tr>
      <w:tr>
        <w:trPr>
          <w:trHeight w:val="139"/>
        </w:trPr>
        <w:tc>
          <w:tcPr>
            <w:tcW w:w="1260" w:type="dxa"/>
            <w:vAlign w:val="bottom"/>
          </w:tcPr>
          <w:p>
            <w:pPr>
              <w:spacing w:after="0"/>
              <w:rPr>
                <w:sz w:val="12"/>
                <w:szCs w:val="12"/>
                <w:color w:val="auto"/>
              </w:rPr>
            </w:pPr>
          </w:p>
        </w:tc>
        <w:tc>
          <w:tcPr>
            <w:tcW w:w="620" w:type="dxa"/>
            <w:vAlign w:val="bottom"/>
          </w:tcPr>
          <w:p>
            <w:pPr>
              <w:ind w:left="180"/>
              <w:spacing w:after="0"/>
              <w:rPr>
                <w:sz w:val="20"/>
                <w:szCs w:val="20"/>
                <w:color w:val="auto"/>
              </w:rPr>
            </w:pPr>
            <w:r>
              <w:rPr>
                <w:rFonts w:ascii="Arial" w:cs="Arial" w:eastAsia="Arial" w:hAnsi="Arial"/>
                <w:sz w:val="11"/>
                <w:szCs w:val="11"/>
                <w:b w:val="1"/>
                <w:bCs w:val="1"/>
                <w:color w:val="auto"/>
                <w:w w:val="92"/>
              </w:rPr>
              <w:t>millions)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millions)(1)</w:t>
            </w:r>
          </w:p>
        </w:tc>
        <w:tc>
          <w:tcPr>
            <w:tcW w:w="800" w:type="dxa"/>
            <w:vAlign w:val="bottom"/>
          </w:tcPr>
          <w:p>
            <w:pPr>
              <w:jc w:val="right"/>
              <w:ind w:right="123"/>
              <w:spacing w:after="0"/>
              <w:rPr>
                <w:sz w:val="20"/>
                <w:szCs w:val="20"/>
                <w:color w:val="auto"/>
              </w:rPr>
            </w:pPr>
            <w:r>
              <w:rPr>
                <w:rFonts w:ascii="Arial" w:cs="Arial" w:eastAsia="Arial" w:hAnsi="Arial"/>
                <w:sz w:val="11"/>
                <w:szCs w:val="11"/>
                <w:b w:val="1"/>
                <w:bCs w:val="1"/>
                <w:color w:val="auto"/>
              </w:rPr>
              <w:t>millions)</w:t>
            </w:r>
          </w:p>
        </w:tc>
        <w:tc>
          <w:tcPr>
            <w:tcW w:w="24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millions)(1)</w:t>
            </w:r>
          </w:p>
        </w:tc>
        <w:tc>
          <w:tcPr>
            <w:tcW w:w="1040" w:type="dxa"/>
            <w:vAlign w:val="bottom"/>
            <w:gridSpan w:val="3"/>
          </w:tcPr>
          <w:p>
            <w:pPr>
              <w:ind w:left="160"/>
              <w:spacing w:after="0"/>
              <w:rPr>
                <w:sz w:val="20"/>
                <w:szCs w:val="20"/>
                <w:color w:val="auto"/>
              </w:rPr>
            </w:pPr>
            <w:r>
              <w:rPr>
                <w:rFonts w:ascii="Arial" w:cs="Arial" w:eastAsia="Arial" w:hAnsi="Arial"/>
                <w:sz w:val="11"/>
                <w:szCs w:val="11"/>
                <w:b w:val="1"/>
                <w:bCs w:val="1"/>
                <w:color w:val="auto"/>
              </w:rPr>
              <w:t>millions)</w:t>
            </w:r>
          </w:p>
        </w:tc>
        <w:tc>
          <w:tcPr>
            <w:tcW w:w="9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millions)(1)</w:t>
            </w:r>
          </w:p>
        </w:tc>
        <w:tc>
          <w:tcPr>
            <w:tcW w:w="1060" w:type="dxa"/>
            <w:vAlign w:val="bottom"/>
            <w:gridSpan w:val="3"/>
          </w:tcPr>
          <w:p>
            <w:pPr>
              <w:ind w:left="180"/>
              <w:spacing w:after="0"/>
              <w:rPr>
                <w:sz w:val="20"/>
                <w:szCs w:val="20"/>
                <w:color w:val="auto"/>
              </w:rPr>
            </w:pPr>
            <w:r>
              <w:rPr>
                <w:rFonts w:ascii="Arial" w:cs="Arial" w:eastAsia="Arial" w:hAnsi="Arial"/>
                <w:sz w:val="11"/>
                <w:szCs w:val="11"/>
                <w:b w:val="1"/>
                <w:bCs w:val="1"/>
                <w:color w:val="auto"/>
              </w:rPr>
              <w:t>millions)</w:t>
            </w:r>
          </w:p>
        </w:tc>
        <w:tc>
          <w:tcPr>
            <w:tcW w:w="9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millions)(1)</w:t>
            </w:r>
          </w:p>
        </w:tc>
        <w:tc>
          <w:tcPr>
            <w:tcW w:w="1040" w:type="dxa"/>
            <w:vAlign w:val="bottom"/>
            <w:gridSpan w:val="3"/>
          </w:tcPr>
          <w:p>
            <w:pPr>
              <w:ind w:left="160"/>
              <w:spacing w:after="0"/>
              <w:rPr>
                <w:sz w:val="20"/>
                <w:szCs w:val="20"/>
                <w:color w:val="auto"/>
              </w:rPr>
            </w:pPr>
            <w:r>
              <w:rPr>
                <w:rFonts w:ascii="Arial" w:cs="Arial" w:eastAsia="Arial" w:hAnsi="Arial"/>
                <w:sz w:val="11"/>
                <w:szCs w:val="11"/>
                <w:b w:val="1"/>
                <w:bCs w:val="1"/>
                <w:color w:val="auto"/>
              </w:rPr>
              <w:t>millions)</w:t>
            </w:r>
          </w:p>
        </w:tc>
        <w:tc>
          <w:tcPr>
            <w:tcW w:w="82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5"/>
              </w:rPr>
              <w:t>millions)(1)</w:t>
            </w:r>
          </w:p>
        </w:tc>
      </w:tr>
      <w:tr>
        <w:trPr>
          <w:trHeight w:val="115"/>
        </w:trPr>
        <w:tc>
          <w:tcPr>
            <w:tcW w:w="12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BCP(2)</w:t>
            </w: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76"/>
              </w:rPr>
              <w:t>376</w:t>
            </w:r>
          </w:p>
        </w:tc>
        <w:tc>
          <w:tcPr>
            <w:tcW w:w="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114</w:t>
            </w:r>
          </w:p>
        </w:tc>
        <w:tc>
          <w:tcPr>
            <w:tcW w:w="2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1,134</w:t>
            </w:r>
          </w:p>
        </w:tc>
        <w:tc>
          <w:tcPr>
            <w:tcW w:w="2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342</w:t>
            </w:r>
          </w:p>
        </w:tc>
        <w:tc>
          <w:tcPr>
            <w:tcW w:w="2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1,425</w:t>
            </w:r>
          </w:p>
        </w:tc>
        <w:tc>
          <w:tcPr>
            <w:tcW w:w="2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430</w:t>
            </w: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1,457</w:t>
            </w:r>
          </w:p>
        </w:tc>
        <w:tc>
          <w:tcPr>
            <w:tcW w:w="2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440</w:t>
            </w:r>
          </w:p>
        </w:tc>
        <w:tc>
          <w:tcPr>
            <w:tcW w:w="2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1,989</w:t>
            </w:r>
          </w:p>
        </w:tc>
        <w:tc>
          <w:tcPr>
            <w:tcW w:w="2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600</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23"/>
        </w:trPr>
        <w:tc>
          <w:tcPr>
            <w:tcW w:w="1880" w:type="dxa"/>
            <w:vAlign w:val="bottom"/>
            <w:gridSpan w:val="2"/>
          </w:tcPr>
          <w:p>
            <w:pPr>
              <w:spacing w:after="0" w:line="123" w:lineRule="exact"/>
              <w:rPr>
                <w:sz w:val="20"/>
                <w:szCs w:val="20"/>
                <w:color w:val="auto"/>
              </w:rPr>
            </w:pPr>
            <w:r>
              <w:rPr>
                <w:rFonts w:ascii="Arial" w:cs="Arial" w:eastAsia="Arial" w:hAnsi="Arial"/>
                <w:sz w:val="11"/>
                <w:szCs w:val="11"/>
                <w:color w:val="auto"/>
              </w:rPr>
              <w:t>Pacifico</w:t>
            </w:r>
          </w:p>
        </w:tc>
        <w:tc>
          <w:tcPr>
            <w:tcW w:w="18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27</w:t>
            </w:r>
          </w:p>
        </w:tc>
        <w:tc>
          <w:tcPr>
            <w:tcW w:w="1280" w:type="dxa"/>
            <w:vAlign w:val="bottom"/>
            <w:gridSpan w:val="3"/>
          </w:tcPr>
          <w:p>
            <w:pPr>
              <w:jc w:val="right"/>
              <w:ind w:right="240"/>
              <w:spacing w:after="0" w:line="123" w:lineRule="exact"/>
              <w:rPr>
                <w:sz w:val="20"/>
                <w:szCs w:val="20"/>
                <w:color w:val="auto"/>
              </w:rPr>
            </w:pPr>
            <w:r>
              <w:rPr>
                <w:rFonts w:ascii="Arial" w:cs="Arial" w:eastAsia="Arial" w:hAnsi="Arial"/>
                <w:sz w:val="11"/>
                <w:szCs w:val="11"/>
                <w:color w:val="auto"/>
              </w:rPr>
              <w:t>8</w:t>
            </w:r>
          </w:p>
        </w:tc>
        <w:tc>
          <w:tcPr>
            <w:tcW w:w="800" w:type="dxa"/>
            <w:vAlign w:val="bottom"/>
          </w:tcPr>
          <w:p>
            <w:pPr>
              <w:jc w:val="right"/>
              <w:spacing w:after="0" w:line="123" w:lineRule="exact"/>
              <w:rPr>
                <w:sz w:val="20"/>
                <w:szCs w:val="20"/>
                <w:color w:val="auto"/>
              </w:rPr>
            </w:pPr>
            <w:r>
              <w:rPr>
                <w:rFonts w:ascii="Arial" w:cs="Arial" w:eastAsia="Arial" w:hAnsi="Arial"/>
                <w:sz w:val="11"/>
                <w:szCs w:val="11"/>
                <w:color w:val="auto"/>
              </w:rPr>
              <w:t>102</w:t>
            </w:r>
          </w:p>
        </w:tc>
        <w:tc>
          <w:tcPr>
            <w:tcW w:w="1260" w:type="dxa"/>
            <w:vAlign w:val="bottom"/>
            <w:gridSpan w:val="3"/>
          </w:tcPr>
          <w:p>
            <w:pPr>
              <w:jc w:val="right"/>
              <w:ind w:right="240"/>
              <w:spacing w:after="0" w:line="123" w:lineRule="exact"/>
              <w:rPr>
                <w:sz w:val="20"/>
                <w:szCs w:val="20"/>
                <w:color w:val="auto"/>
              </w:rPr>
            </w:pPr>
            <w:r>
              <w:rPr>
                <w:rFonts w:ascii="Arial" w:cs="Arial" w:eastAsia="Arial" w:hAnsi="Arial"/>
                <w:sz w:val="11"/>
                <w:szCs w:val="11"/>
                <w:color w:val="auto"/>
              </w:rPr>
              <w:t>31</w:t>
            </w:r>
          </w:p>
        </w:tc>
        <w:tc>
          <w:tcPr>
            <w:tcW w:w="98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243</w:t>
            </w:r>
          </w:p>
        </w:tc>
        <w:tc>
          <w:tcPr>
            <w:tcW w:w="6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1"/>
                <w:szCs w:val="11"/>
                <w:color w:val="auto"/>
              </w:rPr>
              <w:t>73</w:t>
            </w:r>
          </w:p>
        </w:tc>
        <w:tc>
          <w:tcPr>
            <w:tcW w:w="220" w:type="dxa"/>
            <w:vAlign w:val="bottom"/>
          </w:tcPr>
          <w:p>
            <w:pPr>
              <w:spacing w:after="0"/>
              <w:rPr>
                <w:sz w:val="10"/>
                <w:szCs w:val="10"/>
                <w:color w:val="auto"/>
              </w:rPr>
            </w:pPr>
          </w:p>
        </w:tc>
        <w:tc>
          <w:tcPr>
            <w:tcW w:w="10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247</w:t>
            </w:r>
          </w:p>
        </w:tc>
        <w:tc>
          <w:tcPr>
            <w:tcW w:w="60" w:type="dxa"/>
            <w:vAlign w:val="bottom"/>
          </w:tcPr>
          <w:p>
            <w:pPr>
              <w:spacing w:after="0"/>
              <w:rPr>
                <w:sz w:val="10"/>
                <w:szCs w:val="10"/>
                <w:color w:val="auto"/>
              </w:rPr>
            </w:pPr>
          </w:p>
        </w:tc>
        <w:tc>
          <w:tcPr>
            <w:tcW w:w="940" w:type="dxa"/>
            <w:vAlign w:val="bottom"/>
            <w:gridSpan w:val="2"/>
          </w:tcPr>
          <w:p>
            <w:pPr>
              <w:jc w:val="right"/>
              <w:ind w:right="240"/>
              <w:spacing w:after="0" w:line="123" w:lineRule="exact"/>
              <w:rPr>
                <w:sz w:val="20"/>
                <w:szCs w:val="20"/>
                <w:color w:val="auto"/>
              </w:rPr>
            </w:pPr>
            <w:r>
              <w:rPr>
                <w:rFonts w:ascii="Arial" w:cs="Arial" w:eastAsia="Arial" w:hAnsi="Arial"/>
                <w:sz w:val="11"/>
                <w:szCs w:val="11"/>
                <w:color w:val="auto"/>
              </w:rPr>
              <w:t>75</w:t>
            </w:r>
          </w:p>
        </w:tc>
        <w:tc>
          <w:tcPr>
            <w:tcW w:w="98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249</w:t>
            </w:r>
          </w:p>
        </w:tc>
        <w:tc>
          <w:tcPr>
            <w:tcW w:w="60" w:type="dxa"/>
            <w:vAlign w:val="bottom"/>
          </w:tcPr>
          <w:p>
            <w:pPr>
              <w:spacing w:after="0"/>
              <w:rPr>
                <w:sz w:val="10"/>
                <w:szCs w:val="10"/>
                <w:color w:val="auto"/>
              </w:rPr>
            </w:pPr>
          </w:p>
        </w:tc>
        <w:tc>
          <w:tcPr>
            <w:tcW w:w="74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75</w:t>
            </w:r>
          </w:p>
        </w:tc>
        <w:tc>
          <w:tcPr>
            <w:tcW w:w="80" w:type="dxa"/>
            <w:vAlign w:val="bottom"/>
          </w:tcPr>
          <w:p>
            <w:pPr>
              <w:spacing w:after="0"/>
              <w:rPr>
                <w:sz w:val="10"/>
                <w:szCs w:val="10"/>
                <w:color w:val="auto"/>
              </w:rPr>
            </w:pPr>
          </w:p>
        </w:tc>
      </w:tr>
      <w:tr>
        <w:trPr>
          <w:trHeight w:val="123"/>
        </w:trPr>
        <w:tc>
          <w:tcPr>
            <w:tcW w:w="1880" w:type="dxa"/>
            <w:vAlign w:val="bottom"/>
            <w:gridSpan w:val="2"/>
            <w:shd w:val="clear" w:color="auto" w:fill="CCEEFF"/>
          </w:tcPr>
          <w:p>
            <w:pPr>
              <w:spacing w:after="0" w:line="123" w:lineRule="exact"/>
              <w:rPr>
                <w:sz w:val="20"/>
                <w:szCs w:val="20"/>
                <w:color w:val="auto"/>
              </w:rPr>
            </w:pPr>
            <w:r>
              <w:rPr>
                <w:rFonts w:ascii="Arial" w:cs="Arial" w:eastAsia="Arial" w:hAnsi="Arial"/>
                <w:sz w:val="11"/>
                <w:szCs w:val="11"/>
                <w:color w:val="auto"/>
              </w:rPr>
              <w:t>Prima AFP</w:t>
            </w:r>
          </w:p>
        </w:tc>
        <w:tc>
          <w:tcPr>
            <w:tcW w:w="18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w w:val="76"/>
              </w:rPr>
              <w:t>135</w:t>
            </w:r>
          </w:p>
        </w:tc>
        <w:tc>
          <w:tcPr>
            <w:tcW w:w="104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41</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164</w:t>
            </w:r>
          </w:p>
        </w:tc>
        <w:tc>
          <w:tcPr>
            <w:tcW w:w="1260" w:type="dxa"/>
            <w:vAlign w:val="bottom"/>
            <w:gridSpan w:val="3"/>
            <w:shd w:val="clear" w:color="auto" w:fill="CCEEFF"/>
          </w:tcPr>
          <w:p>
            <w:pPr>
              <w:jc w:val="right"/>
              <w:ind w:right="240"/>
              <w:spacing w:after="0" w:line="123" w:lineRule="exact"/>
              <w:rPr>
                <w:sz w:val="20"/>
                <w:szCs w:val="20"/>
                <w:color w:val="auto"/>
              </w:rPr>
            </w:pPr>
            <w:r>
              <w:rPr>
                <w:rFonts w:ascii="Arial" w:cs="Arial" w:eastAsia="Arial" w:hAnsi="Arial"/>
                <w:sz w:val="11"/>
                <w:szCs w:val="11"/>
                <w:color w:val="auto"/>
              </w:rPr>
              <w:t>49</w:t>
            </w:r>
          </w:p>
        </w:tc>
        <w:tc>
          <w:tcPr>
            <w:tcW w:w="98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169</w:t>
            </w: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51</w:t>
            </w:r>
          </w:p>
        </w:tc>
        <w:tc>
          <w:tcPr>
            <w:tcW w:w="22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131</w:t>
            </w: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40"/>
              <w:spacing w:after="0" w:line="123" w:lineRule="exact"/>
              <w:rPr>
                <w:sz w:val="20"/>
                <w:szCs w:val="20"/>
                <w:color w:val="auto"/>
              </w:rPr>
            </w:pPr>
            <w:r>
              <w:rPr>
                <w:rFonts w:ascii="Arial" w:cs="Arial" w:eastAsia="Arial" w:hAnsi="Arial"/>
                <w:sz w:val="11"/>
                <w:szCs w:val="11"/>
                <w:color w:val="auto"/>
              </w:rPr>
              <w:t>39</w:t>
            </w:r>
          </w:p>
        </w:tc>
        <w:tc>
          <w:tcPr>
            <w:tcW w:w="98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131</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40</w:t>
            </w:r>
          </w:p>
        </w:tc>
        <w:tc>
          <w:tcPr>
            <w:tcW w:w="80" w:type="dxa"/>
            <w:vAlign w:val="bottom"/>
            <w:shd w:val="clear" w:color="auto" w:fill="CCEEFF"/>
          </w:tcPr>
          <w:p>
            <w:pPr>
              <w:spacing w:after="0"/>
              <w:rPr>
                <w:sz w:val="10"/>
                <w:szCs w:val="10"/>
                <w:color w:val="auto"/>
              </w:rPr>
            </w:pPr>
          </w:p>
        </w:tc>
      </w:tr>
      <w:tr>
        <w:trPr>
          <w:trHeight w:val="123"/>
        </w:trPr>
        <w:tc>
          <w:tcPr>
            <w:tcW w:w="1880" w:type="dxa"/>
            <w:vAlign w:val="bottom"/>
            <w:gridSpan w:val="2"/>
          </w:tcPr>
          <w:p>
            <w:pPr>
              <w:spacing w:after="0" w:line="123" w:lineRule="exact"/>
              <w:rPr>
                <w:sz w:val="20"/>
                <w:szCs w:val="20"/>
                <w:color w:val="auto"/>
              </w:rPr>
            </w:pPr>
            <w:r>
              <w:rPr>
                <w:rFonts w:ascii="Arial" w:cs="Arial" w:eastAsia="Arial" w:hAnsi="Arial"/>
                <w:sz w:val="11"/>
                <w:szCs w:val="11"/>
                <w:color w:val="auto"/>
              </w:rPr>
              <w:t>ICBSA</w:t>
            </w:r>
          </w:p>
        </w:tc>
        <w:tc>
          <w:tcPr>
            <w:tcW w:w="18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1040" w:type="dxa"/>
            <w:vAlign w:val="bottom"/>
            <w:gridSpan w:val="2"/>
          </w:tcPr>
          <w:p>
            <w:pPr>
              <w:jc w:val="right"/>
              <w:ind w:right="240"/>
              <w:spacing w:after="0" w:line="123"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1020" w:type="dxa"/>
            <w:vAlign w:val="bottom"/>
            <w:gridSpan w:val="2"/>
          </w:tcPr>
          <w:p>
            <w:pPr>
              <w:jc w:val="right"/>
              <w:ind w:right="240"/>
              <w:spacing w:after="0" w:line="123"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3" w:lineRule="exact"/>
              <w:rPr>
                <w:sz w:val="20"/>
                <w:szCs w:val="20"/>
                <w:color w:val="auto"/>
              </w:rPr>
            </w:pPr>
            <w:r>
              <w:rPr>
                <w:rFonts w:ascii="Arial" w:cs="Arial" w:eastAsia="Arial" w:hAnsi="Arial"/>
                <w:sz w:val="11"/>
                <w:szCs w:val="11"/>
                <w:color w:val="auto"/>
              </w:rPr>
              <w:t>47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1"/>
                <w:szCs w:val="11"/>
                <w:color w:val="auto"/>
              </w:rPr>
              <w:t>14</w:t>
            </w:r>
          </w:p>
        </w:tc>
        <w:tc>
          <w:tcPr>
            <w:tcW w:w="220" w:type="dxa"/>
            <w:vAlign w:val="bottom"/>
          </w:tcPr>
          <w:p>
            <w:pPr>
              <w:spacing w:after="0"/>
              <w:rPr>
                <w:sz w:val="10"/>
                <w:szCs w:val="10"/>
                <w:color w:val="auto"/>
              </w:rPr>
            </w:pPr>
          </w:p>
        </w:tc>
        <w:tc>
          <w:tcPr>
            <w:tcW w:w="10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46</w:t>
            </w:r>
          </w:p>
        </w:tc>
        <w:tc>
          <w:tcPr>
            <w:tcW w:w="60" w:type="dxa"/>
            <w:vAlign w:val="bottom"/>
          </w:tcPr>
          <w:p>
            <w:pPr>
              <w:spacing w:after="0"/>
              <w:rPr>
                <w:sz w:val="10"/>
                <w:szCs w:val="10"/>
                <w:color w:val="auto"/>
              </w:rPr>
            </w:pPr>
          </w:p>
        </w:tc>
        <w:tc>
          <w:tcPr>
            <w:tcW w:w="940" w:type="dxa"/>
            <w:vAlign w:val="bottom"/>
            <w:gridSpan w:val="2"/>
          </w:tcPr>
          <w:p>
            <w:pPr>
              <w:jc w:val="right"/>
              <w:ind w:right="240"/>
              <w:spacing w:after="0" w:line="123" w:lineRule="exact"/>
              <w:rPr>
                <w:sz w:val="20"/>
                <w:szCs w:val="20"/>
                <w:color w:val="auto"/>
              </w:rPr>
            </w:pPr>
            <w:r>
              <w:rPr>
                <w:rFonts w:ascii="Arial" w:cs="Arial" w:eastAsia="Arial" w:hAnsi="Arial"/>
                <w:sz w:val="11"/>
                <w:szCs w:val="11"/>
                <w:color w:val="auto"/>
              </w:rPr>
              <w:t>14</w:t>
            </w:r>
          </w:p>
        </w:tc>
        <w:tc>
          <w:tcPr>
            <w:tcW w:w="760" w:type="dxa"/>
            <w:vAlign w:val="bottom"/>
          </w:tcPr>
          <w:p>
            <w:pPr>
              <w:jc w:val="right"/>
              <w:spacing w:after="0" w:line="123" w:lineRule="exact"/>
              <w:rPr>
                <w:sz w:val="20"/>
                <w:szCs w:val="20"/>
                <w:color w:val="auto"/>
              </w:rPr>
            </w:pPr>
            <w:r>
              <w:rPr>
                <w:rFonts w:ascii="Arial" w:cs="Arial" w:eastAsia="Arial" w:hAnsi="Arial"/>
                <w:sz w:val="11"/>
                <w:szCs w:val="11"/>
                <w:color w:val="auto"/>
              </w:rPr>
              <w:t>79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24</w:t>
            </w:r>
          </w:p>
        </w:tc>
        <w:tc>
          <w:tcPr>
            <w:tcW w:w="80" w:type="dxa"/>
            <w:vAlign w:val="bottom"/>
          </w:tcPr>
          <w:p>
            <w:pPr>
              <w:spacing w:after="0"/>
              <w:rPr>
                <w:sz w:val="10"/>
                <w:szCs w:val="10"/>
                <w:color w:val="auto"/>
              </w:rPr>
            </w:pPr>
          </w:p>
        </w:tc>
      </w:tr>
      <w:tr>
        <w:trPr>
          <w:trHeight w:val="123"/>
        </w:trPr>
        <w:tc>
          <w:tcPr>
            <w:tcW w:w="1880" w:type="dxa"/>
            <w:vAlign w:val="bottom"/>
            <w:gridSpan w:val="2"/>
            <w:shd w:val="clear" w:color="auto" w:fill="CCEEFF"/>
          </w:tcPr>
          <w:p>
            <w:pPr>
              <w:spacing w:after="0" w:line="123" w:lineRule="exact"/>
              <w:rPr>
                <w:sz w:val="20"/>
                <w:szCs w:val="20"/>
                <w:color w:val="auto"/>
              </w:rPr>
            </w:pPr>
            <w:r>
              <w:rPr>
                <w:rFonts w:ascii="Arial" w:cs="Arial" w:eastAsia="Arial" w:hAnsi="Arial"/>
                <w:sz w:val="11"/>
                <w:szCs w:val="11"/>
                <w:color w:val="auto"/>
              </w:rPr>
              <w:t>Credicorp Capital</w:t>
            </w:r>
          </w:p>
        </w:tc>
        <w:tc>
          <w:tcPr>
            <w:tcW w:w="18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240"/>
              <w:spacing w:after="0" w:line="123"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40"/>
              <w:spacing w:after="0" w:line="123"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82</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25</w:t>
            </w:r>
          </w:p>
        </w:tc>
        <w:tc>
          <w:tcPr>
            <w:tcW w:w="22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98</w:t>
            </w: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40"/>
              <w:spacing w:after="0" w:line="123" w:lineRule="exact"/>
              <w:rPr>
                <w:sz w:val="20"/>
                <w:szCs w:val="20"/>
                <w:color w:val="auto"/>
              </w:rPr>
            </w:pPr>
            <w:r>
              <w:rPr>
                <w:rFonts w:ascii="Arial" w:cs="Arial" w:eastAsia="Arial" w:hAnsi="Arial"/>
                <w:sz w:val="11"/>
                <w:szCs w:val="11"/>
                <w:color w:val="auto"/>
              </w:rPr>
              <w:t>30</w:t>
            </w:r>
          </w:p>
        </w:tc>
        <w:tc>
          <w:tcPr>
            <w:tcW w:w="98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141</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42</w:t>
            </w:r>
          </w:p>
        </w:tc>
        <w:tc>
          <w:tcPr>
            <w:tcW w:w="80" w:type="dxa"/>
            <w:vAlign w:val="bottom"/>
            <w:shd w:val="clear" w:color="auto" w:fill="CCEEFF"/>
          </w:tcPr>
          <w:p>
            <w:pPr>
              <w:spacing w:after="0"/>
              <w:rPr>
                <w:sz w:val="10"/>
                <w:szCs w:val="10"/>
                <w:color w:val="auto"/>
              </w:rPr>
            </w:pPr>
          </w:p>
        </w:tc>
      </w:tr>
      <w:tr>
        <w:trPr>
          <w:trHeight w:val="123"/>
        </w:trPr>
        <w:tc>
          <w:tcPr>
            <w:tcW w:w="1880" w:type="dxa"/>
            <w:vAlign w:val="bottom"/>
            <w:gridSpan w:val="2"/>
          </w:tcPr>
          <w:p>
            <w:pPr>
              <w:spacing w:after="0" w:line="123" w:lineRule="exact"/>
              <w:rPr>
                <w:sz w:val="20"/>
                <w:szCs w:val="20"/>
                <w:color w:val="auto"/>
              </w:rPr>
            </w:pPr>
            <w:r>
              <w:rPr>
                <w:rFonts w:ascii="Arial" w:cs="Arial" w:eastAsia="Arial" w:hAnsi="Arial"/>
                <w:sz w:val="11"/>
                <w:szCs w:val="11"/>
                <w:color w:val="auto"/>
              </w:rPr>
              <w:t>ASHC(3)</w:t>
            </w:r>
          </w:p>
        </w:tc>
        <w:tc>
          <w:tcPr>
            <w:tcW w:w="18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w w:val="76"/>
              </w:rPr>
              <w:t>115</w:t>
            </w:r>
          </w:p>
        </w:tc>
        <w:tc>
          <w:tcPr>
            <w:tcW w:w="104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35</w:t>
            </w:r>
          </w:p>
        </w:tc>
        <w:tc>
          <w:tcPr>
            <w:tcW w:w="24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1"/>
                <w:szCs w:val="11"/>
                <w:color w:val="auto"/>
              </w:rPr>
              <w:t>18</w:t>
            </w:r>
          </w:p>
        </w:tc>
        <w:tc>
          <w:tcPr>
            <w:tcW w:w="1260" w:type="dxa"/>
            <w:vAlign w:val="bottom"/>
            <w:gridSpan w:val="3"/>
          </w:tcPr>
          <w:p>
            <w:pPr>
              <w:jc w:val="right"/>
              <w:ind w:right="240"/>
              <w:spacing w:after="0" w:line="123" w:lineRule="exact"/>
              <w:rPr>
                <w:sz w:val="20"/>
                <w:szCs w:val="20"/>
                <w:color w:val="auto"/>
              </w:rPr>
            </w:pPr>
            <w:r>
              <w:rPr>
                <w:rFonts w:ascii="Arial" w:cs="Arial" w:eastAsia="Arial" w:hAnsi="Arial"/>
                <w:sz w:val="11"/>
                <w:szCs w:val="11"/>
                <w:color w:val="auto"/>
              </w:rPr>
              <w:t>6</w:t>
            </w:r>
          </w:p>
        </w:tc>
        <w:tc>
          <w:tcPr>
            <w:tcW w:w="98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148</w:t>
            </w:r>
          </w:p>
        </w:tc>
        <w:tc>
          <w:tcPr>
            <w:tcW w:w="6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Arial" w:cs="Arial" w:eastAsia="Arial" w:hAnsi="Arial"/>
                <w:sz w:val="11"/>
                <w:szCs w:val="11"/>
                <w:color w:val="auto"/>
              </w:rPr>
              <w:t>45</w:t>
            </w:r>
          </w:p>
        </w:tc>
        <w:tc>
          <w:tcPr>
            <w:tcW w:w="220" w:type="dxa"/>
            <w:vAlign w:val="bottom"/>
          </w:tcPr>
          <w:p>
            <w:pPr>
              <w:spacing w:after="0"/>
              <w:rPr>
                <w:sz w:val="10"/>
                <w:szCs w:val="10"/>
                <w:color w:val="auto"/>
              </w:rPr>
            </w:pPr>
          </w:p>
        </w:tc>
        <w:tc>
          <w:tcPr>
            <w:tcW w:w="100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129</w:t>
            </w:r>
          </w:p>
        </w:tc>
        <w:tc>
          <w:tcPr>
            <w:tcW w:w="60" w:type="dxa"/>
            <w:vAlign w:val="bottom"/>
          </w:tcPr>
          <w:p>
            <w:pPr>
              <w:spacing w:after="0"/>
              <w:rPr>
                <w:sz w:val="10"/>
                <w:szCs w:val="10"/>
                <w:color w:val="auto"/>
              </w:rPr>
            </w:pPr>
          </w:p>
        </w:tc>
        <w:tc>
          <w:tcPr>
            <w:tcW w:w="940" w:type="dxa"/>
            <w:vAlign w:val="bottom"/>
            <w:gridSpan w:val="2"/>
          </w:tcPr>
          <w:p>
            <w:pPr>
              <w:jc w:val="right"/>
              <w:ind w:right="240"/>
              <w:spacing w:after="0" w:line="123" w:lineRule="exact"/>
              <w:rPr>
                <w:sz w:val="20"/>
                <w:szCs w:val="20"/>
                <w:color w:val="auto"/>
              </w:rPr>
            </w:pPr>
            <w:r>
              <w:rPr>
                <w:rFonts w:ascii="Arial" w:cs="Arial" w:eastAsia="Arial" w:hAnsi="Arial"/>
                <w:sz w:val="11"/>
                <w:szCs w:val="11"/>
                <w:color w:val="auto"/>
              </w:rPr>
              <w:t>39</w:t>
            </w:r>
          </w:p>
        </w:tc>
        <w:tc>
          <w:tcPr>
            <w:tcW w:w="98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407</w:t>
            </w:r>
          </w:p>
        </w:tc>
        <w:tc>
          <w:tcPr>
            <w:tcW w:w="60" w:type="dxa"/>
            <w:vAlign w:val="bottom"/>
          </w:tcPr>
          <w:p>
            <w:pPr>
              <w:spacing w:after="0"/>
              <w:rPr>
                <w:sz w:val="10"/>
                <w:szCs w:val="10"/>
                <w:color w:val="auto"/>
              </w:rPr>
            </w:pPr>
          </w:p>
        </w:tc>
        <w:tc>
          <w:tcPr>
            <w:tcW w:w="74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123</w:t>
            </w:r>
          </w:p>
        </w:tc>
        <w:tc>
          <w:tcPr>
            <w:tcW w:w="80" w:type="dxa"/>
            <w:vAlign w:val="bottom"/>
          </w:tcPr>
          <w:p>
            <w:pPr>
              <w:spacing w:after="0"/>
              <w:rPr>
                <w:sz w:val="10"/>
                <w:szCs w:val="10"/>
                <w:color w:val="auto"/>
              </w:rPr>
            </w:pPr>
          </w:p>
        </w:tc>
      </w:tr>
      <w:tr>
        <w:trPr>
          <w:trHeight w:val="135"/>
        </w:trPr>
        <w:tc>
          <w:tcPr>
            <w:tcW w:w="1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Others(4)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11</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23</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7</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1"/>
                <w:szCs w:val="11"/>
                <w:color w:val="auto"/>
              </w:rPr>
            </w:pPr>
          </w:p>
        </w:tc>
      </w:tr>
      <w:tr>
        <w:trPr>
          <w:trHeight w:val="127"/>
        </w:trPr>
        <w:tc>
          <w:tcPr>
            <w:tcW w:w="126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6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76"/>
              </w:rPr>
              <w:t>694</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209</w:t>
            </w:r>
          </w:p>
        </w:tc>
        <w:tc>
          <w:tcPr>
            <w:tcW w:w="24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1,455</w:t>
            </w:r>
          </w:p>
        </w:tc>
        <w:tc>
          <w:tcPr>
            <w:tcW w:w="24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439</w:t>
            </w:r>
          </w:p>
        </w:tc>
        <w:tc>
          <w:tcPr>
            <w:tcW w:w="24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2,146</w:t>
            </w:r>
          </w:p>
        </w:tc>
        <w:tc>
          <w:tcPr>
            <w:tcW w:w="2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648</w:t>
            </w:r>
          </w:p>
        </w:tc>
        <w:tc>
          <w:tcPr>
            <w:tcW w:w="22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2,132</w:t>
            </w:r>
          </w:p>
        </w:tc>
        <w:tc>
          <w:tcPr>
            <w:tcW w:w="2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643</w:t>
            </w:r>
          </w:p>
        </w:tc>
        <w:tc>
          <w:tcPr>
            <w:tcW w:w="24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3,020</w:t>
            </w:r>
          </w:p>
        </w:tc>
        <w:tc>
          <w:tcPr>
            <w:tcW w:w="2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911</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0"/>
        </w:trPr>
        <w:tc>
          <w:tcPr>
            <w:tcW w:w="1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1786255"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86" w:lineRule="exact"/>
        <w:rPr>
          <w:sz w:val="20"/>
          <w:szCs w:val="20"/>
          <w:color w:val="auto"/>
        </w:rPr>
      </w:pPr>
    </w:p>
    <w:p>
      <w:pPr>
        <w:ind w:left="2"/>
        <w:spacing w:after="0"/>
        <w:rPr>
          <w:sz w:val="20"/>
          <w:szCs w:val="20"/>
          <w:color w:val="auto"/>
        </w:rPr>
      </w:pPr>
      <w:r>
        <w:rPr>
          <w:rFonts w:ascii="Arial" w:cs="Arial" w:eastAsia="Arial" w:hAnsi="Arial"/>
          <w:sz w:val="11"/>
          <w:szCs w:val="11"/>
          <w:color w:val="auto"/>
        </w:rPr>
        <w:t>Source: Credicorp and Grupo Credito Separate Financial Statements as of Years ended December 31, 2019 and 2018.</w:t>
      </w:r>
    </w:p>
    <w:p>
      <w:pPr>
        <w:spacing w:after="0" w:line="82" w:lineRule="exact"/>
        <w:rPr>
          <w:sz w:val="20"/>
          <w:szCs w:val="20"/>
          <w:color w:val="auto"/>
        </w:rPr>
      </w:pPr>
    </w:p>
    <w:p>
      <w:pPr>
        <w:ind w:left="302" w:right="140" w:hanging="302"/>
        <w:spacing w:after="0" w:line="270" w:lineRule="auto"/>
        <w:tabs>
          <w:tab w:leader="none" w:pos="302" w:val="left"/>
        </w:tabs>
        <w:numPr>
          <w:ilvl w:val="0"/>
          <w:numId w:val="147"/>
        </w:numPr>
        <w:rPr>
          <w:rFonts w:ascii="Arial" w:cs="Arial" w:eastAsia="Arial" w:hAnsi="Arial"/>
          <w:sz w:val="11"/>
          <w:szCs w:val="11"/>
          <w:color w:val="auto"/>
        </w:rPr>
      </w:pPr>
      <w:r>
        <w:rPr>
          <w:rFonts w:ascii="Arial" w:cs="Arial" w:eastAsia="Arial" w:hAnsi="Arial"/>
          <w:sz w:val="11"/>
          <w:szCs w:val="11"/>
          <w:color w:val="auto"/>
        </w:rPr>
        <w:t>For the convenience of the reader, data as of and for the period ended December 31, 2015, 2016, 2017, 2018 and 2019 have been translated from Soles into U.S. dollars at a rate of S/3.314 to U.S.$1.00 (the exchange rate as of December 31, 2019 as published by the SBS).</w:t>
      </w:r>
    </w:p>
    <w:p>
      <w:pPr>
        <w:spacing w:after="0" w:line="157" w:lineRule="exact"/>
        <w:rPr>
          <w:rFonts w:ascii="Arial" w:cs="Arial" w:eastAsia="Arial" w:hAnsi="Arial"/>
          <w:sz w:val="11"/>
          <w:szCs w:val="11"/>
          <w:color w:val="auto"/>
        </w:rPr>
      </w:pPr>
    </w:p>
    <w:p>
      <w:pPr>
        <w:ind w:left="302" w:hanging="302"/>
        <w:spacing w:after="0"/>
        <w:tabs>
          <w:tab w:leader="none" w:pos="302" w:val="left"/>
        </w:tabs>
        <w:numPr>
          <w:ilvl w:val="0"/>
          <w:numId w:val="147"/>
        </w:numPr>
        <w:rPr>
          <w:rFonts w:ascii="Arial" w:cs="Arial" w:eastAsia="Arial" w:hAnsi="Arial"/>
          <w:sz w:val="11"/>
          <w:szCs w:val="11"/>
          <w:color w:val="auto"/>
        </w:rPr>
      </w:pPr>
      <w:r>
        <w:rPr>
          <w:rFonts w:ascii="Arial" w:cs="Arial" w:eastAsia="Arial" w:hAnsi="Arial"/>
          <w:sz w:val="11"/>
          <w:szCs w:val="11"/>
          <w:color w:val="auto"/>
        </w:rPr>
        <w:t>Includes dividends received from BCP’s majority participation in Mibanco.</w:t>
      </w:r>
    </w:p>
    <w:p>
      <w:pPr>
        <w:spacing w:after="0" w:line="192" w:lineRule="exact"/>
        <w:rPr>
          <w:rFonts w:ascii="Arial" w:cs="Arial" w:eastAsia="Arial" w:hAnsi="Arial"/>
          <w:sz w:val="11"/>
          <w:szCs w:val="11"/>
          <w:color w:val="auto"/>
        </w:rPr>
      </w:pPr>
    </w:p>
    <w:p>
      <w:pPr>
        <w:ind w:left="302" w:hanging="302"/>
        <w:spacing w:after="0"/>
        <w:tabs>
          <w:tab w:leader="none" w:pos="302" w:val="left"/>
        </w:tabs>
        <w:numPr>
          <w:ilvl w:val="0"/>
          <w:numId w:val="147"/>
        </w:numPr>
        <w:rPr>
          <w:rFonts w:ascii="Arial" w:cs="Arial" w:eastAsia="Arial" w:hAnsi="Arial"/>
          <w:sz w:val="11"/>
          <w:szCs w:val="11"/>
          <w:color w:val="auto"/>
        </w:rPr>
      </w:pPr>
      <w:r>
        <w:rPr>
          <w:rFonts w:ascii="Arial" w:cs="Arial" w:eastAsia="Arial" w:hAnsi="Arial"/>
          <w:sz w:val="11"/>
          <w:szCs w:val="11"/>
          <w:color w:val="auto"/>
        </w:rPr>
        <w:t>Dividends received from Treasury Shares held by ASHC are not included.</w:t>
      </w:r>
    </w:p>
    <w:p>
      <w:pPr>
        <w:spacing w:after="0" w:line="192" w:lineRule="exact"/>
        <w:rPr>
          <w:rFonts w:ascii="Arial" w:cs="Arial" w:eastAsia="Arial" w:hAnsi="Arial"/>
          <w:sz w:val="11"/>
          <w:szCs w:val="11"/>
          <w:color w:val="auto"/>
        </w:rPr>
      </w:pPr>
    </w:p>
    <w:p>
      <w:pPr>
        <w:ind w:left="302" w:hanging="302"/>
        <w:spacing w:after="0"/>
        <w:tabs>
          <w:tab w:leader="none" w:pos="302" w:val="left"/>
        </w:tabs>
        <w:numPr>
          <w:ilvl w:val="0"/>
          <w:numId w:val="147"/>
        </w:numPr>
        <w:rPr>
          <w:rFonts w:ascii="Arial" w:cs="Arial" w:eastAsia="Arial" w:hAnsi="Arial"/>
          <w:sz w:val="11"/>
          <w:szCs w:val="11"/>
          <w:color w:val="auto"/>
        </w:rPr>
      </w:pPr>
      <w:r>
        <w:rPr>
          <w:rFonts w:ascii="Arial" w:cs="Arial" w:eastAsia="Arial" w:hAnsi="Arial"/>
          <w:sz w:val="11"/>
          <w:szCs w:val="11"/>
          <w:color w:val="auto"/>
        </w:rPr>
        <w:t>Includes direct dividends from Mibanco.</w:t>
      </w:r>
    </w:p>
    <w:p>
      <w:pPr>
        <w:spacing w:after="0" w:line="194" w:lineRule="exact"/>
        <w:rPr>
          <w:sz w:val="20"/>
          <w:szCs w:val="20"/>
          <w:color w:val="auto"/>
        </w:rPr>
      </w:pPr>
    </w:p>
    <w:p>
      <w:pPr>
        <w:ind w:left="2" w:right="100" w:firstLine="295"/>
        <w:spacing w:after="0" w:line="271" w:lineRule="auto"/>
        <w:rPr>
          <w:sz w:val="20"/>
          <w:szCs w:val="20"/>
          <w:color w:val="auto"/>
        </w:rPr>
      </w:pPr>
      <w:r>
        <w:rPr>
          <w:rFonts w:ascii="Arial" w:cs="Arial" w:eastAsia="Arial" w:hAnsi="Arial"/>
          <w:sz w:val="16"/>
          <w:szCs w:val="16"/>
          <w:color w:val="auto"/>
        </w:rPr>
        <w:t>We have declared dividends in a total amount of S/2,831 million (U.S.$831 million) in the three months ended March 31, 2020. See “Item 8. Financial Information— 8.A Consolidated Statements and Other Financial Information—(3) Dividend Policy” in our 2019 Form 20-F for additional information on our dividend policy and past payments of dividends.</w:t>
      </w:r>
    </w:p>
    <w:p>
      <w:pPr>
        <w:spacing w:after="0" w:line="159"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5020" w:type="dxa"/>
            <w:vAlign w:val="bottom"/>
          </w:tcPr>
          <w:p>
            <w:pPr>
              <w:spacing w:after="0"/>
              <w:rPr>
                <w:sz w:val="20"/>
                <w:szCs w:val="20"/>
                <w:color w:val="auto"/>
              </w:rPr>
            </w:pPr>
            <w:r>
              <w:rPr>
                <w:rFonts w:ascii="Arial" w:cs="Arial" w:eastAsia="Arial" w:hAnsi="Arial"/>
                <w:sz w:val="16"/>
                <w:szCs w:val="16"/>
                <w:b w:val="1"/>
                <w:bCs w:val="1"/>
                <w:color w:val="auto"/>
              </w:rPr>
              <w:t>Liquidity and Capital Resources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502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Regulatory Capital – BAP</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5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As of</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4"/>
          </w:tcPr>
          <w:p>
            <w:pPr>
              <w:jc w:val="right"/>
              <w:ind w:right="9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top w:val="single" w:sz="8" w:color="auto"/>
            </w:tcBorders>
            <w:gridSpan w:val="2"/>
          </w:tcPr>
          <w:p>
            <w:pPr>
              <w:jc w:val="right"/>
              <w:ind w:right="600"/>
              <w:spacing w:after="0" w:line="173" w:lineRule="exact"/>
              <w:rPr>
                <w:sz w:val="20"/>
                <w:szCs w:val="20"/>
                <w:color w:val="auto"/>
              </w:rPr>
            </w:pPr>
            <w:r>
              <w:rPr>
                <w:rFonts w:ascii="Arial" w:cs="Arial" w:eastAsia="Arial" w:hAnsi="Arial"/>
                <w:sz w:val="16"/>
                <w:szCs w:val="16"/>
                <w:b w:val="1"/>
                <w:bCs w:val="1"/>
                <w:color w:val="auto"/>
              </w:rPr>
              <w:t>March</w:t>
            </w:r>
          </w:p>
        </w:tc>
        <w:tc>
          <w:tcPr>
            <w:tcW w:w="10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98"/>
              <w:spacing w:after="0"/>
              <w:rPr>
                <w:sz w:val="20"/>
                <w:szCs w:val="20"/>
                <w:color w:val="auto"/>
              </w:rPr>
            </w:pPr>
            <w:r>
              <w:rPr>
                <w:rFonts w:ascii="Arial" w:cs="Arial" w:eastAsia="Arial" w:hAnsi="Arial"/>
                <w:sz w:val="16"/>
                <w:szCs w:val="16"/>
                <w:b w:val="1"/>
                <w:bCs w:val="1"/>
                <w:color w:val="auto"/>
              </w:rPr>
              <w:t>31, 2020 /</w:t>
            </w:r>
          </w:p>
        </w:tc>
        <w:tc>
          <w:tcPr>
            <w:tcW w:w="320" w:type="dxa"/>
            <w:vAlign w:val="bottom"/>
          </w:tcPr>
          <w:p>
            <w:pPr>
              <w:spacing w:after="0"/>
              <w:rPr>
                <w:sz w:val="17"/>
                <w:szCs w:val="17"/>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March</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17"/>
                <w:szCs w:val="17"/>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March</w:t>
            </w: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w:t>
            </w: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March</w:t>
            </w:r>
          </w:p>
        </w:tc>
        <w:tc>
          <w:tcPr>
            <w:tcW w:w="13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December</w:t>
            </w:r>
          </w:p>
        </w:tc>
        <w:tc>
          <w:tcPr>
            <w:tcW w:w="1020" w:type="dxa"/>
            <w:vAlign w:val="bottom"/>
          </w:tcPr>
          <w:p>
            <w:pPr>
              <w:jc w:val="right"/>
              <w:ind w:right="98"/>
              <w:spacing w:after="0"/>
              <w:rPr>
                <w:sz w:val="20"/>
                <w:szCs w:val="20"/>
                <w:color w:val="auto"/>
              </w:rPr>
            </w:pPr>
            <w:r>
              <w:rPr>
                <w:rFonts w:ascii="Arial" w:cs="Arial" w:eastAsia="Arial" w:hAnsi="Arial"/>
                <w:sz w:val="16"/>
                <w:szCs w:val="16"/>
                <w:b w:val="1"/>
                <w:bCs w:val="1"/>
                <w:color w:val="auto"/>
              </w:rPr>
              <w:t>31, 2020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20" w:type="dxa"/>
            <w:vAlign w:val="bottom"/>
          </w:tcPr>
          <w:p>
            <w:pPr>
              <w:spacing w:after="0"/>
              <w:rPr>
                <w:sz w:val="18"/>
                <w:szCs w:val="18"/>
                <w:color w:val="auto"/>
              </w:rPr>
            </w:pPr>
          </w:p>
        </w:tc>
        <w:tc>
          <w:tcPr>
            <w:tcW w:w="100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31, 2019</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31, 2019</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31, 2020</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31, 2019</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80" w:type="dxa"/>
            <w:vAlign w:val="bottom"/>
            <w:gridSpan w:val="6"/>
          </w:tcPr>
          <w:p>
            <w:pPr>
              <w:jc w:val="right"/>
              <w:ind w:right="600"/>
              <w:spacing w:after="0"/>
              <w:rPr>
                <w:sz w:val="20"/>
                <w:szCs w:val="20"/>
                <w:color w:val="auto"/>
              </w:rPr>
            </w:pPr>
            <w:r>
              <w:rPr>
                <w:rFonts w:ascii="Arial" w:cs="Arial" w:eastAsia="Arial" w:hAnsi="Arial"/>
                <w:sz w:val="16"/>
                <w:szCs w:val="16"/>
                <w:b w:val="1"/>
                <w:bCs w:val="1"/>
                <w:color w:val="auto"/>
              </w:rPr>
              <w:t>(Soles in thousands, except percentages)</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Regulatory Capital and Capital Adequacy Ratios</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6"/>
                <w:szCs w:val="16"/>
                <w:color w:val="auto"/>
              </w:rPr>
              <w:t>Capital Stock</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1,318,993</w:t>
            </w:r>
          </w:p>
        </w:tc>
        <w:tc>
          <w:tcPr>
            <w:tcW w:w="1000" w:type="dxa"/>
            <w:vAlign w:val="bottom"/>
          </w:tcPr>
          <w:p>
            <w:pPr>
              <w:jc w:val="right"/>
              <w:spacing w:after="0"/>
              <w:rPr>
                <w:sz w:val="20"/>
                <w:szCs w:val="20"/>
                <w:color w:val="auto"/>
              </w:rPr>
            </w:pPr>
            <w:r>
              <w:rPr>
                <w:rFonts w:ascii="Arial" w:cs="Arial" w:eastAsia="Arial" w:hAnsi="Arial"/>
                <w:sz w:val="16"/>
                <w:szCs w:val="16"/>
                <w:color w:val="auto"/>
              </w:rPr>
              <w:t>1,318,993</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1,318,993</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0.0%</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Treasury Stocks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(207,897)</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(207,839)</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(209,309)</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0.7%</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6"/>
                <w:szCs w:val="16"/>
                <w:color w:val="auto"/>
              </w:rPr>
              <w:t>Capital Surplus</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222,349</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226,037</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165,188</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(26.9)%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Legal and Other capital reserves(1)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19,408,876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19,437,645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21,360,272</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9.9%</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6"/>
                <w:szCs w:val="16"/>
                <w:color w:val="auto"/>
              </w:rPr>
              <w:t>Minority interest(2)</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357,833</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393,019</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386,326</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(1.7)%</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Loan loss reserves(3)</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1,575,966</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1,690,510</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1,728,836</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6"/>
                <w:szCs w:val="16"/>
                <w:color w:val="auto"/>
              </w:rPr>
              <w:t>Perpetual subordinated debt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580,650</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Subordinated Debt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4,777,811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4,409,840</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4,568,131</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84"/>
        </w:trPr>
        <w:tc>
          <w:tcPr>
            <w:tcW w:w="5020" w:type="dxa"/>
            <w:vAlign w:val="bottom"/>
          </w:tcPr>
          <w:p>
            <w:pPr>
              <w:spacing w:after="0"/>
              <w:rPr>
                <w:sz w:val="20"/>
                <w:szCs w:val="20"/>
                <w:color w:val="auto"/>
              </w:rPr>
            </w:pPr>
            <w:r>
              <w:rPr>
                <w:rFonts w:ascii="Arial" w:cs="Arial" w:eastAsia="Arial" w:hAnsi="Arial"/>
                <w:sz w:val="16"/>
                <w:szCs w:val="16"/>
                <w:color w:val="auto"/>
              </w:rPr>
              <w:t>Investments in equity and subordinated debt of financial and insurance</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20" w:type="dxa"/>
            <w:vAlign w:val="bottom"/>
          </w:tcPr>
          <w:p>
            <w:pPr>
              <w:ind w:left="160"/>
              <w:spacing w:after="0"/>
              <w:rPr>
                <w:sz w:val="20"/>
                <w:szCs w:val="20"/>
                <w:color w:val="auto"/>
              </w:rPr>
            </w:pPr>
            <w:r>
              <w:rPr>
                <w:rFonts w:ascii="Arial" w:cs="Arial" w:eastAsia="Arial" w:hAnsi="Arial"/>
                <w:sz w:val="16"/>
                <w:szCs w:val="16"/>
                <w:color w:val="auto"/>
              </w:rPr>
              <w:t>companies</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(615,275)</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(700,859)</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(630,805)</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8"/>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(602,485)</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(834,881)</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(819,338)</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184"/>
        </w:trPr>
        <w:tc>
          <w:tcPr>
            <w:tcW w:w="5020" w:type="dxa"/>
            <w:vAlign w:val="bottom"/>
          </w:tcPr>
          <w:p>
            <w:pPr>
              <w:spacing w:after="0"/>
              <w:rPr>
                <w:sz w:val="20"/>
                <w:szCs w:val="20"/>
                <w:color w:val="auto"/>
              </w:rPr>
            </w:pPr>
            <w:r>
              <w:rPr>
                <w:rFonts w:ascii="Arial" w:cs="Arial" w:eastAsia="Arial" w:hAnsi="Arial"/>
                <w:sz w:val="16"/>
                <w:szCs w:val="16"/>
                <w:color w:val="auto"/>
              </w:rPr>
              <w:t>Deduction for subordinated debt limit (50% of Tier I excluding</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20" w:type="dxa"/>
            <w:vAlign w:val="bottom"/>
          </w:tcPr>
          <w:p>
            <w:pPr>
              <w:ind w:left="160"/>
              <w:spacing w:after="0"/>
              <w:rPr>
                <w:sz w:val="20"/>
                <w:szCs w:val="20"/>
                <w:color w:val="auto"/>
              </w:rPr>
            </w:pPr>
            <w:r>
              <w:rPr>
                <w:rFonts w:ascii="Arial" w:cs="Arial" w:eastAsia="Arial" w:hAnsi="Arial"/>
                <w:sz w:val="16"/>
                <w:szCs w:val="16"/>
                <w:color w:val="auto"/>
              </w:rPr>
              <w:t>deductions)(4)</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Deduction for Tier I Limit 50% of Regulatory capital(4)</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20"/>
                <w:szCs w:val="20"/>
                <w:color w:val="auto"/>
              </w:rPr>
            </w:pPr>
            <w:r>
              <w:rPr>
                <w:rFonts w:ascii="Arial" w:cs="Arial" w:eastAsia="Arial" w:hAnsi="Arial"/>
                <w:sz w:val="16"/>
                <w:szCs w:val="16"/>
                <w:b w:val="1"/>
                <w:bCs w:val="1"/>
                <w:color w:val="auto"/>
              </w:rPr>
              <w:t>Total Regulatory Capital (A)</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28,816,810</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25,732,465</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27,868,293</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8.3%</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20"/>
        </w:trPr>
        <w:tc>
          <w:tcPr>
            <w:tcW w:w="50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Tier I(5)</w:t>
            </w: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vMerge w:val="continue"/>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14,827,121</w:t>
            </w:r>
          </w:p>
        </w:tc>
        <w:tc>
          <w:tcPr>
            <w:tcW w:w="240" w:type="dxa"/>
            <w:vAlign w:val="bottom"/>
            <w:vMerge w:val="continue"/>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14,010,215</w:t>
            </w:r>
          </w:p>
        </w:tc>
        <w:tc>
          <w:tcPr>
            <w:tcW w:w="220" w:type="dxa"/>
            <w:vAlign w:val="bottom"/>
            <w:vMerge w:val="continue"/>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15,271,385</w:t>
            </w:r>
          </w:p>
        </w:tc>
        <w:tc>
          <w:tcPr>
            <w:tcW w:w="220" w:type="dxa"/>
            <w:vAlign w:val="bottom"/>
            <w:vMerge w:val="continue"/>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9.08%</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6"/>
                <w:szCs w:val="16"/>
                <w:color w:val="auto"/>
              </w:rPr>
              <w:t>Tier II(6) plus Tier III(7)</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11,989,689</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11,722,249</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12,596,929</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7.5%</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w w:val="97"/>
              </w:rPr>
              <w:t>Financial Consolidated Group (FCG) Regulatory Capital Requirement(8)</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19,595,889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20,750,935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19,925,877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6"/>
                <w:szCs w:val="16"/>
                <w:color w:val="auto"/>
              </w:rPr>
              <w:t>Insurance Consolidated Group (CG) Capital Requirements(9)</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1,019,984</w:t>
            </w:r>
          </w:p>
        </w:tc>
        <w:tc>
          <w:tcPr>
            <w:tcW w:w="1000" w:type="dxa"/>
            <w:vAlign w:val="bottom"/>
          </w:tcPr>
          <w:p>
            <w:pPr>
              <w:jc w:val="right"/>
              <w:spacing w:after="0"/>
              <w:rPr>
                <w:sz w:val="20"/>
                <w:szCs w:val="20"/>
                <w:color w:val="auto"/>
              </w:rPr>
            </w:pPr>
            <w:r>
              <w:rPr>
                <w:rFonts w:ascii="Arial" w:cs="Arial" w:eastAsia="Arial" w:hAnsi="Arial"/>
                <w:sz w:val="16"/>
                <w:szCs w:val="16"/>
                <w:color w:val="auto"/>
              </w:rPr>
              <w:t>1,199,850</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1243,035</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3.6%</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FCG Capital Requirements related to operations with ICG</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(216,360)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(329,262)</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(503,013)</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52.8%</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132.5%</w:t>
            </w:r>
          </w:p>
        </w:tc>
        <w:tc>
          <w:tcPr>
            <w:tcW w:w="0" w:type="dxa"/>
            <w:vAlign w:val="bottom"/>
          </w:tcPr>
          <w:p>
            <w:pPr>
              <w:spacing w:after="0"/>
              <w:rPr>
                <w:sz w:val="1"/>
                <w:szCs w:val="1"/>
                <w:color w:val="auto"/>
              </w:rPr>
            </w:pPr>
          </w:p>
        </w:tc>
      </w:tr>
      <w:tr>
        <w:trPr>
          <w:trHeight w:val="208"/>
        </w:trPr>
        <w:tc>
          <w:tcPr>
            <w:tcW w:w="5020" w:type="dxa"/>
            <w:vAlign w:val="bottom"/>
          </w:tcPr>
          <w:p>
            <w:pPr>
              <w:spacing w:after="0"/>
              <w:rPr>
                <w:sz w:val="20"/>
                <w:szCs w:val="20"/>
                <w:color w:val="auto"/>
              </w:rPr>
            </w:pPr>
            <w:r>
              <w:rPr>
                <w:rFonts w:ascii="Arial" w:cs="Arial" w:eastAsia="Arial" w:hAnsi="Arial"/>
                <w:sz w:val="16"/>
                <w:szCs w:val="16"/>
                <w:color w:val="auto"/>
              </w:rPr>
              <w:t>CG Capital Requirements related to operations with FCG</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02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Total Regulatory Capital Requirements (B)</w:t>
            </w: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vMerge w:val="continue"/>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20,399,513</w:t>
            </w:r>
          </w:p>
        </w:tc>
        <w:tc>
          <w:tcPr>
            <w:tcW w:w="240" w:type="dxa"/>
            <w:vAlign w:val="bottom"/>
            <w:vMerge w:val="continue"/>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21,621,522</w:t>
            </w:r>
          </w:p>
        </w:tc>
        <w:tc>
          <w:tcPr>
            <w:tcW w:w="220" w:type="dxa"/>
            <w:vAlign w:val="bottom"/>
            <w:vMerge w:val="continue"/>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20,665,899</w:t>
            </w:r>
          </w:p>
        </w:tc>
        <w:tc>
          <w:tcPr>
            <w:tcW w:w="220" w:type="dxa"/>
            <w:vAlign w:val="bottom"/>
            <w:vMerge w:val="continue"/>
            <w:shd w:val="clear" w:color="auto" w:fill="CCEEFF"/>
          </w:tcPr>
          <w:p>
            <w:pPr>
              <w:spacing w:after="0"/>
              <w:rPr>
                <w:sz w:val="16"/>
                <w:szCs w:val="16"/>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(4.4)%</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189"/>
        </w:trPr>
        <w:tc>
          <w:tcPr>
            <w:tcW w:w="50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Regulatory Capital Ratio (A) / (B)</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w:t>
            </w:r>
          </w:p>
        </w:tc>
        <w:tc>
          <w:tcPr>
            <w:tcW w:w="2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w:t>
            </w:r>
          </w:p>
        </w:tc>
        <w:tc>
          <w:tcPr>
            <w:tcW w:w="22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w:t>
            </w:r>
          </w:p>
        </w:tc>
        <w:tc>
          <w:tcPr>
            <w:tcW w:w="22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Required Regulatory Capital Ratio(10)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w:t>
            </w:r>
          </w:p>
        </w:tc>
        <w:tc>
          <w:tcPr>
            <w:tcW w:w="2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w:t>
            </w:r>
          </w:p>
        </w:tc>
        <w:tc>
          <w:tcPr>
            <w:tcW w:w="2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87"/>
        </w:trPr>
        <w:tc>
          <w:tcPr>
            <w:tcW w:w="50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33</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2"/>
          </w:cols>
          <w:pgMar w:left="318" w:top="323" w:right="339" w:bottom="1440" w:gutter="0" w:footer="0" w:header="0"/>
        </w:sectPr>
      </w:pPr>
    </w:p>
    <w:bookmarkStart w:id="145" w:name="page146"/>
    <w:bookmarkEnd w:id="145"/>
    <w:p>
      <w:pPr>
        <w:ind w:left="302" w:hanging="302"/>
        <w:spacing w:after="0"/>
        <w:tabs>
          <w:tab w:leader="none" w:pos="302" w:val="left"/>
        </w:tabs>
        <w:numPr>
          <w:ilvl w:val="0"/>
          <w:numId w:val="1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201930</wp:posOffset>
            </wp:positionH>
            <wp:positionV relativeFrom="page">
              <wp:posOffset>213360</wp:posOffset>
            </wp:positionV>
            <wp:extent cx="178625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86255" cy="7620"/>
                    </a:xfrm>
                    <a:prstGeom prst="rect">
                      <a:avLst/>
                    </a:prstGeom>
                    <a:noFill/>
                  </pic:spPr>
                </pic:pic>
              </a:graphicData>
            </a:graphic>
          </wp:anchor>
        </w:drawing>
        <w:t>Legal and other capital reserves include restricted capital reserves (S/14,745 million) and optional capital reserves (S/6,615 million).</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Minority interest includes Tier I (S/386 million).</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48"/>
        </w:numPr>
        <w:rPr>
          <w:rFonts w:ascii="Arial" w:cs="Arial" w:eastAsia="Arial" w:hAnsi="Arial"/>
          <w:sz w:val="15"/>
          <w:szCs w:val="15"/>
          <w:color w:val="auto"/>
        </w:rPr>
      </w:pPr>
      <w:r>
        <w:rPr>
          <w:rFonts w:ascii="Arial" w:cs="Arial" w:eastAsia="Arial" w:hAnsi="Arial"/>
          <w:sz w:val="15"/>
          <w:szCs w:val="15"/>
          <w:color w:val="auto"/>
        </w:rPr>
        <w:t>Up to 1.25% of total Risk-Weighted Assets of Banco de Credito del Perú, Solucion Empresa Administradora Hipotecaria, Mibanco and Atlantic Security Bank.</w:t>
      </w:r>
    </w:p>
    <w:p>
      <w:pPr>
        <w:spacing w:after="0" w:line="220" w:lineRule="exact"/>
        <w:rPr>
          <w:rFonts w:ascii="Arial" w:cs="Arial" w:eastAsia="Arial" w:hAnsi="Arial"/>
          <w:sz w:val="15"/>
          <w:szCs w:val="15"/>
          <w:color w:val="auto"/>
        </w:rPr>
      </w:pPr>
    </w:p>
    <w:p>
      <w:pPr>
        <w:ind w:left="302" w:hanging="302"/>
        <w:spacing w:after="0"/>
        <w:tabs>
          <w:tab w:leader="none" w:pos="30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Tier II plus Tier III cannot be more than 50% of total regulatory capital.</w:t>
      </w:r>
    </w:p>
    <w:p>
      <w:pPr>
        <w:spacing w:after="0" w:line="209" w:lineRule="exact"/>
        <w:rPr>
          <w:rFonts w:ascii="Arial" w:cs="Arial" w:eastAsia="Arial" w:hAnsi="Arial"/>
          <w:sz w:val="16"/>
          <w:szCs w:val="16"/>
          <w:color w:val="auto"/>
        </w:rPr>
      </w:pPr>
    </w:p>
    <w:p>
      <w:pPr>
        <w:ind w:left="302" w:right="260" w:hanging="302"/>
        <w:spacing w:after="0" w:line="287" w:lineRule="auto"/>
        <w:tabs>
          <w:tab w:leader="none" w:pos="30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Tier I is equal to capital plus restricted capital reserves plus Tier I minority interest less goodwill less (0.5 x investment in equity and subordinated debt of financial and insurance companies) plus perpetual subordinated debt.</w:t>
      </w:r>
    </w:p>
    <w:p>
      <w:pPr>
        <w:spacing w:after="0" w:line="149" w:lineRule="exact"/>
        <w:rPr>
          <w:rFonts w:ascii="Arial" w:cs="Arial" w:eastAsia="Arial" w:hAnsi="Arial"/>
          <w:sz w:val="16"/>
          <w:szCs w:val="16"/>
          <w:color w:val="auto"/>
        </w:rPr>
      </w:pPr>
    </w:p>
    <w:p>
      <w:pPr>
        <w:ind w:left="302" w:right="560" w:hanging="302"/>
        <w:spacing w:after="0" w:line="287" w:lineRule="auto"/>
        <w:tabs>
          <w:tab w:leader="none" w:pos="30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Tier II is equal to subordinated debt plus Tier II minority interest plus loan loss reserves less (0.5 x investment in equity and subordinated debt of financial and insurance companies).</w:t>
      </w:r>
    </w:p>
    <w:p>
      <w:pPr>
        <w:spacing w:after="0" w:line="149" w:lineRule="exact"/>
        <w:rPr>
          <w:rFonts w:ascii="Arial" w:cs="Arial" w:eastAsia="Arial" w:hAnsi="Arial"/>
          <w:sz w:val="16"/>
          <w:szCs w:val="16"/>
          <w:color w:val="auto"/>
        </w:rPr>
      </w:pPr>
    </w:p>
    <w:p>
      <w:pPr>
        <w:ind w:left="302" w:hanging="302"/>
        <w:spacing w:after="0"/>
        <w:tabs>
          <w:tab w:leader="none" w:pos="30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Tier III is equal to Subordinated debt covering market risk only.</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Includes regulatory capital requirements of the financial consolidated group.</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Includes regulatory capital requirements of the insurance consolidated group.</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Regulatory Capital / Total Regulatory Capital Requirements (the legal minimum is 1.00).</w:t>
      </w:r>
    </w:p>
    <w:p>
      <w:pPr>
        <w:spacing w:after="0" w:line="200" w:lineRule="exact"/>
        <w:rPr>
          <w:sz w:val="20"/>
          <w:szCs w:val="20"/>
          <w:color w:val="auto"/>
        </w:rPr>
      </w:pPr>
    </w:p>
    <w:p>
      <w:pPr>
        <w:spacing w:after="0" w:line="206" w:lineRule="exact"/>
        <w:rPr>
          <w:sz w:val="20"/>
          <w:szCs w:val="20"/>
          <w:color w:val="auto"/>
        </w:rPr>
      </w:pPr>
    </w:p>
    <w:p>
      <w:pPr>
        <w:ind w:left="2" w:right="80" w:firstLine="295"/>
        <w:spacing w:after="0" w:line="264" w:lineRule="auto"/>
        <w:rPr>
          <w:sz w:val="20"/>
          <w:szCs w:val="20"/>
          <w:color w:val="auto"/>
        </w:rPr>
      </w:pPr>
      <w:r>
        <w:rPr>
          <w:rFonts w:ascii="Arial" w:cs="Arial" w:eastAsia="Arial" w:hAnsi="Arial"/>
          <w:sz w:val="16"/>
          <w:szCs w:val="16"/>
          <w:color w:val="auto"/>
        </w:rPr>
        <w:t>Total regulatory capital at Credicorp as of March 31, 2020 increased 8.3% compared to December 31, 2019 and 3.9% compared to March 31, 2020. This was driven by an increase in legal and other capital reserves and loan loss reserves, reflecting preventive measures to absorb the potential effects of variations in expectations for economic growth in Peru due to the COVID-19 pandemic. Credicorp’s regulatory capital requirement as of March 31, 2020 fell 4.4% compared to December 31, 2019 but increased 1.3% compared to March 31, 2020. SBS relaxed countercyclical capital requirements for Peruvian banks in March 2020, as a precautionary step to help banks cope with the fallout from the COVID-19 pandemic and the related economic crisis.</w:t>
      </w:r>
    </w:p>
    <w:p>
      <w:pPr>
        <w:spacing w:after="0" w:line="167" w:lineRule="exact"/>
        <w:rPr>
          <w:sz w:val="20"/>
          <w:szCs w:val="20"/>
          <w:color w:val="auto"/>
        </w:rPr>
      </w:pPr>
    </w:p>
    <w:p>
      <w:pPr>
        <w:ind w:left="2" w:firstLine="295"/>
        <w:spacing w:after="0" w:line="287" w:lineRule="auto"/>
        <w:rPr>
          <w:sz w:val="20"/>
          <w:szCs w:val="20"/>
          <w:color w:val="auto"/>
        </w:rPr>
      </w:pPr>
      <w:r>
        <w:rPr>
          <w:rFonts w:ascii="Arial" w:cs="Arial" w:eastAsia="Arial" w:hAnsi="Arial"/>
          <w:sz w:val="16"/>
          <w:szCs w:val="16"/>
          <w:color w:val="auto"/>
        </w:rPr>
        <w:t>Credicorp’s regulatory capital ratio remained at a comfortable level as of December 31, 2019 and represented 1.35 times the capital required by the regulator in Peru as of the same date.</w:t>
      </w:r>
    </w:p>
    <w:p>
      <w:pPr>
        <w:spacing w:after="0" w:line="34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60" w:right="339" w:bottom="1440" w:gutter="0" w:footer="0" w:header="0"/>
        </w:sectPr>
      </w:pPr>
    </w:p>
    <w:bookmarkStart w:id="146" w:name="page147"/>
    <w:bookmarkEnd w:id="146"/>
    <w:p>
      <w:pPr>
        <w:ind w:left="162"/>
        <w:spacing w:after="0"/>
        <w:rPr>
          <w:sz w:val="20"/>
          <w:szCs w:val="20"/>
          <w:color w:val="auto"/>
        </w:rPr>
      </w:pPr>
      <w:r>
        <w:rPr>
          <w:rFonts w:ascii="Arial" w:cs="Arial" w:eastAsia="Arial" w:hAnsi="Arial"/>
          <w:sz w:val="16"/>
          <w:szCs w:val="16"/>
          <w:b w:val="1"/>
          <w:bCs w:val="1"/>
          <w:i w:val="1"/>
          <w:iCs w:val="1"/>
          <w:color w:val="auto"/>
        </w:rPr>
        <w:t>Regulatory Capital – BCP Stand-alone based on Peruvian GAAP</w:t>
      </w:r>
    </w:p>
    <w:p>
      <w:pPr>
        <w:spacing w:after="0" w:line="222" w:lineRule="exact"/>
        <w:rPr>
          <w:sz w:val="20"/>
          <w:szCs w:val="20"/>
          <w:color w:val="auto"/>
        </w:rPr>
      </w:pPr>
    </w:p>
    <w:tbl>
      <w:tblPr>
        <w:tblLayout w:type="fixed"/>
        <w:tblInd w:w="2" w:type="dxa"/>
        <w:tblCellMar>
          <w:top w:w="0" w:type="dxa"/>
          <w:left w:w="0" w:type="dxa"/>
          <w:bottom w:w="0" w:type="dxa"/>
          <w:right w:w="0" w:type="dxa"/>
        </w:tblCellMar>
      </w:tblPr>
      <w:tr>
        <w:trPr>
          <w:trHeight w:val="194"/>
        </w:trPr>
        <w:tc>
          <w:tcPr>
            <w:tcW w:w="5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b w:val="1"/>
                <w:bCs w:val="1"/>
                <w:color w:val="auto"/>
                <w:w w:val="85"/>
              </w:rPr>
              <w:t>As of</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720"/>
              <w:spacing w:after="0"/>
              <w:rPr>
                <w:sz w:val="20"/>
                <w:szCs w:val="20"/>
                <w:color w:val="auto"/>
              </w:rPr>
            </w:pPr>
            <w:r>
              <w:rPr>
                <w:rFonts w:ascii="Arial" w:cs="Arial" w:eastAsia="Arial" w:hAnsi="Arial"/>
                <w:sz w:val="15"/>
                <w:szCs w:val="15"/>
                <w:b w:val="1"/>
                <w:bCs w:val="1"/>
                <w:color w:val="auto"/>
                <w:w w:val="90"/>
              </w:rPr>
              <w:t>% Change</w:t>
            </w:r>
          </w:p>
        </w:tc>
        <w:tc>
          <w:tcPr>
            <w:tcW w:w="8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7"/>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600"/>
              <w:spacing w:after="0" w:line="167" w:lineRule="exact"/>
              <w:rPr>
                <w:sz w:val="20"/>
                <w:szCs w:val="20"/>
                <w:color w:val="auto"/>
              </w:rPr>
            </w:pPr>
            <w:r>
              <w:rPr>
                <w:rFonts w:ascii="Arial" w:cs="Arial" w:eastAsia="Arial" w:hAnsi="Arial"/>
                <w:sz w:val="15"/>
                <w:szCs w:val="15"/>
                <w:b w:val="1"/>
                <w:bCs w:val="1"/>
                <w:color w:val="auto"/>
                <w:w w:val="99"/>
              </w:rPr>
              <w:t>March</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4"/>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26"/>
              <w:spacing w:after="0"/>
              <w:rPr>
                <w:sz w:val="20"/>
                <w:szCs w:val="20"/>
                <w:color w:val="auto"/>
              </w:rPr>
            </w:pPr>
            <w:r>
              <w:rPr>
                <w:rFonts w:ascii="Arial" w:cs="Arial" w:eastAsia="Arial" w:hAnsi="Arial"/>
                <w:sz w:val="15"/>
                <w:szCs w:val="15"/>
                <w:b w:val="1"/>
                <w:bCs w:val="1"/>
                <w:color w:val="auto"/>
              </w:rPr>
              <w:t>31, 2020 /</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386"/>
              <w:spacing w:after="0"/>
              <w:rPr>
                <w:sz w:val="20"/>
                <w:szCs w:val="20"/>
                <w:color w:val="auto"/>
              </w:rPr>
            </w:pPr>
            <w:r>
              <w:rPr>
                <w:rFonts w:ascii="Arial" w:cs="Arial" w:eastAsia="Arial" w:hAnsi="Arial"/>
                <w:sz w:val="15"/>
                <w:szCs w:val="15"/>
                <w:b w:val="1"/>
                <w:bCs w:val="1"/>
                <w:color w:val="auto"/>
              </w:rPr>
              <w:t>March</w:t>
            </w:r>
          </w:p>
        </w:tc>
      </w:tr>
      <w:tr>
        <w:trPr>
          <w:trHeight w:val="184"/>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5"/>
                <w:szCs w:val="15"/>
                <w:b w:val="1"/>
                <w:bCs w:val="1"/>
                <w:color w:val="auto"/>
              </w:rPr>
              <w:t>March</w:t>
            </w:r>
          </w:p>
        </w:tc>
        <w:tc>
          <w:tcPr>
            <w:tcW w:w="124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88"/>
              </w:rPr>
              <w:t>December</w:t>
            </w:r>
          </w:p>
        </w:tc>
        <w:tc>
          <w:tcPr>
            <w:tcW w:w="1240" w:type="dxa"/>
            <w:vAlign w:val="bottom"/>
            <w:gridSpan w:val="3"/>
          </w:tcPr>
          <w:p>
            <w:pPr>
              <w:ind w:left="180"/>
              <w:spacing w:after="0"/>
              <w:rPr>
                <w:sz w:val="20"/>
                <w:szCs w:val="20"/>
                <w:color w:val="auto"/>
              </w:rPr>
            </w:pPr>
            <w:r>
              <w:rPr>
                <w:rFonts w:ascii="Arial" w:cs="Arial" w:eastAsia="Arial" w:hAnsi="Arial"/>
                <w:sz w:val="15"/>
                <w:szCs w:val="15"/>
                <w:b w:val="1"/>
                <w:bCs w:val="1"/>
                <w:color w:val="auto"/>
              </w:rPr>
              <w:t>March</w:t>
            </w:r>
          </w:p>
        </w:tc>
        <w:tc>
          <w:tcPr>
            <w:tcW w:w="1400" w:type="dxa"/>
            <w:vAlign w:val="bottom"/>
            <w:gridSpan w:val="3"/>
          </w:tcPr>
          <w:p>
            <w:pPr>
              <w:jc w:val="center"/>
              <w:ind w:right="600"/>
              <w:spacing w:after="0"/>
              <w:rPr>
                <w:sz w:val="20"/>
                <w:szCs w:val="20"/>
                <w:color w:val="auto"/>
              </w:rPr>
            </w:pPr>
            <w:r>
              <w:rPr>
                <w:rFonts w:ascii="Arial" w:cs="Arial" w:eastAsia="Arial" w:hAnsi="Arial"/>
                <w:sz w:val="15"/>
                <w:szCs w:val="15"/>
                <w:b w:val="1"/>
                <w:bCs w:val="1"/>
                <w:color w:val="auto"/>
                <w:w w:val="88"/>
              </w:rPr>
              <w:t>December</w:t>
            </w:r>
          </w:p>
        </w:tc>
        <w:tc>
          <w:tcPr>
            <w:tcW w:w="820" w:type="dxa"/>
            <w:vAlign w:val="bottom"/>
          </w:tcPr>
          <w:p>
            <w:pPr>
              <w:jc w:val="right"/>
              <w:ind w:right="126"/>
              <w:spacing w:after="0"/>
              <w:rPr>
                <w:sz w:val="20"/>
                <w:szCs w:val="20"/>
                <w:color w:val="auto"/>
              </w:rPr>
            </w:pPr>
            <w:r>
              <w:rPr>
                <w:rFonts w:ascii="Arial" w:cs="Arial" w:eastAsia="Arial" w:hAnsi="Arial"/>
                <w:sz w:val="15"/>
                <w:szCs w:val="15"/>
                <w:b w:val="1"/>
                <w:bCs w:val="1"/>
                <w:color w:val="auto"/>
                <w:w w:val="89"/>
              </w:rPr>
              <w:t>31, 2020 /</w:t>
            </w:r>
          </w:p>
        </w:tc>
        <w:tc>
          <w:tcPr>
            <w:tcW w:w="160" w:type="dxa"/>
            <w:vAlign w:val="bottom"/>
          </w:tcPr>
          <w:p>
            <w:pPr>
              <w:spacing w:after="0"/>
              <w:rPr>
                <w:sz w:val="16"/>
                <w:szCs w:val="16"/>
                <w:color w:val="auto"/>
              </w:rPr>
            </w:pPr>
          </w:p>
        </w:tc>
      </w:tr>
      <w:tr>
        <w:trPr>
          <w:trHeight w:val="194"/>
        </w:trPr>
        <w:tc>
          <w:tcPr>
            <w:tcW w:w="5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31, 2019</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6"/>
              <w:spacing w:after="0"/>
              <w:rPr>
                <w:sz w:val="20"/>
                <w:szCs w:val="20"/>
                <w:color w:val="auto"/>
              </w:rPr>
            </w:pPr>
            <w:r>
              <w:rPr>
                <w:rFonts w:ascii="Arial" w:cs="Arial" w:eastAsia="Arial" w:hAnsi="Arial"/>
                <w:sz w:val="15"/>
                <w:szCs w:val="15"/>
                <w:b w:val="1"/>
                <w:bCs w:val="1"/>
                <w:color w:val="auto"/>
                <w:w w:val="88"/>
              </w:rPr>
              <w:t>31, 2019</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31, 2020</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31, 2019</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b w:val="1"/>
                <w:bCs w:val="1"/>
                <w:color w:val="auto"/>
              </w:rPr>
              <w:t>2019</w:t>
            </w:r>
          </w:p>
        </w:tc>
        <w:tc>
          <w:tcPr>
            <w:tcW w:w="160" w:type="dxa"/>
            <w:vAlign w:val="bottom"/>
          </w:tcPr>
          <w:p>
            <w:pPr>
              <w:spacing w:after="0"/>
              <w:rPr>
                <w:sz w:val="16"/>
                <w:szCs w:val="16"/>
                <w:color w:val="auto"/>
              </w:rPr>
            </w:pPr>
          </w:p>
        </w:tc>
      </w:tr>
      <w:tr>
        <w:trPr>
          <w:trHeight w:val="179"/>
        </w:trPr>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80" w:type="dxa"/>
            <w:vAlign w:val="bottom"/>
            <w:gridSpan w:val="8"/>
          </w:tcPr>
          <w:p>
            <w:pPr>
              <w:ind w:left="420"/>
              <w:spacing w:after="0"/>
              <w:rPr>
                <w:sz w:val="20"/>
                <w:szCs w:val="20"/>
                <w:color w:val="auto"/>
              </w:rPr>
            </w:pPr>
            <w:r>
              <w:rPr>
                <w:rFonts w:ascii="Arial" w:cs="Arial" w:eastAsia="Arial" w:hAnsi="Arial"/>
                <w:sz w:val="15"/>
                <w:szCs w:val="15"/>
                <w:b w:val="1"/>
                <w:bCs w:val="1"/>
                <w:color w:val="auto"/>
              </w:rPr>
              <w:t>(Soles in thousands, except percentages)</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4"/>
        </w:trPr>
        <w:tc>
          <w:tcPr>
            <w:tcW w:w="51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Regulatory Capital and Capital Adequacy Ratios</w:t>
            </w: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4"/>
        </w:trPr>
        <w:tc>
          <w:tcPr>
            <w:tcW w:w="5140" w:type="dxa"/>
            <w:vAlign w:val="bottom"/>
            <w:gridSpan w:val="2"/>
          </w:tcPr>
          <w:p>
            <w:pPr>
              <w:spacing w:after="0"/>
              <w:rPr>
                <w:sz w:val="20"/>
                <w:szCs w:val="20"/>
                <w:color w:val="auto"/>
              </w:rPr>
            </w:pPr>
            <w:r>
              <w:rPr>
                <w:rFonts w:ascii="Arial" w:cs="Arial" w:eastAsia="Arial" w:hAnsi="Arial"/>
                <w:sz w:val="15"/>
                <w:szCs w:val="15"/>
                <w:color w:val="auto"/>
              </w:rPr>
              <w:t>Capital Stock</w:t>
            </w:r>
          </w:p>
        </w:tc>
        <w:tc>
          <w:tcPr>
            <w:tcW w:w="900" w:type="dxa"/>
            <w:vAlign w:val="bottom"/>
          </w:tcPr>
          <w:p>
            <w:pPr>
              <w:jc w:val="right"/>
              <w:spacing w:after="0"/>
              <w:rPr>
                <w:sz w:val="20"/>
                <w:szCs w:val="20"/>
                <w:color w:val="auto"/>
              </w:rPr>
            </w:pPr>
            <w:r>
              <w:rPr>
                <w:rFonts w:ascii="Arial" w:cs="Arial" w:eastAsia="Arial" w:hAnsi="Arial"/>
                <w:sz w:val="15"/>
                <w:szCs w:val="15"/>
                <w:color w:val="auto"/>
              </w:rPr>
              <w:t>10,217,387</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10,217,387</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10,217,387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226"/>
              <w:spacing w:after="0"/>
              <w:rPr>
                <w:sz w:val="20"/>
                <w:szCs w:val="20"/>
                <w:color w:val="auto"/>
              </w:rPr>
            </w:pPr>
            <w:r>
              <w:rPr>
                <w:rFonts w:ascii="Arial" w:cs="Arial" w:eastAsia="Arial" w:hAnsi="Arial"/>
                <w:sz w:val="15"/>
                <w:szCs w:val="15"/>
                <w:color w:val="auto"/>
              </w:rPr>
              <w:t>0.0%</w:t>
            </w:r>
          </w:p>
        </w:tc>
        <w:tc>
          <w:tcPr>
            <w:tcW w:w="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0.0%</w:t>
            </w:r>
          </w:p>
        </w:tc>
      </w:tr>
      <w:tr>
        <w:trPr>
          <w:trHeight w:val="184"/>
        </w:trPr>
        <w:tc>
          <w:tcPr>
            <w:tcW w:w="5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Legal and Other capital reserves</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4,695,118</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4,695,118</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4,695,118</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6"/>
              <w:spacing w:after="0"/>
              <w:rPr>
                <w:sz w:val="20"/>
                <w:szCs w:val="20"/>
                <w:color w:val="auto"/>
              </w:rPr>
            </w:pPr>
            <w:r>
              <w:rPr>
                <w:rFonts w:ascii="Arial" w:cs="Arial" w:eastAsia="Arial" w:hAnsi="Arial"/>
                <w:sz w:val="15"/>
                <w:szCs w:val="15"/>
                <w:color w:val="auto"/>
              </w:rPr>
              <w:t>0.0%</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0.0%</w:t>
            </w:r>
          </w:p>
        </w:tc>
      </w:tr>
      <w:tr>
        <w:trPr>
          <w:trHeight w:val="184"/>
        </w:trPr>
        <w:tc>
          <w:tcPr>
            <w:tcW w:w="5140" w:type="dxa"/>
            <w:vAlign w:val="bottom"/>
            <w:gridSpan w:val="2"/>
          </w:tcPr>
          <w:p>
            <w:pPr>
              <w:spacing w:after="0"/>
              <w:rPr>
                <w:sz w:val="20"/>
                <w:szCs w:val="20"/>
                <w:color w:val="auto"/>
              </w:rPr>
            </w:pPr>
            <w:r>
              <w:rPr>
                <w:rFonts w:ascii="Arial" w:cs="Arial" w:eastAsia="Arial" w:hAnsi="Arial"/>
                <w:sz w:val="15"/>
                <w:szCs w:val="15"/>
                <w:color w:val="auto"/>
              </w:rPr>
              <w:t>Accumulated earnings with capitalization agreement</w:t>
            </w:r>
          </w:p>
        </w:tc>
        <w:tc>
          <w:tcPr>
            <w:tcW w:w="124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850,000</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850,000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226"/>
              <w:spacing w:after="0"/>
              <w:rPr>
                <w:sz w:val="20"/>
                <w:szCs w:val="20"/>
                <w:color w:val="auto"/>
              </w:rPr>
            </w:pPr>
            <w:r>
              <w:rPr>
                <w:rFonts w:ascii="Arial" w:cs="Arial" w:eastAsia="Arial" w:hAnsi="Arial"/>
                <w:sz w:val="15"/>
                <w:szCs w:val="15"/>
                <w:color w:val="auto"/>
              </w:rPr>
              <w:t>0.0%</w:t>
            </w:r>
          </w:p>
        </w:tc>
        <w:tc>
          <w:tcPr>
            <w:tcW w:w="80" w:type="dxa"/>
            <w:vAlign w:val="bottom"/>
          </w:tcPr>
          <w:p>
            <w:pPr>
              <w:spacing w:after="0"/>
              <w:rPr>
                <w:sz w:val="16"/>
                <w:szCs w:val="16"/>
                <w:color w:val="auto"/>
              </w:rPr>
            </w:pPr>
          </w:p>
        </w:tc>
        <w:tc>
          <w:tcPr>
            <w:tcW w:w="980" w:type="dxa"/>
            <w:vAlign w:val="bottom"/>
            <w:gridSpan w:val="2"/>
          </w:tcPr>
          <w:p>
            <w:pPr>
              <w:jc w:val="right"/>
              <w:ind w:right="86"/>
              <w:spacing w:after="0"/>
              <w:rPr>
                <w:sz w:val="20"/>
                <w:szCs w:val="20"/>
                <w:color w:val="auto"/>
              </w:rPr>
            </w:pPr>
            <w:r>
              <w:rPr>
                <w:rFonts w:ascii="Arial" w:cs="Arial" w:eastAsia="Arial" w:hAnsi="Arial"/>
                <w:sz w:val="15"/>
                <w:szCs w:val="15"/>
                <w:color w:val="auto"/>
              </w:rPr>
              <w:t>NA</w:t>
            </w:r>
          </w:p>
        </w:tc>
      </w:tr>
      <w:tr>
        <w:trPr>
          <w:trHeight w:val="184"/>
        </w:trPr>
        <w:tc>
          <w:tcPr>
            <w:tcW w:w="5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Loan loss reserves(1)</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1,284,021</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1,367,259</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1,383,834</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6"/>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7.8%</w:t>
            </w:r>
          </w:p>
        </w:tc>
      </w:tr>
      <w:tr>
        <w:trPr>
          <w:trHeight w:val="184"/>
        </w:trPr>
        <w:tc>
          <w:tcPr>
            <w:tcW w:w="5140" w:type="dxa"/>
            <w:vAlign w:val="bottom"/>
            <w:gridSpan w:val="2"/>
          </w:tcPr>
          <w:p>
            <w:pPr>
              <w:spacing w:after="0"/>
              <w:rPr>
                <w:sz w:val="20"/>
                <w:szCs w:val="20"/>
                <w:color w:val="auto"/>
              </w:rPr>
            </w:pPr>
            <w:r>
              <w:rPr>
                <w:rFonts w:ascii="Arial" w:cs="Arial" w:eastAsia="Arial" w:hAnsi="Arial"/>
                <w:sz w:val="15"/>
                <w:szCs w:val="15"/>
                <w:color w:val="auto"/>
              </w:rPr>
              <w:t>Perpetual subordinated debt</w:t>
            </w:r>
          </w:p>
        </w:tc>
        <w:tc>
          <w:tcPr>
            <w:tcW w:w="900" w:type="dxa"/>
            <w:vAlign w:val="bottom"/>
          </w:tcPr>
          <w:p>
            <w:pPr>
              <w:jc w:val="right"/>
              <w:spacing w:after="0"/>
              <w:rPr>
                <w:sz w:val="20"/>
                <w:szCs w:val="20"/>
                <w:color w:val="auto"/>
              </w:rPr>
            </w:pPr>
            <w:r>
              <w:rPr>
                <w:rFonts w:ascii="Arial" w:cs="Arial" w:eastAsia="Arial" w:hAnsi="Arial"/>
                <w:sz w:val="15"/>
                <w:szCs w:val="15"/>
                <w:color w:val="auto"/>
              </w:rPr>
              <w:t>580,650</w:t>
            </w:r>
          </w:p>
        </w:tc>
        <w:tc>
          <w:tcPr>
            <w:tcW w:w="340" w:type="dxa"/>
            <w:vAlign w:val="bottom"/>
          </w:tcPr>
          <w:p>
            <w:pPr>
              <w:spacing w:after="0"/>
              <w:rPr>
                <w:sz w:val="16"/>
                <w:szCs w:val="16"/>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240" w:type="dxa"/>
            <w:vAlign w:val="bottom"/>
            <w:gridSpan w:val="3"/>
          </w:tcPr>
          <w:p>
            <w:pPr>
              <w:jc w:val="right"/>
              <w:ind w:right="340"/>
              <w:spacing w:after="0"/>
              <w:rPr>
                <w:sz w:val="20"/>
                <w:szCs w:val="20"/>
                <w:color w:val="auto"/>
              </w:rPr>
            </w:pPr>
            <w:r>
              <w:rPr>
                <w:rFonts w:ascii="Arial" w:cs="Arial" w:eastAsia="Arial" w:hAnsi="Arial"/>
                <w:sz w:val="15"/>
                <w:szCs w:val="15"/>
                <w:color w:val="auto"/>
              </w:rPr>
              <w:t>—</w:t>
            </w:r>
          </w:p>
        </w:tc>
        <w:tc>
          <w:tcPr>
            <w:tcW w:w="1400" w:type="dxa"/>
            <w:vAlign w:val="bottom"/>
            <w:gridSpan w:val="3"/>
          </w:tcPr>
          <w:p>
            <w:pPr>
              <w:ind w:left="700"/>
              <w:spacing w:after="0"/>
              <w:rPr>
                <w:sz w:val="20"/>
                <w:szCs w:val="20"/>
                <w:color w:val="auto"/>
              </w:rPr>
            </w:pPr>
            <w:r>
              <w:rPr>
                <w:rFonts w:ascii="Arial" w:cs="Arial" w:eastAsia="Arial" w:hAnsi="Arial"/>
                <w:sz w:val="15"/>
                <w:szCs w:val="15"/>
                <w:color w:val="auto"/>
              </w:rPr>
              <w:t>NA</w:t>
            </w:r>
          </w:p>
        </w:tc>
        <w:tc>
          <w:tcPr>
            <w:tcW w:w="980" w:type="dxa"/>
            <w:vAlign w:val="bottom"/>
            <w:gridSpan w:val="2"/>
          </w:tcPr>
          <w:p>
            <w:pPr>
              <w:jc w:val="right"/>
              <w:ind w:right="86"/>
              <w:spacing w:after="0"/>
              <w:rPr>
                <w:sz w:val="20"/>
                <w:szCs w:val="20"/>
                <w:color w:val="auto"/>
              </w:rPr>
            </w:pPr>
            <w:r>
              <w:rPr>
                <w:rFonts w:ascii="Arial" w:cs="Arial" w:eastAsia="Arial" w:hAnsi="Arial"/>
                <w:sz w:val="15"/>
                <w:szCs w:val="15"/>
                <w:color w:val="auto"/>
              </w:rPr>
              <w:t>NA</w:t>
            </w:r>
          </w:p>
        </w:tc>
      </w:tr>
      <w:tr>
        <w:trPr>
          <w:trHeight w:val="184"/>
        </w:trPr>
        <w:tc>
          <w:tcPr>
            <w:tcW w:w="5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Subordinated Debt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4,236,505</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3,980,904</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4,128,099</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6"/>
              <w:spacing w:after="0"/>
              <w:rPr>
                <w:sz w:val="20"/>
                <w:szCs w:val="20"/>
                <w:color w:val="auto"/>
              </w:rPr>
            </w:pPr>
            <w:r>
              <w:rPr>
                <w:rFonts w:ascii="Arial" w:cs="Arial" w:eastAsia="Arial" w:hAnsi="Arial"/>
                <w:sz w:val="15"/>
                <w:szCs w:val="15"/>
                <w:color w:val="auto"/>
              </w:rPr>
              <w:t>3.7%</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w:t>
            </w:r>
          </w:p>
        </w:tc>
      </w:tr>
      <w:tr>
        <w:trPr>
          <w:trHeight w:val="184"/>
        </w:trPr>
        <w:tc>
          <w:tcPr>
            <w:tcW w:w="5140" w:type="dxa"/>
            <w:vAlign w:val="bottom"/>
            <w:gridSpan w:val="2"/>
          </w:tcPr>
          <w:p>
            <w:pPr>
              <w:spacing w:after="0"/>
              <w:rPr>
                <w:sz w:val="20"/>
                <w:szCs w:val="20"/>
                <w:color w:val="auto"/>
              </w:rPr>
            </w:pPr>
            <w:r>
              <w:rPr>
                <w:rFonts w:ascii="Arial" w:cs="Arial" w:eastAsia="Arial" w:hAnsi="Arial"/>
                <w:sz w:val="15"/>
                <w:szCs w:val="15"/>
                <w:color w:val="auto"/>
              </w:rPr>
              <w:t>Investment in subsidiaries and others, net of unrealized profit and net income</w:t>
            </w: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(1,722,979)</w:t>
            </w: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(1,580,583)</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(1,937,102)</w:t>
            </w:r>
          </w:p>
        </w:tc>
        <w:tc>
          <w:tcPr>
            <w:tcW w:w="100" w:type="dxa"/>
            <w:vAlign w:val="bottom"/>
          </w:tcPr>
          <w:p>
            <w:pPr>
              <w:spacing w:after="0"/>
              <w:rPr>
                <w:sz w:val="16"/>
                <w:szCs w:val="16"/>
                <w:color w:val="auto"/>
              </w:rPr>
            </w:pPr>
          </w:p>
        </w:tc>
        <w:tc>
          <w:tcPr>
            <w:tcW w:w="1320" w:type="dxa"/>
            <w:vAlign w:val="bottom"/>
            <w:gridSpan w:val="2"/>
          </w:tcPr>
          <w:p>
            <w:pPr>
              <w:jc w:val="right"/>
              <w:ind w:right="226"/>
              <w:spacing w:after="0"/>
              <w:rPr>
                <w:sz w:val="20"/>
                <w:szCs w:val="20"/>
                <w:color w:val="auto"/>
              </w:rPr>
            </w:pPr>
            <w:r>
              <w:rPr>
                <w:rFonts w:ascii="Arial" w:cs="Arial" w:eastAsia="Arial" w:hAnsi="Arial"/>
                <w:sz w:val="15"/>
                <w:szCs w:val="15"/>
                <w:color w:val="auto"/>
              </w:rPr>
              <w:t>22.6%</w:t>
            </w:r>
          </w:p>
        </w:tc>
        <w:tc>
          <w:tcPr>
            <w:tcW w:w="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12.4%</w:t>
            </w:r>
          </w:p>
        </w:tc>
      </w:tr>
      <w:tr>
        <w:trPr>
          <w:trHeight w:val="184"/>
        </w:trPr>
        <w:tc>
          <w:tcPr>
            <w:tcW w:w="5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Investment in subsidiaries and others</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(1,812,955)</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(1,965,037)</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(2,008,802)</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6"/>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10.8%</w:t>
            </w:r>
          </w:p>
        </w:tc>
      </w:tr>
      <w:tr>
        <w:trPr>
          <w:trHeight w:val="184"/>
        </w:trPr>
        <w:tc>
          <w:tcPr>
            <w:tcW w:w="5140" w:type="dxa"/>
            <w:vAlign w:val="bottom"/>
            <w:gridSpan w:val="2"/>
          </w:tcPr>
          <w:p>
            <w:pPr>
              <w:spacing w:after="0"/>
              <w:rPr>
                <w:sz w:val="20"/>
                <w:szCs w:val="20"/>
                <w:color w:val="auto"/>
              </w:rPr>
            </w:pPr>
            <w:r>
              <w:rPr>
                <w:rFonts w:ascii="Arial" w:cs="Arial" w:eastAsia="Arial" w:hAnsi="Arial"/>
                <w:sz w:val="15"/>
                <w:szCs w:val="15"/>
                <w:color w:val="auto"/>
              </w:rPr>
              <w:t>Unrealized profit and net income in subsidiaries</w:t>
            </w:r>
          </w:p>
        </w:tc>
        <w:tc>
          <w:tcPr>
            <w:tcW w:w="900" w:type="dxa"/>
            <w:vAlign w:val="bottom"/>
          </w:tcPr>
          <w:p>
            <w:pPr>
              <w:jc w:val="right"/>
              <w:spacing w:after="0"/>
              <w:rPr>
                <w:sz w:val="20"/>
                <w:szCs w:val="20"/>
                <w:color w:val="auto"/>
              </w:rPr>
            </w:pPr>
            <w:r>
              <w:rPr>
                <w:rFonts w:ascii="Arial" w:cs="Arial" w:eastAsia="Arial" w:hAnsi="Arial"/>
                <w:sz w:val="15"/>
                <w:szCs w:val="15"/>
                <w:color w:val="auto"/>
              </w:rPr>
              <w:t>89,976</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384,454</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71,700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6"/>
              <w:spacing w:after="0"/>
              <w:rPr>
                <w:sz w:val="20"/>
                <w:szCs w:val="20"/>
                <w:color w:val="auto"/>
              </w:rPr>
            </w:pPr>
            <w:r>
              <w:rPr>
                <w:rFonts w:ascii="Arial" w:cs="Arial" w:eastAsia="Arial" w:hAnsi="Arial"/>
                <w:sz w:val="15"/>
                <w:szCs w:val="15"/>
                <w:color w:val="auto"/>
              </w:rPr>
              <w:t>(81.4)%</w:t>
            </w:r>
          </w:p>
        </w:tc>
        <w:tc>
          <w:tcPr>
            <w:tcW w:w="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(20.3)%</w:t>
            </w:r>
          </w:p>
        </w:tc>
      </w:tr>
      <w:tr>
        <w:trPr>
          <w:trHeight w:val="197"/>
        </w:trPr>
        <w:tc>
          <w:tcPr>
            <w:tcW w:w="5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Goodwill</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(122,083)</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(122,083)</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(122,083)</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6"/>
              <w:spacing w:after="0"/>
              <w:rPr>
                <w:sz w:val="20"/>
                <w:szCs w:val="20"/>
                <w:color w:val="auto"/>
              </w:rPr>
            </w:pPr>
            <w:r>
              <w:rPr>
                <w:rFonts w:ascii="Arial" w:cs="Arial" w:eastAsia="Arial" w:hAnsi="Arial"/>
                <w:sz w:val="15"/>
                <w:szCs w:val="15"/>
                <w:color w:val="auto"/>
              </w:rPr>
              <w:t>0.0%</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0.0%</w:t>
            </w:r>
          </w:p>
        </w:tc>
      </w:tr>
      <w:tr>
        <w:trPr>
          <w:trHeight w:val="177"/>
        </w:trPr>
        <w:tc>
          <w:tcPr>
            <w:tcW w:w="5140" w:type="dxa"/>
            <w:vAlign w:val="bottom"/>
            <w:tcBorders>
              <w:bottom w:val="single" w:sz="8" w:color="CCEEFF"/>
            </w:tcBorders>
            <w:gridSpan w:val="2"/>
          </w:tcPr>
          <w:p>
            <w:pPr>
              <w:spacing w:after="0" w:line="172" w:lineRule="exact"/>
              <w:rPr>
                <w:sz w:val="20"/>
                <w:szCs w:val="20"/>
                <w:color w:val="auto"/>
              </w:rPr>
            </w:pPr>
            <w:r>
              <w:rPr>
                <w:rFonts w:ascii="Arial" w:cs="Arial" w:eastAsia="Arial" w:hAnsi="Arial"/>
                <w:sz w:val="15"/>
                <w:szCs w:val="15"/>
                <w:b w:val="1"/>
                <w:bCs w:val="1"/>
                <w:color w:val="auto"/>
              </w:rPr>
              <w:t>Total Regulatory Capital</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19,168,618</w:t>
            </w:r>
          </w:p>
        </w:tc>
        <w:tc>
          <w:tcPr>
            <w:tcW w:w="34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19,408,002</w:t>
            </w:r>
          </w:p>
        </w:tc>
        <w:tc>
          <w:tcPr>
            <w:tcW w:w="34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19,215,253</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w:t>
            </w:r>
          </w:p>
        </w:tc>
        <w:tc>
          <w:tcPr>
            <w:tcW w:w="420" w:type="dxa"/>
            <w:vAlign w:val="bottom"/>
            <w:tcBorders>
              <w:bottom w:val="single" w:sz="8" w:color="CCEEFF"/>
            </w:tcBorders>
          </w:tcPr>
          <w:p>
            <w:pPr>
              <w:spacing w:after="0" w:line="172" w:lineRule="exact"/>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0.2</w:t>
            </w:r>
          </w:p>
        </w:tc>
        <w:tc>
          <w:tcPr>
            <w:tcW w:w="160" w:type="dxa"/>
            <w:vAlign w:val="bottom"/>
            <w:tcBorders>
              <w:bottom w:val="single" w:sz="8" w:color="CCEEFF"/>
            </w:tcBorders>
          </w:tcPr>
          <w:p>
            <w:pPr>
              <w:spacing w:after="0" w:line="172" w:lineRule="exact"/>
              <w:rPr>
                <w:sz w:val="20"/>
                <w:szCs w:val="20"/>
                <w:color w:val="auto"/>
              </w:rPr>
            </w:pPr>
            <w:r>
              <w:rPr>
                <w:rFonts w:ascii="Arial" w:cs="Arial" w:eastAsia="Arial" w:hAnsi="Arial"/>
                <w:sz w:val="15"/>
                <w:szCs w:val="15"/>
                <w:b w:val="1"/>
                <w:bCs w:val="1"/>
                <w:color w:val="auto"/>
              </w:rPr>
              <w:t>%</w:t>
            </w:r>
          </w:p>
        </w:tc>
      </w:tr>
      <w:tr>
        <w:trPr>
          <w:trHeight w:val="177"/>
        </w:trPr>
        <w:tc>
          <w:tcPr>
            <w:tcW w:w="514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b w:val="1"/>
                <w:bCs w:val="1"/>
                <w:color w:val="auto"/>
              </w:rPr>
              <w:t>Off-balance sheet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84,074,345</w:t>
            </w:r>
          </w:p>
        </w:tc>
        <w:tc>
          <w:tcPr>
            <w:tcW w:w="34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86,273,789</w:t>
            </w:r>
          </w:p>
        </w:tc>
        <w:tc>
          <w:tcPr>
            <w:tcW w:w="34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88,755,362</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4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w:t>
            </w:r>
          </w:p>
        </w:tc>
      </w:tr>
      <w:tr>
        <w:trPr>
          <w:trHeight w:val="177"/>
        </w:trPr>
        <w:tc>
          <w:tcPr>
            <w:tcW w:w="5140" w:type="dxa"/>
            <w:vAlign w:val="bottom"/>
            <w:gridSpan w:val="2"/>
          </w:tcPr>
          <w:p>
            <w:pPr>
              <w:spacing w:after="0" w:line="172" w:lineRule="exact"/>
              <w:rPr>
                <w:sz w:val="20"/>
                <w:szCs w:val="20"/>
                <w:color w:val="auto"/>
              </w:rPr>
            </w:pPr>
            <w:r>
              <w:rPr>
                <w:rFonts w:ascii="Arial" w:cs="Arial" w:eastAsia="Arial" w:hAnsi="Arial"/>
                <w:sz w:val="15"/>
                <w:szCs w:val="15"/>
                <w:color w:val="auto"/>
              </w:rPr>
              <w:t>Tier I(2)</w:t>
            </w:r>
          </w:p>
        </w:tc>
        <w:tc>
          <w:tcPr>
            <w:tcW w:w="900" w:type="dxa"/>
            <w:vAlign w:val="bottom"/>
          </w:tcPr>
          <w:p>
            <w:pPr>
              <w:jc w:val="right"/>
              <w:spacing w:after="0"/>
              <w:rPr>
                <w:sz w:val="20"/>
                <w:szCs w:val="20"/>
                <w:color w:val="auto"/>
              </w:rPr>
            </w:pPr>
            <w:r>
              <w:rPr>
                <w:rFonts w:ascii="Arial" w:cs="Arial" w:eastAsia="Arial" w:hAnsi="Arial"/>
                <w:sz w:val="15"/>
                <w:szCs w:val="15"/>
                <w:color w:val="auto"/>
              </w:rPr>
              <w:t>14,509,582</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14,850,131</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14,671,871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6"/>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1.1%</w:t>
            </w:r>
          </w:p>
        </w:tc>
      </w:tr>
      <w:tr>
        <w:trPr>
          <w:trHeight w:val="184"/>
        </w:trPr>
        <w:tc>
          <w:tcPr>
            <w:tcW w:w="5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Tier II(3) + Tier III(4)</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4,659,036</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4,557,871</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4,543,382</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6"/>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w:t>
            </w:r>
          </w:p>
        </w:tc>
      </w:tr>
      <w:tr>
        <w:trPr>
          <w:trHeight w:val="191"/>
        </w:trPr>
        <w:tc>
          <w:tcPr>
            <w:tcW w:w="5140" w:type="dxa"/>
            <w:vAlign w:val="bottom"/>
            <w:gridSpan w:val="2"/>
          </w:tcPr>
          <w:p>
            <w:pPr>
              <w:spacing w:after="0"/>
              <w:rPr>
                <w:sz w:val="20"/>
                <w:szCs w:val="20"/>
                <w:color w:val="auto"/>
              </w:rPr>
            </w:pPr>
            <w:r>
              <w:rPr>
                <w:rFonts w:ascii="Arial" w:cs="Arial" w:eastAsia="Arial" w:hAnsi="Arial"/>
                <w:sz w:val="15"/>
                <w:szCs w:val="15"/>
                <w:color w:val="auto"/>
              </w:rPr>
              <w:t>Common Equity Tier I</w:t>
            </w:r>
          </w:p>
        </w:tc>
        <w:tc>
          <w:tcPr>
            <w:tcW w:w="900" w:type="dxa"/>
            <w:vAlign w:val="bottom"/>
          </w:tcPr>
          <w:p>
            <w:pPr>
              <w:jc w:val="right"/>
              <w:spacing w:after="0"/>
              <w:rPr>
                <w:sz w:val="20"/>
                <w:szCs w:val="20"/>
                <w:color w:val="auto"/>
              </w:rPr>
            </w:pPr>
            <w:r>
              <w:rPr>
                <w:rFonts w:ascii="Arial" w:cs="Arial" w:eastAsia="Arial" w:hAnsi="Arial"/>
                <w:sz w:val="15"/>
                <w:szCs w:val="15"/>
                <w:color w:val="auto"/>
              </w:rPr>
              <w:t>13,742,713</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15,842,022</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16,146,020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226"/>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17.5%</w:t>
            </w:r>
          </w:p>
        </w:tc>
      </w:tr>
      <w:tr>
        <w:trPr>
          <w:trHeight w:val="182"/>
        </w:trPr>
        <w:tc>
          <w:tcPr>
            <w:tcW w:w="5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Total Risk-Weighted Assets – SBS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123,718,427</w:t>
            </w:r>
          </w:p>
        </w:tc>
        <w:tc>
          <w:tcPr>
            <w:tcW w:w="3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134,128,850</w:t>
            </w:r>
          </w:p>
        </w:tc>
        <w:tc>
          <w:tcPr>
            <w:tcW w:w="3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142,084,684</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5.9</w:t>
            </w:r>
          </w:p>
        </w:tc>
        <w:tc>
          <w:tcPr>
            <w:tcW w:w="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14.8</w:t>
            </w:r>
          </w:p>
        </w:tc>
        <w:tc>
          <w:tcPr>
            <w:tcW w:w="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w:t>
            </w:r>
          </w:p>
        </w:tc>
      </w:tr>
      <w:tr>
        <w:trPr>
          <w:trHeight w:val="177"/>
        </w:trPr>
        <w:tc>
          <w:tcPr>
            <w:tcW w:w="5140" w:type="dxa"/>
            <w:vAlign w:val="bottom"/>
            <w:gridSpan w:val="2"/>
          </w:tcPr>
          <w:p>
            <w:pPr>
              <w:spacing w:after="0" w:line="172" w:lineRule="exact"/>
              <w:rPr>
                <w:sz w:val="20"/>
                <w:szCs w:val="20"/>
                <w:color w:val="auto"/>
              </w:rPr>
            </w:pPr>
            <w:r>
              <w:rPr>
                <w:rFonts w:ascii="Arial" w:cs="Arial" w:eastAsia="Arial" w:hAnsi="Arial"/>
                <w:sz w:val="15"/>
                <w:szCs w:val="15"/>
                <w:color w:val="auto"/>
              </w:rPr>
              <w:t>Credit Risk-Weighted Assets</w:t>
            </w:r>
          </w:p>
        </w:tc>
        <w:tc>
          <w:tcPr>
            <w:tcW w:w="900" w:type="dxa"/>
            <w:vAlign w:val="bottom"/>
          </w:tcPr>
          <w:p>
            <w:pPr>
              <w:jc w:val="right"/>
              <w:spacing w:after="0"/>
              <w:rPr>
                <w:sz w:val="20"/>
                <w:szCs w:val="20"/>
                <w:color w:val="auto"/>
              </w:rPr>
            </w:pPr>
            <w:r>
              <w:rPr>
                <w:rFonts w:ascii="Arial" w:cs="Arial" w:eastAsia="Arial" w:hAnsi="Arial"/>
                <w:sz w:val="15"/>
                <w:szCs w:val="15"/>
                <w:color w:val="auto"/>
              </w:rPr>
              <w:t>112,023,537</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122,233,929</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129,331,389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226"/>
              <w:spacing w:after="0"/>
              <w:rPr>
                <w:sz w:val="20"/>
                <w:szCs w:val="20"/>
                <w:color w:val="auto"/>
              </w:rPr>
            </w:pPr>
            <w:r>
              <w:rPr>
                <w:rFonts w:ascii="Arial" w:cs="Arial" w:eastAsia="Arial" w:hAnsi="Arial"/>
                <w:sz w:val="15"/>
                <w:szCs w:val="15"/>
                <w:color w:val="auto"/>
              </w:rPr>
              <w:t>5.8%</w:t>
            </w:r>
          </w:p>
        </w:tc>
        <w:tc>
          <w:tcPr>
            <w:tcW w:w="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15.5%</w:t>
            </w:r>
          </w:p>
        </w:tc>
      </w:tr>
      <w:tr>
        <w:trPr>
          <w:trHeight w:val="184"/>
        </w:trPr>
        <w:tc>
          <w:tcPr>
            <w:tcW w:w="5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Market Risk-Weighted Assets(5)</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2,528,029</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2,263,835</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3,074,766</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6"/>
              <w:spacing w:after="0"/>
              <w:rPr>
                <w:sz w:val="20"/>
                <w:szCs w:val="20"/>
                <w:color w:val="auto"/>
              </w:rPr>
            </w:pPr>
            <w:r>
              <w:rPr>
                <w:rFonts w:ascii="Arial" w:cs="Arial" w:eastAsia="Arial" w:hAnsi="Arial"/>
                <w:sz w:val="15"/>
                <w:szCs w:val="15"/>
                <w:color w:val="auto"/>
              </w:rPr>
              <w:t>35.8%</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21.6%</w:t>
            </w:r>
          </w:p>
        </w:tc>
      </w:tr>
      <w:tr>
        <w:trPr>
          <w:trHeight w:val="191"/>
        </w:trPr>
        <w:tc>
          <w:tcPr>
            <w:tcW w:w="5140" w:type="dxa"/>
            <w:vAlign w:val="bottom"/>
            <w:gridSpan w:val="2"/>
          </w:tcPr>
          <w:p>
            <w:pPr>
              <w:spacing w:after="0"/>
              <w:rPr>
                <w:sz w:val="20"/>
                <w:szCs w:val="20"/>
                <w:color w:val="auto"/>
              </w:rPr>
            </w:pPr>
            <w:r>
              <w:rPr>
                <w:rFonts w:ascii="Arial" w:cs="Arial" w:eastAsia="Arial" w:hAnsi="Arial"/>
                <w:sz w:val="15"/>
                <w:szCs w:val="15"/>
                <w:color w:val="auto"/>
              </w:rPr>
              <w:t>Operational Risk-Weighted Assets</w:t>
            </w:r>
          </w:p>
        </w:tc>
        <w:tc>
          <w:tcPr>
            <w:tcW w:w="900" w:type="dxa"/>
            <w:vAlign w:val="bottom"/>
          </w:tcPr>
          <w:p>
            <w:pPr>
              <w:jc w:val="right"/>
              <w:spacing w:after="0"/>
              <w:rPr>
                <w:sz w:val="20"/>
                <w:szCs w:val="20"/>
                <w:color w:val="auto"/>
              </w:rPr>
            </w:pPr>
            <w:r>
              <w:rPr>
                <w:rFonts w:ascii="Arial" w:cs="Arial" w:eastAsia="Arial" w:hAnsi="Arial"/>
                <w:sz w:val="15"/>
                <w:szCs w:val="15"/>
                <w:color w:val="auto"/>
              </w:rPr>
              <w:t>9,166,861</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9,631,086</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9,678,529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226"/>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5.6%</w:t>
            </w:r>
          </w:p>
        </w:tc>
      </w:tr>
      <w:tr>
        <w:trPr>
          <w:trHeight w:val="182"/>
        </w:trPr>
        <w:tc>
          <w:tcPr>
            <w:tcW w:w="5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Adjusted Risk-Weighted Assets – Basel</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120,622,867</w:t>
            </w:r>
          </w:p>
        </w:tc>
        <w:tc>
          <w:tcPr>
            <w:tcW w:w="3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128,238,694</w:t>
            </w:r>
          </w:p>
        </w:tc>
        <w:tc>
          <w:tcPr>
            <w:tcW w:w="3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135,790,140</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5.9</w:t>
            </w:r>
          </w:p>
        </w:tc>
        <w:tc>
          <w:tcPr>
            <w:tcW w:w="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12.6</w:t>
            </w:r>
          </w:p>
        </w:tc>
        <w:tc>
          <w:tcPr>
            <w:tcW w:w="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w:t>
            </w:r>
          </w:p>
        </w:tc>
      </w:tr>
      <w:tr>
        <w:trPr>
          <w:trHeight w:val="177"/>
        </w:trPr>
        <w:tc>
          <w:tcPr>
            <w:tcW w:w="5140" w:type="dxa"/>
            <w:vAlign w:val="bottom"/>
            <w:gridSpan w:val="2"/>
          </w:tcPr>
          <w:p>
            <w:pPr>
              <w:spacing w:after="0" w:line="172" w:lineRule="exact"/>
              <w:rPr>
                <w:sz w:val="20"/>
                <w:szCs w:val="20"/>
                <w:color w:val="auto"/>
              </w:rPr>
            </w:pPr>
            <w:r>
              <w:rPr>
                <w:rFonts w:ascii="Arial" w:cs="Arial" w:eastAsia="Arial" w:hAnsi="Arial"/>
                <w:sz w:val="15"/>
                <w:szCs w:val="15"/>
                <w:color w:val="auto"/>
              </w:rPr>
              <w:t>Total Risk-Weighted Assets</w:t>
            </w:r>
          </w:p>
        </w:tc>
        <w:tc>
          <w:tcPr>
            <w:tcW w:w="900" w:type="dxa"/>
            <w:vAlign w:val="bottom"/>
          </w:tcPr>
          <w:p>
            <w:pPr>
              <w:jc w:val="right"/>
              <w:spacing w:after="0"/>
              <w:rPr>
                <w:sz w:val="20"/>
                <w:szCs w:val="20"/>
                <w:color w:val="auto"/>
              </w:rPr>
            </w:pPr>
            <w:r>
              <w:rPr>
                <w:rFonts w:ascii="Arial" w:cs="Arial" w:eastAsia="Arial" w:hAnsi="Arial"/>
                <w:sz w:val="15"/>
                <w:szCs w:val="15"/>
                <w:color w:val="auto"/>
              </w:rPr>
              <w:t>123,718,427</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134,128,850</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142,084,684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226"/>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14.8%</w:t>
            </w:r>
          </w:p>
        </w:tc>
      </w:tr>
      <w:tr>
        <w:trPr>
          <w:trHeight w:val="184"/>
        </w:trPr>
        <w:tc>
          <w:tcPr>
            <w:tcW w:w="51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 RWA Intangible assets, excluding goodwill</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3,491,859</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6,330,168</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6,802,121</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6"/>
              <w:spacing w:after="0"/>
              <w:rPr>
                <w:sz w:val="20"/>
                <w:szCs w:val="20"/>
                <w:color w:val="auto"/>
              </w:rPr>
            </w:pPr>
            <w:r>
              <w:rPr>
                <w:rFonts w:ascii="Arial" w:cs="Arial" w:eastAsia="Arial" w:hAnsi="Arial"/>
                <w:sz w:val="15"/>
                <w:szCs w:val="15"/>
                <w:color w:val="auto"/>
              </w:rPr>
              <w:t>7.5%</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94.8%</w:t>
            </w:r>
          </w:p>
        </w:tc>
      </w:tr>
      <w:tr>
        <w:trPr>
          <w:trHeight w:val="176"/>
        </w:trPr>
        <w:tc>
          <w:tcPr>
            <w:tcW w:w="5140" w:type="dxa"/>
            <w:vAlign w:val="bottom"/>
            <w:gridSpan w:val="2"/>
          </w:tcPr>
          <w:p>
            <w:pPr>
              <w:ind w:left="140"/>
              <w:spacing w:after="0"/>
              <w:rPr>
                <w:sz w:val="20"/>
                <w:szCs w:val="20"/>
                <w:color w:val="auto"/>
              </w:rPr>
            </w:pPr>
            <w:r>
              <w:rPr>
                <w:rFonts w:ascii="Arial" w:cs="Arial" w:eastAsia="Arial" w:hAnsi="Arial"/>
                <w:sz w:val="15"/>
                <w:szCs w:val="15"/>
                <w:color w:val="auto"/>
                <w:w w:val="95"/>
              </w:rPr>
              <w:t>(+) RWA Deferred tax assets generated as a result of temporary differences in</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0"/>
        </w:trPr>
        <w:tc>
          <w:tcPr>
            <w:tcW w:w="5140" w:type="dxa"/>
            <w:vAlign w:val="bottom"/>
            <w:gridSpan w:val="2"/>
          </w:tcPr>
          <w:p>
            <w:pPr>
              <w:ind w:left="300"/>
              <w:spacing w:after="0"/>
              <w:rPr>
                <w:sz w:val="20"/>
                <w:szCs w:val="20"/>
                <w:color w:val="auto"/>
              </w:rPr>
            </w:pPr>
            <w:r>
              <w:rPr>
                <w:rFonts w:ascii="Arial" w:cs="Arial" w:eastAsia="Arial" w:hAnsi="Arial"/>
                <w:sz w:val="15"/>
                <w:szCs w:val="15"/>
                <w:color w:val="auto"/>
              </w:rPr>
              <w:t>income tax, in excess of 10% of CET1</w:t>
            </w:r>
          </w:p>
        </w:tc>
        <w:tc>
          <w:tcPr>
            <w:tcW w:w="900" w:type="dxa"/>
            <w:vAlign w:val="bottom"/>
          </w:tcPr>
          <w:p>
            <w:pPr>
              <w:jc w:val="right"/>
              <w:spacing w:after="0"/>
              <w:rPr>
                <w:sz w:val="20"/>
                <w:szCs w:val="20"/>
                <w:color w:val="auto"/>
              </w:rPr>
            </w:pPr>
            <w:r>
              <w:rPr>
                <w:rFonts w:ascii="Arial" w:cs="Arial" w:eastAsia="Arial" w:hAnsi="Arial"/>
                <w:sz w:val="15"/>
                <w:szCs w:val="15"/>
                <w:color w:val="auto"/>
              </w:rPr>
              <w:t>396,299</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440,012</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507,578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226"/>
              <w:spacing w:after="0"/>
              <w:rPr>
                <w:sz w:val="20"/>
                <w:szCs w:val="20"/>
                <w:color w:val="auto"/>
              </w:rPr>
            </w:pPr>
            <w:r>
              <w:rPr>
                <w:rFonts w:ascii="Arial" w:cs="Arial" w:eastAsia="Arial" w:hAnsi="Arial"/>
                <w:sz w:val="15"/>
                <w:szCs w:val="15"/>
                <w:color w:val="auto"/>
              </w:rPr>
              <w:t>15.4%</w:t>
            </w:r>
          </w:p>
        </w:tc>
        <w:tc>
          <w:tcPr>
            <w:tcW w:w="80" w:type="dxa"/>
            <w:vAlign w:val="bottom"/>
          </w:tcPr>
          <w:p>
            <w:pPr>
              <w:spacing w:after="0"/>
              <w:rPr>
                <w:sz w:val="16"/>
                <w:szCs w:val="16"/>
                <w:color w:val="auto"/>
              </w:rPr>
            </w:pPr>
          </w:p>
        </w:tc>
        <w:tc>
          <w:tcPr>
            <w:tcW w:w="980" w:type="dxa"/>
            <w:vAlign w:val="bottom"/>
            <w:gridSpan w:val="2"/>
          </w:tcPr>
          <w:p>
            <w:pPr>
              <w:jc w:val="right"/>
              <w:ind w:right="86"/>
              <w:spacing w:after="0"/>
              <w:rPr>
                <w:sz w:val="20"/>
                <w:szCs w:val="20"/>
                <w:color w:val="auto"/>
              </w:rPr>
            </w:pPr>
            <w:r>
              <w:rPr>
                <w:rFonts w:ascii="Arial" w:cs="Arial" w:eastAsia="Arial" w:hAnsi="Arial"/>
                <w:sz w:val="15"/>
                <w:szCs w:val="15"/>
                <w:color w:val="auto"/>
              </w:rPr>
              <w:t>—</w:t>
            </w:r>
          </w:p>
        </w:tc>
      </w:tr>
      <w:tr>
        <w:trPr>
          <w:trHeight w:val="179"/>
        </w:trPr>
        <w:tc>
          <w:tcPr>
            <w:tcW w:w="51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 RWA Deferred tax assets generated as a</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5"/>
        </w:trPr>
        <w:tc>
          <w:tcPr>
            <w:tcW w:w="51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result of past losses</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86"/>
              <w:spacing w:after="0"/>
              <w:rPr>
                <w:sz w:val="20"/>
                <w:szCs w:val="20"/>
                <w:color w:val="auto"/>
              </w:rPr>
            </w:pPr>
            <w:r>
              <w:rPr>
                <w:rFonts w:ascii="Arial" w:cs="Arial" w:eastAsia="Arial" w:hAnsi="Arial"/>
                <w:sz w:val="15"/>
                <w:szCs w:val="15"/>
                <w:color w:val="auto"/>
              </w:rPr>
              <w:t>—</w:t>
            </w:r>
          </w:p>
        </w:tc>
      </w:tr>
      <w:tr>
        <w:trPr>
          <w:trHeight w:val="177"/>
        </w:trPr>
        <w:tc>
          <w:tcPr>
            <w:tcW w:w="5140" w:type="dxa"/>
            <w:vAlign w:val="bottom"/>
            <w:tcBorders>
              <w:bottom w:val="single" w:sz="8" w:color="CCEEFF"/>
            </w:tcBorders>
            <w:gridSpan w:val="2"/>
          </w:tcPr>
          <w:p>
            <w:pPr>
              <w:spacing w:after="0" w:line="172" w:lineRule="exact"/>
              <w:rPr>
                <w:sz w:val="20"/>
                <w:szCs w:val="20"/>
                <w:color w:val="auto"/>
              </w:rPr>
            </w:pPr>
            <w:r>
              <w:rPr>
                <w:rFonts w:ascii="Arial" w:cs="Arial" w:eastAsia="Arial" w:hAnsi="Arial"/>
                <w:sz w:val="15"/>
                <w:szCs w:val="15"/>
                <w:b w:val="1"/>
                <w:bCs w:val="1"/>
                <w:color w:val="auto"/>
              </w:rPr>
              <w:t>Total capital requirement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15,765,636</w:t>
            </w:r>
          </w:p>
        </w:tc>
        <w:tc>
          <w:tcPr>
            <w:tcW w:w="34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16,982,136</w:t>
            </w:r>
          </w:p>
        </w:tc>
        <w:tc>
          <w:tcPr>
            <w:tcW w:w="34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16,346,724</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(3.7</w:t>
            </w:r>
          </w:p>
        </w:tc>
        <w:tc>
          <w:tcPr>
            <w:tcW w:w="420" w:type="dxa"/>
            <w:vAlign w:val="bottom"/>
            <w:tcBorders>
              <w:bottom w:val="single" w:sz="8" w:color="CCEEFF"/>
            </w:tcBorders>
          </w:tcPr>
          <w:p>
            <w:pPr>
              <w:spacing w:after="0" w:line="172" w:lineRule="exact"/>
              <w:rPr>
                <w:sz w:val="20"/>
                <w:szCs w:val="20"/>
                <w:color w:val="auto"/>
              </w:rPr>
            </w:pPr>
            <w:r>
              <w:rPr>
                <w:rFonts w:ascii="Arial" w:cs="Arial" w:eastAsia="Arial" w:hAnsi="Arial"/>
                <w:sz w:val="15"/>
                <w:szCs w:val="15"/>
                <w:b w:val="1"/>
                <w:bCs w:val="1"/>
                <w:color w:val="auto"/>
              </w:rPr>
              <w:t>)%</w:t>
            </w:r>
          </w:p>
        </w:tc>
        <w:tc>
          <w:tcPr>
            <w:tcW w:w="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3.7</w:t>
            </w:r>
          </w:p>
        </w:tc>
        <w:tc>
          <w:tcPr>
            <w:tcW w:w="160" w:type="dxa"/>
            <w:vAlign w:val="bottom"/>
            <w:tcBorders>
              <w:bottom w:val="single" w:sz="8" w:color="CCEEFF"/>
            </w:tcBorders>
          </w:tcPr>
          <w:p>
            <w:pPr>
              <w:spacing w:after="0" w:line="172" w:lineRule="exact"/>
              <w:rPr>
                <w:sz w:val="20"/>
                <w:szCs w:val="20"/>
                <w:color w:val="auto"/>
              </w:rPr>
            </w:pPr>
            <w:r>
              <w:rPr>
                <w:rFonts w:ascii="Arial" w:cs="Arial" w:eastAsia="Arial" w:hAnsi="Arial"/>
                <w:sz w:val="15"/>
                <w:szCs w:val="15"/>
                <w:b w:val="1"/>
                <w:bCs w:val="1"/>
                <w:color w:val="auto"/>
              </w:rPr>
              <w:t>%</w:t>
            </w:r>
          </w:p>
        </w:tc>
      </w:tr>
      <w:tr>
        <w:trPr>
          <w:trHeight w:val="177"/>
        </w:trPr>
        <w:tc>
          <w:tcPr>
            <w:tcW w:w="514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rPr>
              <w:t>Credit risk capital requirement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11,202,354</w:t>
            </w: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12,223,393</w:t>
            </w: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12,933,139</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26"/>
              <w:spacing w:after="0"/>
              <w:rPr>
                <w:sz w:val="20"/>
                <w:szCs w:val="20"/>
                <w:color w:val="auto"/>
              </w:rPr>
            </w:pPr>
            <w:r>
              <w:rPr>
                <w:rFonts w:ascii="Arial" w:cs="Arial" w:eastAsia="Arial" w:hAnsi="Arial"/>
                <w:sz w:val="15"/>
                <w:szCs w:val="15"/>
                <w:color w:val="auto"/>
              </w:rPr>
              <w:t>5.8%</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15.5%</w:t>
            </w:r>
          </w:p>
        </w:tc>
      </w:tr>
      <w:tr>
        <w:trPr>
          <w:trHeight w:val="184"/>
        </w:trPr>
        <w:tc>
          <w:tcPr>
            <w:tcW w:w="5140" w:type="dxa"/>
            <w:vAlign w:val="bottom"/>
            <w:gridSpan w:val="2"/>
          </w:tcPr>
          <w:p>
            <w:pPr>
              <w:spacing w:after="0"/>
              <w:rPr>
                <w:sz w:val="20"/>
                <w:szCs w:val="20"/>
                <w:color w:val="auto"/>
              </w:rPr>
            </w:pPr>
            <w:r>
              <w:rPr>
                <w:rFonts w:ascii="Arial" w:cs="Arial" w:eastAsia="Arial" w:hAnsi="Arial"/>
                <w:sz w:val="15"/>
                <w:szCs w:val="15"/>
                <w:color w:val="auto"/>
              </w:rPr>
              <w:t>Market Risk-Weighted Assets(5)</w:t>
            </w:r>
          </w:p>
        </w:tc>
        <w:tc>
          <w:tcPr>
            <w:tcW w:w="900" w:type="dxa"/>
            <w:vAlign w:val="bottom"/>
          </w:tcPr>
          <w:p>
            <w:pPr>
              <w:jc w:val="right"/>
              <w:spacing w:after="0"/>
              <w:rPr>
                <w:sz w:val="20"/>
                <w:szCs w:val="20"/>
                <w:color w:val="auto"/>
              </w:rPr>
            </w:pPr>
            <w:r>
              <w:rPr>
                <w:rFonts w:ascii="Arial" w:cs="Arial" w:eastAsia="Arial" w:hAnsi="Arial"/>
                <w:sz w:val="15"/>
                <w:szCs w:val="15"/>
                <w:color w:val="auto"/>
              </w:rPr>
              <w:t>252,803</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226,384</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307,477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226"/>
              <w:spacing w:after="0"/>
              <w:rPr>
                <w:sz w:val="20"/>
                <w:szCs w:val="20"/>
                <w:color w:val="auto"/>
              </w:rPr>
            </w:pPr>
            <w:r>
              <w:rPr>
                <w:rFonts w:ascii="Arial" w:cs="Arial" w:eastAsia="Arial" w:hAnsi="Arial"/>
                <w:sz w:val="15"/>
                <w:szCs w:val="15"/>
                <w:color w:val="auto"/>
              </w:rPr>
              <w:t>35.8%</w:t>
            </w:r>
          </w:p>
        </w:tc>
        <w:tc>
          <w:tcPr>
            <w:tcW w:w="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21.6%</w:t>
            </w:r>
          </w:p>
        </w:tc>
      </w:tr>
      <w:tr>
        <w:trPr>
          <w:trHeight w:val="184"/>
        </w:trPr>
        <w:tc>
          <w:tcPr>
            <w:tcW w:w="5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Operational risk capital requirement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916,686</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963,109</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967,853</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6"/>
              <w:spacing w:after="0"/>
              <w:rPr>
                <w:sz w:val="20"/>
                <w:szCs w:val="20"/>
                <w:color w:val="auto"/>
              </w:rPr>
            </w:pPr>
            <w:r>
              <w:rPr>
                <w:rFonts w:ascii="Arial" w:cs="Arial" w:eastAsia="Arial" w:hAnsi="Arial"/>
                <w:sz w:val="15"/>
                <w:szCs w:val="15"/>
                <w:color w:val="auto"/>
              </w:rPr>
              <w:t>0.5%</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5.6%</w:t>
            </w:r>
          </w:p>
        </w:tc>
      </w:tr>
      <w:tr>
        <w:trPr>
          <w:trHeight w:val="194"/>
        </w:trPr>
        <w:tc>
          <w:tcPr>
            <w:tcW w:w="5140" w:type="dxa"/>
            <w:vAlign w:val="bottom"/>
            <w:gridSpan w:val="2"/>
          </w:tcPr>
          <w:p>
            <w:pPr>
              <w:spacing w:after="0"/>
              <w:rPr>
                <w:sz w:val="20"/>
                <w:szCs w:val="20"/>
                <w:color w:val="auto"/>
              </w:rPr>
            </w:pPr>
            <w:r>
              <w:rPr>
                <w:rFonts w:ascii="Arial" w:cs="Arial" w:eastAsia="Arial" w:hAnsi="Arial"/>
                <w:sz w:val="15"/>
                <w:szCs w:val="15"/>
                <w:color w:val="auto"/>
              </w:rPr>
              <w:t>Additional capital requirements</w:t>
            </w:r>
          </w:p>
        </w:tc>
        <w:tc>
          <w:tcPr>
            <w:tcW w:w="900" w:type="dxa"/>
            <w:vAlign w:val="bottom"/>
          </w:tcPr>
          <w:p>
            <w:pPr>
              <w:jc w:val="right"/>
              <w:spacing w:after="0"/>
              <w:rPr>
                <w:sz w:val="20"/>
                <w:szCs w:val="20"/>
                <w:color w:val="auto"/>
              </w:rPr>
            </w:pPr>
            <w:r>
              <w:rPr>
                <w:rFonts w:ascii="Arial" w:cs="Arial" w:eastAsia="Arial" w:hAnsi="Arial"/>
                <w:sz w:val="15"/>
                <w:szCs w:val="15"/>
                <w:color w:val="auto"/>
              </w:rPr>
              <w:t>3,393,794</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3,569,251</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2,138,255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6"/>
              <w:spacing w:after="0"/>
              <w:rPr>
                <w:sz w:val="20"/>
                <w:szCs w:val="20"/>
                <w:color w:val="auto"/>
              </w:rPr>
            </w:pPr>
            <w:r>
              <w:rPr>
                <w:rFonts w:ascii="Arial" w:cs="Arial" w:eastAsia="Arial" w:hAnsi="Arial"/>
                <w:sz w:val="15"/>
                <w:szCs w:val="15"/>
                <w:color w:val="auto"/>
              </w:rPr>
              <w:t>(40.1)%</w:t>
            </w:r>
          </w:p>
        </w:tc>
        <w:tc>
          <w:tcPr>
            <w:tcW w:w="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(37.0)%</w:t>
            </w:r>
          </w:p>
        </w:tc>
      </w:tr>
      <w:tr>
        <w:trPr>
          <w:trHeight w:val="179"/>
        </w:trPr>
        <w:tc>
          <w:tcPr>
            <w:tcW w:w="5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Capital ratios</w:t>
            </w:r>
          </w:p>
        </w:tc>
        <w:tc>
          <w:tcPr>
            <w:tcW w:w="9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184"/>
        </w:trPr>
        <w:tc>
          <w:tcPr>
            <w:tcW w:w="5140" w:type="dxa"/>
            <w:vAlign w:val="bottom"/>
            <w:gridSpan w:val="2"/>
          </w:tcPr>
          <w:p>
            <w:pPr>
              <w:spacing w:after="0"/>
              <w:rPr>
                <w:sz w:val="20"/>
                <w:szCs w:val="20"/>
                <w:color w:val="auto"/>
              </w:rPr>
            </w:pPr>
            <w:r>
              <w:rPr>
                <w:rFonts w:ascii="Arial" w:cs="Arial" w:eastAsia="Arial" w:hAnsi="Arial"/>
                <w:sz w:val="15"/>
                <w:szCs w:val="15"/>
                <w:color w:val="auto"/>
              </w:rPr>
              <w:t>Tier I ratio(6)</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11.73%</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11.07%</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10.33%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4"/>
        </w:trPr>
        <w:tc>
          <w:tcPr>
            <w:tcW w:w="5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Common Equity Tier I ratio(7)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11.39%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12.35%</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11.89%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84"/>
        </w:trPr>
        <w:tc>
          <w:tcPr>
            <w:tcW w:w="5140" w:type="dxa"/>
            <w:vAlign w:val="bottom"/>
            <w:gridSpan w:val="2"/>
          </w:tcPr>
          <w:p>
            <w:pPr>
              <w:spacing w:after="0"/>
              <w:rPr>
                <w:sz w:val="20"/>
                <w:szCs w:val="20"/>
                <w:color w:val="auto"/>
              </w:rPr>
            </w:pPr>
            <w:r>
              <w:rPr>
                <w:rFonts w:ascii="Arial" w:cs="Arial" w:eastAsia="Arial" w:hAnsi="Arial"/>
                <w:sz w:val="15"/>
                <w:szCs w:val="15"/>
                <w:color w:val="auto"/>
              </w:rPr>
              <w:t>BIS ratio (8)</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15.49%</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14.47%</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13.52%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4"/>
        </w:trPr>
        <w:tc>
          <w:tcPr>
            <w:tcW w:w="5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Risk-Weighted Assets / Regulatory capital(9)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6.45</w:t>
            </w:r>
          </w:p>
        </w:tc>
        <w:tc>
          <w:tcPr>
            <w:tcW w:w="34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6.91</w:t>
            </w:r>
          </w:p>
        </w:tc>
        <w:tc>
          <w:tcPr>
            <w:tcW w:w="34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7.39</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86255"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01" w:lineRule="exact"/>
        <w:rPr>
          <w:sz w:val="20"/>
          <w:szCs w:val="20"/>
          <w:color w:val="auto"/>
        </w:rPr>
      </w:pPr>
    </w:p>
    <w:p>
      <w:pPr>
        <w:ind w:left="302" w:hanging="302"/>
        <w:spacing w:after="0"/>
        <w:tabs>
          <w:tab w:leader="none" w:pos="30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Up to 1.25% of total Risk-Weighted Assets .</w:t>
      </w:r>
    </w:p>
    <w:p>
      <w:pPr>
        <w:spacing w:after="0" w:line="209" w:lineRule="exact"/>
        <w:rPr>
          <w:rFonts w:ascii="Arial" w:cs="Arial" w:eastAsia="Arial" w:hAnsi="Arial"/>
          <w:sz w:val="16"/>
          <w:szCs w:val="16"/>
          <w:color w:val="auto"/>
        </w:rPr>
      </w:pPr>
    </w:p>
    <w:p>
      <w:pPr>
        <w:ind w:left="302" w:right="20" w:hanging="302"/>
        <w:spacing w:after="0" w:line="298" w:lineRule="auto"/>
        <w:tabs>
          <w:tab w:leader="none" w:pos="302"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Tier I is equal to Capital plus Legal and other capital reserves plus Accumulated earnings with capitalization agreement plus (0.5 x Unrealized profit and net income in subsidiaries) less Goodwill less (0.5 x Investment in subsidiaries) plus Perpetual subordinated debt (maximum amount that can be included is 17.65% of Capital plus Reserves plus Accumulated earnings with capitalization agreement plus Unrealized profit and net income in subsidiaries less Goodwill).</w:t>
      </w:r>
    </w:p>
    <w:p>
      <w:pPr>
        <w:spacing w:after="0" w:line="143" w:lineRule="exact"/>
        <w:rPr>
          <w:rFonts w:ascii="Arial" w:cs="Arial" w:eastAsia="Arial" w:hAnsi="Arial"/>
          <w:sz w:val="15"/>
          <w:szCs w:val="15"/>
          <w:color w:val="auto"/>
        </w:rPr>
      </w:pPr>
    </w:p>
    <w:p>
      <w:pPr>
        <w:ind w:left="302" w:hanging="302"/>
        <w:spacing w:after="0"/>
        <w:tabs>
          <w:tab w:leader="none" w:pos="302"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Tier II is equal to Subordinated debt plus Loan loss reserves plus (0.5 x Unrealized profit and net income in subsidiaries) less (0.5 x Investment in subsidiaries).</w:t>
      </w:r>
    </w:p>
    <w:p>
      <w:pPr>
        <w:spacing w:after="0" w:line="220" w:lineRule="exact"/>
        <w:rPr>
          <w:rFonts w:ascii="Arial" w:cs="Arial" w:eastAsia="Arial" w:hAnsi="Arial"/>
          <w:sz w:val="15"/>
          <w:szCs w:val="15"/>
          <w:color w:val="auto"/>
        </w:rPr>
      </w:pPr>
    </w:p>
    <w:p>
      <w:pPr>
        <w:ind w:left="302" w:hanging="302"/>
        <w:spacing w:after="0"/>
        <w:tabs>
          <w:tab w:leader="none" w:pos="30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Tier III is equal to Subordinated debt covering market risk only. Tier III exists since the first quarter of 2010.</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It includes capital requirement to cover price and rate risk.</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Tier I / Total Risk-Weighted Assets.</w:t>
      </w:r>
    </w:p>
    <w:p>
      <w:pPr>
        <w:spacing w:after="0" w:line="209" w:lineRule="exact"/>
        <w:rPr>
          <w:rFonts w:ascii="Arial" w:cs="Arial" w:eastAsia="Arial" w:hAnsi="Arial"/>
          <w:sz w:val="16"/>
          <w:szCs w:val="16"/>
          <w:color w:val="auto"/>
        </w:rPr>
      </w:pPr>
    </w:p>
    <w:p>
      <w:pPr>
        <w:ind w:left="302" w:right="200" w:hanging="302"/>
        <w:spacing w:after="0" w:line="287" w:lineRule="auto"/>
        <w:tabs>
          <w:tab w:leader="none" w:pos="30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Common Equity Tier I is equal to Capital plus Reserves less 100% of applicable deductions (investment in subsidiaries, goodwill, intangibles and net deferred taxes that rely on future profitability) plus retained earnings plus unrealized gains.</w:t>
      </w:r>
    </w:p>
    <w:p>
      <w:pPr>
        <w:spacing w:after="0" w:line="149" w:lineRule="exact"/>
        <w:rPr>
          <w:rFonts w:ascii="Arial" w:cs="Arial" w:eastAsia="Arial" w:hAnsi="Arial"/>
          <w:sz w:val="16"/>
          <w:szCs w:val="16"/>
          <w:color w:val="auto"/>
        </w:rPr>
      </w:pPr>
    </w:p>
    <w:p>
      <w:pPr>
        <w:ind w:left="302" w:right="40"/>
        <w:spacing w:after="0" w:line="322" w:lineRule="auto"/>
        <w:rPr>
          <w:rFonts w:ascii="Arial" w:cs="Arial" w:eastAsia="Arial" w:hAnsi="Arial"/>
          <w:sz w:val="16"/>
          <w:szCs w:val="16"/>
          <w:color w:val="auto"/>
        </w:rPr>
      </w:pPr>
      <w:r>
        <w:rPr>
          <w:rFonts w:ascii="Arial" w:cs="Arial" w:eastAsia="Arial" w:hAnsi="Arial"/>
          <w:sz w:val="15"/>
          <w:szCs w:val="15"/>
          <w:color w:val="auto"/>
        </w:rPr>
        <w:t>Adjusted Risk-Weighted Assets is equal to Risk-Weighted Assets less (RWA Intangible assets, excluding goodwill, plus RWA Deferred tax assets generated as a result of temporary differences in income tax, in excess of 10% of CET1, plus RWA Deferred tax assets generated as a result of past losses).”</w:t>
      </w:r>
    </w:p>
    <w:p>
      <w:pPr>
        <w:spacing w:after="0" w:line="126" w:lineRule="exact"/>
        <w:rPr>
          <w:rFonts w:ascii="Arial" w:cs="Arial" w:eastAsia="Arial" w:hAnsi="Arial"/>
          <w:sz w:val="16"/>
          <w:szCs w:val="16"/>
          <w:color w:val="auto"/>
        </w:rPr>
      </w:pPr>
    </w:p>
    <w:p>
      <w:pPr>
        <w:ind w:left="302" w:hanging="302"/>
        <w:spacing w:after="0"/>
        <w:tabs>
          <w:tab w:leader="none" w:pos="30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Regulatory Capital / Risk-Weighted Assets (the legal minimum has been 10% since July 2011)</w:t>
      </w:r>
    </w:p>
    <w:p>
      <w:pPr>
        <w:spacing w:after="0" w:line="209" w:lineRule="exact"/>
        <w:rPr>
          <w:rFonts w:ascii="Arial" w:cs="Arial" w:eastAsia="Arial" w:hAnsi="Arial"/>
          <w:sz w:val="16"/>
          <w:szCs w:val="16"/>
          <w:color w:val="auto"/>
        </w:rPr>
      </w:pPr>
    </w:p>
    <w:p>
      <w:pPr>
        <w:ind w:left="302" w:right="20" w:hanging="302"/>
        <w:spacing w:after="0" w:line="287" w:lineRule="auto"/>
        <w:tabs>
          <w:tab w:leader="none" w:pos="30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Since July 2012, Risk-Weighted Assets is equal to Credit Risk-Weighted Assets multiplied by 1.00 plus Capital requirement to cover market risk multiplied by 10 plus Capital requirement to cover operational risk multiplied by 10 multiplied by 1.00 (since July 2014).</w:t>
      </w:r>
    </w:p>
    <w:p>
      <w:pPr>
        <w:spacing w:after="0" w:line="150" w:lineRule="exact"/>
        <w:rPr>
          <w:sz w:val="20"/>
          <w:szCs w:val="20"/>
          <w:color w:val="auto"/>
        </w:rPr>
      </w:pPr>
    </w:p>
    <w:p>
      <w:pPr>
        <w:jc w:val="both"/>
        <w:ind w:left="2" w:right="140" w:firstLine="295"/>
        <w:spacing w:after="0" w:line="271" w:lineRule="auto"/>
        <w:rPr>
          <w:sz w:val="20"/>
          <w:szCs w:val="20"/>
          <w:color w:val="auto"/>
        </w:rPr>
      </w:pPr>
      <w:r>
        <w:rPr>
          <w:rFonts w:ascii="Arial" w:cs="Arial" w:eastAsia="Arial" w:hAnsi="Arial"/>
          <w:sz w:val="16"/>
          <w:szCs w:val="16"/>
          <w:color w:val="auto"/>
        </w:rPr>
        <w:t>As of March 31, 2020, the BIS and Tier I ratios at BCP were 13.52% and 10.33% respectively. This was attributable to an increase in RWAs as of March 31, 2020 of 5.9% compared to December 31, 2019. Furthermore, no capitalization on retained earnings was done in March at BCP, since the board of directors’ annual meeting took place in April 2020 due to government lockdown restrictions.</w:t>
      </w:r>
    </w:p>
    <w:p>
      <w:pPr>
        <w:spacing w:after="0" w:line="163" w:lineRule="exact"/>
        <w:rPr>
          <w:sz w:val="20"/>
          <w:szCs w:val="20"/>
          <w:color w:val="auto"/>
        </w:rPr>
      </w:pPr>
    </w:p>
    <w:p>
      <w:pPr>
        <w:jc w:val="both"/>
        <w:ind w:left="2" w:right="140" w:firstLine="295"/>
        <w:spacing w:after="0" w:line="271" w:lineRule="auto"/>
        <w:rPr>
          <w:sz w:val="20"/>
          <w:szCs w:val="20"/>
          <w:color w:val="auto"/>
        </w:rPr>
      </w:pPr>
      <w:r>
        <w:rPr>
          <w:rFonts w:ascii="Arial" w:cs="Arial" w:eastAsia="Arial" w:hAnsi="Arial"/>
          <w:sz w:val="16"/>
          <w:szCs w:val="16"/>
          <w:color w:val="auto"/>
        </w:rPr>
        <w:t>Total regulatory capital as of March 31, 2020 fell 1% compared to December 31, 2019, which was attributable to a full capitalization of 2019 retained earnings at the subsidiary level. Total RWAs increased due to growth in Credit RWAs (an increase of 5.8% as of March 31, 2020 compared to December 31, 2019) in line with the 5.4% growth loan balances as of March 31, 2020 compared to December 31, 2019.</w:t>
      </w:r>
    </w:p>
    <w:p>
      <w:pPr>
        <w:spacing w:after="0" w:line="35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520" w:right="339" w:bottom="93" w:gutter="0" w:footer="0" w:header="0"/>
        </w:sectPr>
      </w:pPr>
    </w:p>
    <w:bookmarkStart w:id="147" w:name="page148"/>
    <w:bookmarkEnd w:id="147"/>
    <w:p>
      <w:pPr>
        <w:ind w:right="300" w:firstLine="295"/>
        <w:spacing w:after="0" w:line="322" w:lineRule="auto"/>
        <w:rPr>
          <w:sz w:val="20"/>
          <w:szCs w:val="20"/>
          <w:color w:val="auto"/>
        </w:rPr>
      </w:pPr>
      <w:r>
        <w:rPr>
          <w:rFonts w:ascii="Arial" w:cs="Arial" w:eastAsia="Arial" w:hAnsi="Arial"/>
          <w:sz w:val="15"/>
          <w:szCs w:val="15"/>
          <w:color w:val="auto"/>
        </w:rPr>
        <w:t>Comparing March 31, 2020 to March 31, 2019 shows a decrease in the BIS Ratio and in the Tier I ratio. This was attributable to the fact that the growth posted for RWAs outpaced the expansion registered for regulatory and Tier I capital, and the capitalization decision was made in April, instead of March, in 2020.</w:t>
      </w:r>
    </w:p>
    <w:p>
      <w:pPr>
        <w:spacing w:after="0" w:line="127" w:lineRule="exact"/>
        <w:rPr>
          <w:sz w:val="20"/>
          <w:szCs w:val="20"/>
          <w:color w:val="auto"/>
        </w:rPr>
      </w:pPr>
    </w:p>
    <w:p>
      <w:pPr>
        <w:ind w:right="60" w:firstLine="295"/>
        <w:spacing w:after="0" w:line="271" w:lineRule="auto"/>
        <w:rPr>
          <w:sz w:val="20"/>
          <w:szCs w:val="20"/>
          <w:color w:val="auto"/>
        </w:rPr>
      </w:pPr>
      <w:r>
        <w:rPr>
          <w:rFonts w:ascii="Arial" w:cs="Arial" w:eastAsia="Arial" w:hAnsi="Arial"/>
          <w:sz w:val="16"/>
          <w:szCs w:val="16"/>
          <w:color w:val="auto"/>
        </w:rPr>
        <w:t>The evolution of total RWAs when comparing March 31, 2020 to March 31, 2019 mainly reflects an increase of 15.5% in Credit RWAS and to a lesser extent, an expansion in market risk and operational RWAs. This growth primarily reflects the effect of 12.0% growth in loan balances when comparing March 31, 2020 to March 31, 2019.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Common Equity Tier I Ratio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1508125</wp:posOffset>
            </wp:positionV>
            <wp:extent cx="178625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86255" cy="7620"/>
                    </a:xfrm>
                    <a:prstGeom prst="rect">
                      <a:avLst/>
                    </a:prstGeom>
                    <a:noFill/>
                  </pic:spPr>
                </pic:pic>
              </a:graphicData>
            </a:graphic>
          </wp:anchor>
        </w:drawing>
        <w:drawing>
          <wp:anchor simplePos="0" relativeHeight="251657728" behindDoc="1" locked="0" layoutInCell="0" allowOverlap="1">
            <wp:simplePos x="0" y="0"/>
            <wp:positionH relativeFrom="column">
              <wp:posOffset>1176655</wp:posOffset>
            </wp:positionH>
            <wp:positionV relativeFrom="paragraph">
              <wp:posOffset>142875</wp:posOffset>
            </wp:positionV>
            <wp:extent cx="4812665" cy="12090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812665"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(1)  Includes investments in BCP Bolivia and other subsidiaries.</w:t>
      </w:r>
    </w:p>
    <w:p>
      <w:pPr>
        <w:spacing w:after="0" w:line="209" w:lineRule="exact"/>
        <w:rPr>
          <w:sz w:val="20"/>
          <w:szCs w:val="20"/>
          <w:color w:val="auto"/>
        </w:rPr>
      </w:pPr>
    </w:p>
    <w:p>
      <w:pPr>
        <w:ind w:right="60" w:firstLine="295"/>
        <w:spacing w:after="0" w:line="264" w:lineRule="auto"/>
        <w:rPr>
          <w:sz w:val="20"/>
          <w:szCs w:val="20"/>
          <w:color w:val="auto"/>
        </w:rPr>
      </w:pPr>
      <w:r>
        <w:rPr>
          <w:rFonts w:ascii="Arial" w:cs="Arial" w:eastAsia="Arial" w:hAnsi="Arial"/>
          <w:sz w:val="16"/>
          <w:szCs w:val="16"/>
          <w:color w:val="auto"/>
        </w:rPr>
        <w:t>Finally, the Tier I Common Equity (“CET1”) ratio, which is considered the most rigorous indicator with which to measure capitalization levels, reported a decrease of 46 basis points in the three months ended March 31, 2020 as compared to the three months ended March 31, 2019, and amounted to 11.89% at the end of the three months ended March 31, 2020. This was mainly attributable to an increase of 5.9% in adjusted RWAs in the three months ended March 31, 2020 as compared to the three months ended March 31, 2019. In a year-on-year analysis, the CET1 ratio increased 50 basis points in a context in which the Tier I Common Equity rose 17.5%, while adjusted RWAs increased 12.6%.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80" w:type="dxa"/>
            <w:vAlign w:val="bottom"/>
            <w:gridSpan w:val="2"/>
          </w:tcPr>
          <w:p>
            <w:pPr>
              <w:ind w:left="160"/>
              <w:spacing w:after="0"/>
              <w:rPr>
                <w:sz w:val="20"/>
                <w:szCs w:val="20"/>
                <w:color w:val="auto"/>
              </w:rPr>
            </w:pPr>
            <w:r>
              <w:rPr>
                <w:rFonts w:ascii="Arial" w:cs="Arial" w:eastAsia="Arial" w:hAnsi="Arial"/>
                <w:sz w:val="16"/>
                <w:szCs w:val="16"/>
                <w:b w:val="1"/>
                <w:bCs w:val="1"/>
                <w:i w:val="1"/>
                <w:iCs w:val="1"/>
                <w:color w:val="auto"/>
              </w:rPr>
              <w:t>Deposits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06"/>
        </w:trPr>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As of</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tcPr>
          <w:p>
            <w:pPr>
              <w:jc w:val="right"/>
              <w:ind w:right="878"/>
              <w:spacing w:after="0"/>
              <w:rPr>
                <w:sz w:val="20"/>
                <w:szCs w:val="20"/>
                <w:color w:val="auto"/>
              </w:rPr>
            </w:pPr>
            <w:r>
              <w:rPr>
                <w:rFonts w:ascii="Arial" w:cs="Arial" w:eastAsia="Arial" w:hAnsi="Arial"/>
                <w:sz w:val="16"/>
                <w:szCs w:val="16"/>
                <w:b w:val="1"/>
                <w:bCs w:val="1"/>
                <w:color w:val="auto"/>
              </w:rPr>
              <w:t>% Change</w:t>
            </w:r>
          </w:p>
        </w:tc>
      </w:tr>
      <w:tr>
        <w:trPr>
          <w:trHeight w:val="173"/>
        </w:trPr>
        <w:tc>
          <w:tcPr>
            <w:tcW w:w="50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right"/>
              <w:ind w:right="598"/>
              <w:spacing w:after="0" w:line="173" w:lineRule="exact"/>
              <w:rPr>
                <w:sz w:val="20"/>
                <w:szCs w:val="20"/>
                <w:color w:val="auto"/>
              </w:rPr>
            </w:pPr>
            <w:r>
              <w:rPr>
                <w:rFonts w:ascii="Arial" w:cs="Arial" w:eastAsia="Arial" w:hAnsi="Arial"/>
                <w:sz w:val="16"/>
                <w:szCs w:val="16"/>
                <w:b w:val="1"/>
                <w:bCs w:val="1"/>
                <w:color w:val="auto"/>
              </w:rPr>
              <w:t>March</w:t>
            </w: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97"/>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98"/>
              <w:spacing w:after="0"/>
              <w:rPr>
                <w:sz w:val="20"/>
                <w:szCs w:val="20"/>
                <w:color w:val="auto"/>
              </w:rPr>
            </w:pPr>
            <w:r>
              <w:rPr>
                <w:rFonts w:ascii="Arial" w:cs="Arial" w:eastAsia="Arial" w:hAnsi="Arial"/>
                <w:sz w:val="16"/>
                <w:szCs w:val="16"/>
                <w:b w:val="1"/>
                <w:bCs w:val="1"/>
                <w:color w:val="auto"/>
                <w:w w:val="98"/>
              </w:rPr>
              <w:t>31, 2020 /</w:t>
            </w:r>
          </w:p>
        </w:tc>
        <w:tc>
          <w:tcPr>
            <w:tcW w:w="420" w:type="dxa"/>
            <w:vAlign w:val="bottom"/>
          </w:tcPr>
          <w:p>
            <w:pPr>
              <w:spacing w:after="0"/>
              <w:rPr>
                <w:sz w:val="17"/>
                <w:szCs w:val="17"/>
                <w:color w:val="auto"/>
              </w:rPr>
            </w:pPr>
          </w:p>
        </w:tc>
        <w:tc>
          <w:tcPr>
            <w:tcW w:w="1060" w:type="dxa"/>
            <w:vAlign w:val="bottom"/>
            <w:gridSpan w:val="2"/>
          </w:tcPr>
          <w:p>
            <w:pPr>
              <w:jc w:val="right"/>
              <w:ind w:right="358"/>
              <w:spacing w:after="0"/>
              <w:rPr>
                <w:sz w:val="20"/>
                <w:szCs w:val="20"/>
                <w:color w:val="auto"/>
              </w:rPr>
            </w:pPr>
            <w:r>
              <w:rPr>
                <w:rFonts w:ascii="Arial" w:cs="Arial" w:eastAsia="Arial" w:hAnsi="Arial"/>
                <w:sz w:val="16"/>
                <w:szCs w:val="16"/>
                <w:b w:val="1"/>
                <w:bCs w:val="1"/>
                <w:color w:val="auto"/>
              </w:rPr>
              <w:t>March</w:t>
            </w:r>
          </w:p>
        </w:tc>
      </w:tr>
      <w:tr>
        <w:trPr>
          <w:trHeight w:val="197"/>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w:t>
            </w:r>
          </w:p>
        </w:tc>
        <w:tc>
          <w:tcPr>
            <w:tcW w:w="12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3"/>
              </w:rPr>
              <w:t>December</w:t>
            </w:r>
          </w:p>
        </w:tc>
        <w:tc>
          <w:tcPr>
            <w:tcW w:w="1220" w:type="dxa"/>
            <w:vAlign w:val="bottom"/>
            <w:gridSpan w:val="3"/>
          </w:tcPr>
          <w:p>
            <w:pPr>
              <w:ind w:left="160"/>
              <w:spacing w:after="0"/>
              <w:rPr>
                <w:sz w:val="20"/>
                <w:szCs w:val="20"/>
                <w:color w:val="auto"/>
              </w:rPr>
            </w:pPr>
            <w:r>
              <w:rPr>
                <w:rFonts w:ascii="Arial" w:cs="Arial" w:eastAsia="Arial" w:hAnsi="Arial"/>
                <w:sz w:val="16"/>
                <w:szCs w:val="16"/>
                <w:b w:val="1"/>
                <w:bCs w:val="1"/>
                <w:color w:val="auto"/>
              </w:rPr>
              <w:t>March</w:t>
            </w:r>
          </w:p>
        </w:tc>
        <w:tc>
          <w:tcPr>
            <w:tcW w:w="1320" w:type="dxa"/>
            <w:vAlign w:val="bottom"/>
            <w:gridSpan w:val="2"/>
          </w:tcPr>
          <w:p>
            <w:pPr>
              <w:jc w:val="right"/>
              <w:ind w:right="478"/>
              <w:spacing w:after="0"/>
              <w:rPr>
                <w:sz w:val="20"/>
                <w:szCs w:val="20"/>
                <w:color w:val="auto"/>
              </w:rPr>
            </w:pPr>
            <w:r>
              <w:rPr>
                <w:rFonts w:ascii="Arial" w:cs="Arial" w:eastAsia="Arial" w:hAnsi="Arial"/>
                <w:sz w:val="16"/>
                <w:szCs w:val="16"/>
                <w:b w:val="1"/>
                <w:bCs w:val="1"/>
                <w:color w:val="auto"/>
                <w:w w:val="95"/>
              </w:rPr>
              <w:t>December</w:t>
            </w:r>
          </w:p>
        </w:tc>
        <w:tc>
          <w:tcPr>
            <w:tcW w:w="900" w:type="dxa"/>
            <w:vAlign w:val="bottom"/>
          </w:tcPr>
          <w:p>
            <w:pPr>
              <w:jc w:val="right"/>
              <w:ind w:right="98"/>
              <w:spacing w:after="0"/>
              <w:rPr>
                <w:sz w:val="20"/>
                <w:szCs w:val="20"/>
                <w:color w:val="auto"/>
              </w:rPr>
            </w:pPr>
            <w:r>
              <w:rPr>
                <w:rFonts w:ascii="Arial" w:cs="Arial" w:eastAsia="Arial" w:hAnsi="Arial"/>
                <w:sz w:val="16"/>
                <w:szCs w:val="16"/>
                <w:b w:val="1"/>
                <w:bCs w:val="1"/>
                <w:color w:val="auto"/>
                <w:w w:val="98"/>
              </w:rPr>
              <w:t>31, 2020 /</w:t>
            </w:r>
          </w:p>
        </w:tc>
        <w:tc>
          <w:tcPr>
            <w:tcW w:w="160" w:type="dxa"/>
            <w:vAlign w:val="bottom"/>
          </w:tcPr>
          <w:p>
            <w:pPr>
              <w:spacing w:after="0"/>
              <w:rPr>
                <w:sz w:val="17"/>
                <w:szCs w:val="17"/>
                <w:color w:val="auto"/>
              </w:rPr>
            </w:pPr>
          </w:p>
        </w:tc>
      </w:tr>
      <w:tr>
        <w:trPr>
          <w:trHeight w:val="212"/>
        </w:trPr>
        <w:tc>
          <w:tcPr>
            <w:tcW w:w="5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31, 2019</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89"/>
              </w:rPr>
              <w:t>31, 2019</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31, 2020</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31, 2019</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r>
      <w:tr>
        <w:trPr>
          <w:trHeight w:val="189"/>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760" w:type="dxa"/>
            <w:vAlign w:val="bottom"/>
            <w:gridSpan w:val="7"/>
          </w:tcPr>
          <w:p>
            <w:pPr>
              <w:jc w:val="right"/>
              <w:ind w:right="638"/>
              <w:spacing w:after="0"/>
              <w:rPr>
                <w:sz w:val="20"/>
                <w:szCs w:val="20"/>
                <w:color w:val="auto"/>
              </w:rPr>
            </w:pPr>
            <w:r>
              <w:rPr>
                <w:rFonts w:ascii="Arial" w:cs="Arial" w:eastAsia="Arial" w:hAnsi="Arial"/>
                <w:sz w:val="16"/>
                <w:szCs w:val="16"/>
                <w:b w:val="1"/>
                <w:bCs w:val="1"/>
                <w:color w:val="auto"/>
                <w:w w:val="95"/>
              </w:rPr>
              <w:t>(Soles in thousands, except percentages)</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7"/>
        </w:trPr>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Deposits and Obligations</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7"/>
        </w:trPr>
        <w:tc>
          <w:tcPr>
            <w:tcW w:w="5180" w:type="dxa"/>
            <w:vAlign w:val="bottom"/>
            <w:gridSpan w:val="2"/>
          </w:tcPr>
          <w:p>
            <w:pPr>
              <w:spacing w:after="0"/>
              <w:rPr>
                <w:sz w:val="20"/>
                <w:szCs w:val="20"/>
                <w:color w:val="auto"/>
              </w:rPr>
            </w:pPr>
            <w:r>
              <w:rPr>
                <w:rFonts w:ascii="Arial" w:cs="Arial" w:eastAsia="Arial" w:hAnsi="Arial"/>
                <w:sz w:val="16"/>
                <w:szCs w:val="16"/>
                <w:color w:val="auto"/>
              </w:rPr>
              <w:t>Demand deposits</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31,695,558</w:t>
            </w: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34,213,188</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38,746,240</w:t>
            </w:r>
          </w:p>
        </w:tc>
        <w:tc>
          <w:tcPr>
            <w:tcW w:w="100" w:type="dxa"/>
            <w:vAlign w:val="bottom"/>
          </w:tcPr>
          <w:p>
            <w:pPr>
              <w:spacing w:after="0"/>
              <w:rPr>
                <w:sz w:val="17"/>
                <w:szCs w:val="17"/>
                <w:color w:val="auto"/>
              </w:rPr>
            </w:pPr>
          </w:p>
        </w:tc>
        <w:tc>
          <w:tcPr>
            <w:tcW w:w="1320" w:type="dxa"/>
            <w:vAlign w:val="bottom"/>
            <w:gridSpan w:val="2"/>
          </w:tcPr>
          <w:p>
            <w:pPr>
              <w:jc w:val="right"/>
              <w:ind w:right="198"/>
              <w:spacing w:after="0"/>
              <w:rPr>
                <w:sz w:val="20"/>
                <w:szCs w:val="20"/>
                <w:color w:val="auto"/>
              </w:rPr>
            </w:pPr>
            <w:r>
              <w:rPr>
                <w:rFonts w:ascii="Arial" w:cs="Arial" w:eastAsia="Arial" w:hAnsi="Arial"/>
                <w:sz w:val="16"/>
                <w:szCs w:val="16"/>
                <w:color w:val="auto"/>
              </w:rPr>
              <w:t>13.2%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22.2%</w:t>
            </w:r>
          </w:p>
        </w:tc>
      </w:tr>
      <w:tr>
        <w:trPr>
          <w:trHeight w:val="197"/>
        </w:trPr>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Saving deposits</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32,968,147</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35,179,770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37,872,955</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7.7%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197"/>
        </w:trPr>
        <w:tc>
          <w:tcPr>
            <w:tcW w:w="5180" w:type="dxa"/>
            <w:vAlign w:val="bottom"/>
            <w:gridSpan w:val="2"/>
          </w:tcPr>
          <w:p>
            <w:pPr>
              <w:spacing w:after="0"/>
              <w:rPr>
                <w:sz w:val="20"/>
                <w:szCs w:val="20"/>
                <w:color w:val="auto"/>
              </w:rPr>
            </w:pPr>
            <w:r>
              <w:rPr>
                <w:rFonts w:ascii="Arial" w:cs="Arial" w:eastAsia="Arial" w:hAnsi="Arial"/>
                <w:sz w:val="16"/>
                <w:szCs w:val="16"/>
                <w:color w:val="auto"/>
              </w:rPr>
              <w:t>Time deposits</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31,399,811</w:t>
            </w:r>
          </w:p>
        </w:tc>
        <w:tc>
          <w:tcPr>
            <w:tcW w:w="1220" w:type="dxa"/>
            <w:vAlign w:val="bottom"/>
            <w:gridSpan w:val="2"/>
          </w:tcPr>
          <w:p>
            <w:pPr>
              <w:jc w:val="right"/>
              <w:ind w:right="340"/>
              <w:spacing w:after="0"/>
              <w:rPr>
                <w:sz w:val="20"/>
                <w:szCs w:val="20"/>
                <w:color w:val="auto"/>
              </w:rPr>
            </w:pPr>
            <w:r>
              <w:rPr>
                <w:rFonts w:ascii="Arial" w:cs="Arial" w:eastAsia="Arial" w:hAnsi="Arial"/>
                <w:sz w:val="16"/>
                <w:szCs w:val="16"/>
                <w:color w:val="auto"/>
              </w:rPr>
              <w:t>34,034,037</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35,045,214</w:t>
            </w:r>
          </w:p>
        </w:tc>
        <w:tc>
          <w:tcPr>
            <w:tcW w:w="100" w:type="dxa"/>
            <w:vAlign w:val="bottom"/>
          </w:tcPr>
          <w:p>
            <w:pPr>
              <w:spacing w:after="0"/>
              <w:rPr>
                <w:sz w:val="17"/>
                <w:szCs w:val="17"/>
                <w:color w:val="auto"/>
              </w:rPr>
            </w:pPr>
          </w:p>
        </w:tc>
        <w:tc>
          <w:tcPr>
            <w:tcW w:w="1320" w:type="dxa"/>
            <w:vAlign w:val="bottom"/>
            <w:gridSpan w:val="2"/>
          </w:tcPr>
          <w:p>
            <w:pPr>
              <w:jc w:val="right"/>
              <w:ind w:right="198"/>
              <w:spacing w:after="0"/>
              <w:rPr>
                <w:sz w:val="20"/>
                <w:szCs w:val="20"/>
                <w:color w:val="auto"/>
              </w:rPr>
            </w:pPr>
            <w:r>
              <w:rPr>
                <w:rFonts w:ascii="Arial" w:cs="Arial" w:eastAsia="Arial" w:hAnsi="Arial"/>
                <w:sz w:val="16"/>
                <w:szCs w:val="16"/>
                <w:color w:val="auto"/>
              </w:rPr>
              <w:t>3.0%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11.6%</w:t>
            </w:r>
          </w:p>
        </w:tc>
      </w:tr>
      <w:tr>
        <w:trPr>
          <w:trHeight w:val="197"/>
        </w:trPr>
        <w:tc>
          <w:tcPr>
            <w:tcW w:w="5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Severance indemnity deposits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7,074,344</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7,897,199</w:t>
            </w:r>
          </w:p>
        </w:tc>
        <w:tc>
          <w:tcPr>
            <w:tcW w:w="3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7,204,922</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(8.8)%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8"/>
        </w:trPr>
        <w:tc>
          <w:tcPr>
            <w:tcW w:w="5180" w:type="dxa"/>
            <w:vAlign w:val="bottom"/>
            <w:gridSpan w:val="2"/>
          </w:tcPr>
          <w:p>
            <w:pPr>
              <w:spacing w:after="0"/>
              <w:rPr>
                <w:sz w:val="20"/>
                <w:szCs w:val="20"/>
                <w:color w:val="auto"/>
              </w:rPr>
            </w:pPr>
            <w:r>
              <w:rPr>
                <w:rFonts w:ascii="Arial" w:cs="Arial" w:eastAsia="Arial" w:hAnsi="Arial"/>
                <w:sz w:val="16"/>
                <w:szCs w:val="16"/>
                <w:color w:val="auto"/>
              </w:rPr>
              <w:t>Interests payable</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589,397</w:t>
            </w:r>
          </w:p>
        </w:tc>
        <w:tc>
          <w:tcPr>
            <w:tcW w:w="880" w:type="dxa"/>
            <w:vAlign w:val="bottom"/>
          </w:tcPr>
          <w:p>
            <w:pPr>
              <w:jc w:val="right"/>
              <w:spacing w:after="0"/>
              <w:rPr>
                <w:sz w:val="20"/>
                <w:szCs w:val="20"/>
                <w:color w:val="auto"/>
              </w:rPr>
            </w:pPr>
            <w:r>
              <w:rPr>
                <w:rFonts w:ascii="Arial" w:cs="Arial" w:eastAsia="Arial" w:hAnsi="Arial"/>
                <w:sz w:val="16"/>
                <w:szCs w:val="16"/>
                <w:color w:val="auto"/>
              </w:rPr>
              <w:t>681,191</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694,214</w:t>
            </w:r>
          </w:p>
        </w:tc>
        <w:tc>
          <w:tcPr>
            <w:tcW w:w="100" w:type="dxa"/>
            <w:vAlign w:val="bottom"/>
          </w:tcPr>
          <w:p>
            <w:pPr>
              <w:spacing w:after="0"/>
              <w:rPr>
                <w:sz w:val="18"/>
                <w:szCs w:val="18"/>
                <w:color w:val="auto"/>
              </w:rPr>
            </w:pPr>
          </w:p>
        </w:tc>
        <w:tc>
          <w:tcPr>
            <w:tcW w:w="1320" w:type="dxa"/>
            <w:vAlign w:val="bottom"/>
            <w:gridSpan w:val="2"/>
          </w:tcPr>
          <w:p>
            <w:pPr>
              <w:jc w:val="right"/>
              <w:ind w:right="198"/>
              <w:spacing w:after="0"/>
              <w:rPr>
                <w:sz w:val="20"/>
                <w:szCs w:val="20"/>
                <w:color w:val="auto"/>
              </w:rPr>
            </w:pPr>
            <w:r>
              <w:rPr>
                <w:rFonts w:ascii="Arial" w:cs="Arial" w:eastAsia="Arial" w:hAnsi="Arial"/>
                <w:sz w:val="16"/>
                <w:szCs w:val="16"/>
                <w:color w:val="auto"/>
              </w:rPr>
              <w:t>1.9%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17.8%</w:t>
            </w:r>
          </w:p>
        </w:tc>
      </w:tr>
      <w:tr>
        <w:trPr>
          <w:trHeight w:val="202"/>
        </w:trPr>
        <w:tc>
          <w:tcPr>
            <w:tcW w:w="5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Deposits and obligations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103,727,257</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112,005,385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119,563,545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w:t>
            </w:r>
          </w:p>
        </w:tc>
        <w:tc>
          <w:tcPr>
            <w:tcW w:w="420" w:type="dxa"/>
            <w:vAlign w:val="bottom"/>
            <w:tcBorders>
              <w:top w:val="single" w:sz="8" w:color="CCEEFF"/>
              <w:bottom w:val="single" w:sz="8" w:color="CCEEFF"/>
            </w:tcBorders>
            <w:shd w:val="clear" w:color="auto" w:fill="CCEEFF"/>
          </w:tcPr>
          <w:p>
            <w:pPr>
              <w:jc w:val="right"/>
              <w:ind w:right="178"/>
              <w:spacing w:after="0"/>
              <w:rPr>
                <w:sz w:val="20"/>
                <w:szCs w:val="20"/>
                <w:color w:val="auto"/>
              </w:rPr>
            </w:pPr>
            <w:r>
              <w:rPr>
                <w:rFonts w:ascii="Arial" w:cs="Arial" w:eastAsia="Arial" w:hAnsi="Arial"/>
                <w:sz w:val="16"/>
                <w:szCs w:val="16"/>
                <w:b w:val="1"/>
                <w:bCs w:val="1"/>
                <w:color w:val="auto"/>
                <w:w w:val="9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4" w:lineRule="exact"/>
        <w:rPr>
          <w:sz w:val="20"/>
          <w:szCs w:val="20"/>
          <w:color w:val="auto"/>
        </w:rPr>
      </w:pPr>
    </w:p>
    <w:p>
      <w:pPr>
        <w:ind w:right="80" w:firstLine="295"/>
        <w:spacing w:after="0" w:line="287" w:lineRule="auto"/>
        <w:rPr>
          <w:sz w:val="20"/>
          <w:szCs w:val="20"/>
          <w:color w:val="auto"/>
        </w:rPr>
      </w:pPr>
      <w:r>
        <w:rPr>
          <w:rFonts w:ascii="Arial" w:cs="Arial" w:eastAsia="Arial" w:hAnsi="Arial"/>
          <w:sz w:val="16"/>
          <w:szCs w:val="16"/>
          <w:color w:val="auto"/>
        </w:rPr>
        <w:t>As of March 31, 2020, deposits and obligations expanded 6.7% compared to December 31, 2019. This growth over the three months ended March 31, 20120 is due to the following:</w:t>
      </w:r>
    </w:p>
    <w:p>
      <w:pPr>
        <w:spacing w:after="0" w:line="150" w:lineRule="exact"/>
        <w:rPr>
          <w:sz w:val="20"/>
          <w:szCs w:val="20"/>
          <w:color w:val="auto"/>
        </w:rPr>
      </w:pPr>
    </w:p>
    <w:p>
      <w:pPr>
        <w:ind w:left="720" w:right="20" w:hanging="366"/>
        <w:spacing w:after="0" w:line="264" w:lineRule="auto"/>
        <w:tabs>
          <w:tab w:leader="none" w:pos="7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increase in demand deposits, which represents 60% of the growth in total deposits, was primarily due to (i) an increase in volume from Wholesale Banking clients at BCP Stand-alone, who increased their demand for liquidity, and (ii) to a lesser extent, the evolution at Atlantic Security Bank as a result of the transfer of client balances to its accounts to reduce the exposure of their investment portfolios as a result of market volatility. This evolution reflects the impact of COVID-19 and a variation in the exchange rate exercising a preponderant effect on FC deposits, given that volumes in FC represent 57% of the total volume and 65% of the increase in demand deposits.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438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48" w:name="page149"/>
    <w:bookmarkEnd w:id="148"/>
    <w:p>
      <w:pPr>
        <w:ind w:left="720" w:hanging="366"/>
        <w:spacing w:after="0" w:line="264" w:lineRule="auto"/>
        <w:tabs>
          <w:tab w:leader="none" w:pos="72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growth in savings deposits, which increased 7.7% compared to December 31, 2019, due to higher volumes in LC (which accounted for 67% of the increase). This expansion was due to (i) profit sharing and/or bonuses for individual persons with savings accounts at BCP Stand-alone or Mibanco in the month of March, (ii) the compulsory lockdown established by the Peruvian government since March 15, 2020 and (iii) an increase in the number of savings accounts opened through cost-efficient channels (Kiosko and Vía BCP). These channels represent 41% of total account openings (compared to 34% as of December 31, 2019).</w:t>
      </w:r>
    </w:p>
    <w:p>
      <w:pPr>
        <w:spacing w:after="0" w:line="167" w:lineRule="exact"/>
        <w:rPr>
          <w:rFonts w:ascii="Arial" w:cs="Arial" w:eastAsia="Arial" w:hAnsi="Arial"/>
          <w:sz w:val="16"/>
          <w:szCs w:val="16"/>
          <w:color w:val="auto"/>
        </w:rPr>
      </w:pPr>
    </w:p>
    <w:p>
      <w:pPr>
        <w:ind w:left="720" w:right="40" w:hanging="366"/>
        <w:spacing w:after="0" w:line="271" w:lineRule="auto"/>
        <w:tabs>
          <w:tab w:leader="none" w:pos="72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increase in the volume of time deposits at (i) BCP Stand-alone after more time deposits were opened in February through Wholesale Banking (especially at Corporate Banking), after competitive rates were offered for professional funding, and (ii) BCP Bolivia, due to a strategy to capture more stable deposits in the medium term.</w:t>
      </w:r>
    </w:p>
    <w:p>
      <w:pPr>
        <w:spacing w:after="0" w:line="162" w:lineRule="exact"/>
        <w:rPr>
          <w:rFonts w:ascii="Arial" w:cs="Arial" w:eastAsia="Arial" w:hAnsi="Arial"/>
          <w:sz w:val="16"/>
          <w:szCs w:val="16"/>
          <w:color w:val="auto"/>
        </w:rPr>
      </w:pPr>
    </w:p>
    <w:p>
      <w:pPr>
        <w:ind w:left="720" w:right="340" w:hanging="366"/>
        <w:spacing w:after="0" w:line="298" w:lineRule="auto"/>
        <w:tabs>
          <w:tab w:leader="none" w:pos="72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contraction in severance indemnity deposits due to (i) the measure implemented by the Ministry of Economy and Finance in March, which allowed independent workers to withdraw up to S/2,400 from their accounts to cover liquidity needs due to the impact of COVID-19, and (ii) seasonality every first quarter, where employees tend to withdraw funds after the second yearly severance payment is made in the month of November.</w:t>
      </w:r>
    </w:p>
    <w:p>
      <w:pPr>
        <w:spacing w:after="0" w:line="144" w:lineRule="exact"/>
        <w:rPr>
          <w:sz w:val="20"/>
          <w:szCs w:val="20"/>
          <w:color w:val="auto"/>
        </w:rPr>
      </w:pPr>
    </w:p>
    <w:p>
      <w:pPr>
        <w:ind w:right="220" w:firstLine="295"/>
        <w:spacing w:after="0" w:line="287" w:lineRule="auto"/>
        <w:rPr>
          <w:sz w:val="20"/>
          <w:szCs w:val="20"/>
          <w:color w:val="auto"/>
        </w:rPr>
      </w:pPr>
      <w:r>
        <w:rPr>
          <w:rFonts w:ascii="Arial" w:cs="Arial" w:eastAsia="Arial" w:hAnsi="Arial"/>
          <w:sz w:val="16"/>
          <w:szCs w:val="16"/>
          <w:color w:val="auto"/>
        </w:rPr>
        <w:t>In the four quarters ended March 31, 2019, total deposits and obligations registered growth in all types of deposits, translating into an increase of 15.3% in the main source of funding, which was primarily due to:</w:t>
      </w:r>
    </w:p>
    <w:p>
      <w:pPr>
        <w:spacing w:after="0" w:line="150" w:lineRule="exact"/>
        <w:rPr>
          <w:sz w:val="20"/>
          <w:szCs w:val="20"/>
          <w:color w:val="auto"/>
        </w:rPr>
      </w:pPr>
    </w:p>
    <w:p>
      <w:pPr>
        <w:ind w:left="720" w:hanging="366"/>
        <w:spacing w:after="0" w:line="322" w:lineRule="auto"/>
        <w:tabs>
          <w:tab w:leader="none" w:pos="72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A 20.0% increase in demand deposits due to growth in the volume of non-interest bearing demand deposits, which was primarily attributable to current accounts held by Corporate Banking clients at BCP Stand-alone and mainly driven by FC (representing 60% of the total increase in demand deposits).</w:t>
      </w:r>
    </w:p>
    <w:p>
      <w:pPr>
        <w:spacing w:after="0" w:line="126" w:lineRule="exact"/>
        <w:rPr>
          <w:rFonts w:ascii="Arial" w:cs="Arial" w:eastAsia="Arial" w:hAnsi="Arial"/>
          <w:sz w:val="15"/>
          <w:szCs w:val="15"/>
          <w:color w:val="auto"/>
        </w:rPr>
      </w:pPr>
    </w:p>
    <w:p>
      <w:pPr>
        <w:ind w:left="720" w:right="40" w:hanging="366"/>
        <w:spacing w:after="0" w:line="271" w:lineRule="auto"/>
        <w:tabs>
          <w:tab w:leader="none" w:pos="72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growth in savings deposits due to (i) a decrease in the consumption level of individual persons through credit and debit cards due to the quarantine imposed to control the COVID-19 contagion, and (ii) the results of the campaigns to capture savings accounts, mainly through digital channels, which have registered high levels of acceptance of and use by BCP’s clients.</w:t>
      </w:r>
    </w:p>
    <w:p>
      <w:pPr>
        <w:spacing w:after="0" w:line="162" w:lineRule="exact"/>
        <w:rPr>
          <w:rFonts w:ascii="Arial" w:cs="Arial" w:eastAsia="Arial" w:hAnsi="Arial"/>
          <w:sz w:val="16"/>
          <w:szCs w:val="16"/>
          <w:color w:val="auto"/>
        </w:rPr>
      </w:pPr>
    </w:p>
    <w:p>
      <w:pPr>
        <w:ind w:left="720" w:right="60" w:hanging="366"/>
        <w:spacing w:after="0" w:line="287" w:lineRule="auto"/>
        <w:tabs>
          <w:tab w:leader="none" w:pos="72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An 11.6% increase in time deposits, in line with the analysis for the three months ended March 31, 2020, mainly driven by volumes in FC (representing 70% of the increase in time deposits).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Deposits: dollarization level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Dollarization Level of Deposits</w:t>
      </w:r>
      <w:r>
        <w:rPr>
          <w:rFonts w:ascii="Arial" w:cs="Arial" w:eastAsia="Arial" w:hAnsi="Arial"/>
          <w:sz w:val="27"/>
          <w:szCs w:val="27"/>
          <w:b w:val="1"/>
          <w:bCs w:val="1"/>
          <w:color w:val="auto"/>
          <w:vertAlign w:val="superscript"/>
        </w:rPr>
        <w:t>(1)</w:t>
      </w:r>
      <w:r>
        <w:rPr>
          <w:rFonts w:ascii="Arial" w:cs="Arial" w:eastAsia="Arial" w:hAnsi="Arial"/>
          <w:sz w:val="16"/>
          <w:szCs w:val="16"/>
          <w:b w:val="1"/>
          <w:bCs w:val="1"/>
          <w:color w:val="auto"/>
        </w:rPr>
        <w:t xml:space="preserve">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1776730</wp:posOffset>
            </wp:positionV>
            <wp:extent cx="178625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86255" cy="7620"/>
                    </a:xfrm>
                    <a:prstGeom prst="rect">
                      <a:avLst/>
                    </a:prstGeom>
                    <a:noFill/>
                  </pic:spPr>
                </pic:pic>
              </a:graphicData>
            </a:graphic>
          </wp:anchor>
        </w:drawing>
        <w:drawing>
          <wp:anchor simplePos="0" relativeHeight="251657728" behindDoc="1" locked="0" layoutInCell="0" allowOverlap="1">
            <wp:simplePos x="0" y="0"/>
            <wp:positionH relativeFrom="column">
              <wp:posOffset>1270000</wp:posOffset>
            </wp:positionH>
            <wp:positionV relativeFrom="paragraph">
              <wp:posOffset>83820</wp:posOffset>
            </wp:positionV>
            <wp:extent cx="4625340" cy="15367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625340" cy="1536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(1)  Quarter-end balances.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438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6"/>
          <w:szCs w:val="16"/>
          <w:b w:val="1"/>
          <w:bCs w:val="1"/>
          <w:color w:val="auto"/>
        </w:rPr>
        <w:t>Credicorp – Deposit Dollarization 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1160780</wp:posOffset>
            </wp:positionH>
            <wp:positionV relativeFrom="paragraph">
              <wp:posOffset>143510</wp:posOffset>
            </wp:positionV>
            <wp:extent cx="4827905" cy="14427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827905" cy="1442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 w:firstLine="295"/>
        <w:spacing w:after="0" w:line="287" w:lineRule="auto"/>
        <w:rPr>
          <w:sz w:val="20"/>
          <w:szCs w:val="20"/>
          <w:color w:val="auto"/>
        </w:rPr>
      </w:pPr>
      <w:r>
        <w:rPr>
          <w:rFonts w:ascii="Arial" w:cs="Arial" w:eastAsia="Arial" w:hAnsi="Arial"/>
          <w:sz w:val="16"/>
          <w:szCs w:val="16"/>
          <w:color w:val="auto"/>
        </w:rPr>
        <w:t>The dollarization level of Credicorp’s deposits remained stable in the three months ended March 31, 2020 after volumes in LC and FC increased at proportional levels, posting increases of 6.7% and 6.8%, respectively.</w:t>
      </w:r>
    </w:p>
    <w:p>
      <w:pPr>
        <w:spacing w:after="0" w:line="150" w:lineRule="exact"/>
        <w:rPr>
          <w:sz w:val="20"/>
          <w:szCs w:val="20"/>
          <w:color w:val="auto"/>
        </w:rPr>
      </w:pPr>
    </w:p>
    <w:p>
      <w:pPr>
        <w:ind w:firstLine="295"/>
        <w:spacing w:after="0" w:line="266" w:lineRule="auto"/>
        <w:rPr>
          <w:sz w:val="20"/>
          <w:szCs w:val="20"/>
          <w:color w:val="auto"/>
        </w:rPr>
      </w:pPr>
      <w:r>
        <w:rPr>
          <w:rFonts w:ascii="Arial" w:cs="Arial" w:eastAsia="Arial" w:hAnsi="Arial"/>
          <w:sz w:val="16"/>
          <w:szCs w:val="16"/>
          <w:color w:val="auto"/>
        </w:rPr>
        <w:t>Growth in LC volumes was due primarily to savings deposits, demand deposits (particularly non-interest bearing deposits), and to a lesser extent, to time deposits. The expansion in FC volumes was attributable primarily to demand deposits via non-interest bearing demand deposits and to a lesser extent, to savings deposits. The increase in savings deposits was mainly attributable to accounts opened by individual persons while growth in demand deposits was associated with institutional clients in Wholesale Banking at BCP Stand-alone in both LC and FC.</w:t>
      </w:r>
    </w:p>
    <w:p>
      <w:pPr>
        <w:spacing w:after="0" w:line="167" w:lineRule="exact"/>
        <w:rPr>
          <w:sz w:val="20"/>
          <w:szCs w:val="20"/>
          <w:color w:val="auto"/>
        </w:rPr>
      </w:pPr>
    </w:p>
    <w:p>
      <w:pPr>
        <w:ind w:right="40" w:firstLine="295"/>
        <w:spacing w:after="0" w:line="264" w:lineRule="auto"/>
        <w:rPr>
          <w:sz w:val="20"/>
          <w:szCs w:val="20"/>
          <w:color w:val="auto"/>
        </w:rPr>
      </w:pPr>
      <w:r>
        <w:rPr>
          <w:rFonts w:ascii="Arial" w:cs="Arial" w:eastAsia="Arial" w:hAnsi="Arial"/>
          <w:sz w:val="16"/>
          <w:szCs w:val="16"/>
          <w:color w:val="auto"/>
        </w:rPr>
        <w:t>The four quarters ended March 31, 2020 revealed slight growth in the dollarization level (20 basis points), which was attributable to a 15.8% growth in FC, which outpaced the increase of 14.8% growth registered in LC. The abovementioned was driven by an increase in all types of FC deposits, with the exception of severance indemnity deposits. The largest contributor to growth in FC were demand deposits (23.6%), led by non-interest bearing deposits (which represent 40% of the total increase in FC deposits) and time deposits (17.0%). In the case of LC deposits, all deposits types increased, mainly driven by savings deposits (accounting for 47% of total increase in LC deposits).</w:t>
      </w:r>
    </w:p>
    <w:p>
      <w:pPr>
        <w:spacing w:after="0" w:line="167" w:lineRule="exact"/>
        <w:rPr>
          <w:sz w:val="20"/>
          <w:szCs w:val="20"/>
          <w:color w:val="auto"/>
        </w:rPr>
      </w:pPr>
    </w:p>
    <w:p>
      <w:pPr>
        <w:ind w:right="340" w:firstLine="295"/>
        <w:spacing w:after="0" w:line="287" w:lineRule="auto"/>
        <w:rPr>
          <w:sz w:val="20"/>
          <w:szCs w:val="20"/>
          <w:color w:val="auto"/>
        </w:rPr>
      </w:pPr>
      <w:r>
        <w:rPr>
          <w:rFonts w:ascii="Arial" w:cs="Arial" w:eastAsia="Arial" w:hAnsi="Arial"/>
          <w:sz w:val="16"/>
          <w:szCs w:val="16"/>
          <w:color w:val="auto"/>
        </w:rPr>
        <w:t>All of the abovementioned is aligned with the objective to maintain an adequate balance between assets and liabilities by currency in accordance with Credicorp’s appetite for risk.</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50" w:name="page151"/>
    <w:bookmarkEnd w:id="150"/>
    <w:p>
      <w:pPr>
        <w:ind w:left="300"/>
        <w:spacing w:after="0"/>
        <w:rPr>
          <w:sz w:val="20"/>
          <w:szCs w:val="20"/>
          <w:color w:val="auto"/>
        </w:rPr>
      </w:pPr>
      <w:r>
        <w:rPr>
          <w:rFonts w:ascii="Arial" w:cs="Arial" w:eastAsia="Arial" w:hAnsi="Arial"/>
          <w:sz w:val="16"/>
          <w:szCs w:val="16"/>
          <w:i w:val="1"/>
          <w:iCs w:val="1"/>
          <w:color w:val="auto"/>
        </w:rPr>
        <w:t>Market share in Deposits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013450" cy="22231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13450" cy="2223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Source: SBS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(1)  Figures may not add due to rounding.</w:t>
      </w:r>
    </w:p>
    <w:p>
      <w:pPr>
        <w:spacing w:after="0" w:line="200" w:lineRule="exact"/>
        <w:rPr>
          <w:sz w:val="20"/>
          <w:szCs w:val="20"/>
          <w:color w:val="auto"/>
        </w:rPr>
      </w:pPr>
    </w:p>
    <w:p>
      <w:pPr>
        <w:spacing w:after="0" w:line="206" w:lineRule="exact"/>
        <w:rPr>
          <w:sz w:val="20"/>
          <w:szCs w:val="20"/>
          <w:color w:val="auto"/>
        </w:rPr>
      </w:pPr>
    </w:p>
    <w:p>
      <w:pPr>
        <w:ind w:right="320" w:firstLine="295"/>
        <w:spacing w:after="0" w:line="271" w:lineRule="auto"/>
        <w:rPr>
          <w:sz w:val="20"/>
          <w:szCs w:val="20"/>
          <w:color w:val="auto"/>
        </w:rPr>
      </w:pPr>
      <w:r>
        <w:rPr>
          <w:rFonts w:ascii="Arial" w:cs="Arial" w:eastAsia="Arial" w:hAnsi="Arial"/>
          <w:sz w:val="16"/>
          <w:szCs w:val="16"/>
          <w:i w:val="1"/>
          <w:iCs w:val="1"/>
          <w:color w:val="auto"/>
        </w:rPr>
        <w:t>Peruvian Financial System</w:t>
      </w:r>
      <w:r>
        <w:rPr>
          <w:rFonts w:ascii="Arial" w:cs="Arial" w:eastAsia="Arial" w:hAnsi="Arial"/>
          <w:sz w:val="16"/>
          <w:szCs w:val="16"/>
          <w:color w:val="auto"/>
        </w:rPr>
        <w:t>: As of February 28, 2020, the subsidiaries of Credicorp in Peru, BCP and Mibanco, reported market shares of 29.9% and 2.8%</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Consequently, Credicorp continued to rank first in the financial system for total deposits, with a market share that was significantly higher than its closest competitor (which was a market share of 19.0%).</w:t>
      </w:r>
    </w:p>
    <w:p>
      <w:pPr>
        <w:spacing w:after="0" w:line="163" w:lineRule="exact"/>
        <w:rPr>
          <w:sz w:val="20"/>
          <w:szCs w:val="20"/>
          <w:color w:val="auto"/>
        </w:rPr>
      </w:pPr>
    </w:p>
    <w:p>
      <w:pPr>
        <w:ind w:right="40" w:firstLine="295"/>
        <w:spacing w:after="0" w:line="271" w:lineRule="auto"/>
        <w:rPr>
          <w:sz w:val="20"/>
          <w:szCs w:val="20"/>
          <w:color w:val="auto"/>
        </w:rPr>
      </w:pPr>
      <w:r>
        <w:rPr>
          <w:rFonts w:ascii="Arial" w:cs="Arial" w:eastAsia="Arial" w:hAnsi="Arial"/>
          <w:sz w:val="16"/>
          <w:szCs w:val="16"/>
          <w:color w:val="auto"/>
        </w:rPr>
        <w:t>Comparing March 31, 2020 to March 31, 2019, BCP’s market share increased by 150 basis points. This was primarily attributable to an increase in the share of demand deposits (330 basis points). Mibanco’s market share, however, fell during the same period (to 2.7% as of March 31, 2020 compared to 2.9% as of March 31, 2019) due to a slight contraction in the market share of time deposits, which decreased by 40 basis points.</w:t>
      </w:r>
    </w:p>
    <w:p>
      <w:pPr>
        <w:spacing w:after="0" w:line="163" w:lineRule="exact"/>
        <w:rPr>
          <w:sz w:val="20"/>
          <w:szCs w:val="20"/>
          <w:color w:val="auto"/>
        </w:rPr>
      </w:pPr>
    </w:p>
    <w:p>
      <w:pPr>
        <w:ind w:right="160" w:firstLine="295"/>
        <w:spacing w:after="0" w:line="287" w:lineRule="auto"/>
        <w:rPr>
          <w:sz w:val="20"/>
          <w:szCs w:val="20"/>
          <w:color w:val="auto"/>
        </w:rPr>
      </w:pPr>
      <w:r>
        <w:rPr>
          <w:rFonts w:ascii="Arial" w:cs="Arial" w:eastAsia="Arial" w:hAnsi="Arial"/>
          <w:sz w:val="16"/>
          <w:szCs w:val="16"/>
          <w:i w:val="1"/>
          <w:iCs w:val="1"/>
          <w:color w:val="auto"/>
        </w:rPr>
        <w:t>Bolivian Financial System</w:t>
      </w:r>
      <w:r>
        <w:rPr>
          <w:rFonts w:ascii="Arial" w:cs="Arial" w:eastAsia="Arial" w:hAnsi="Arial"/>
          <w:sz w:val="16"/>
          <w:szCs w:val="16"/>
          <w:color w:val="auto"/>
        </w:rPr>
        <w:t>: BCP Bolivia continued to rank fifth in the Bolivian financial system with a market share of 9.7% at the end of March 31, 2020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9.8% at the end of December 31, 2019. The market share fell by 9.9% as of March 31, 2020 compared to March 31, 2019.</w:t>
      </w:r>
    </w:p>
    <w:p>
      <w:pPr>
        <w:sectPr>
          <w:pgSz w:w="11900" w:h="16838" w:orient="portrait"/>
          <w:cols w:equalWidth="0" w:num="1">
            <w:col w:w="11240"/>
          </w:cols>
          <w:pgMar w:left="320" w:top="323" w:right="339" w:bottom="1440" w:gutter="0" w:footer="0" w:header="0"/>
        </w:sectPr>
      </w:pP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 Funding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Other funding sources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Due to banks and correspondents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BCRP instruments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Repurchase agreements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Bonds and notes issued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other funding 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As of</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5"/>
          </w:tcPr>
          <w:p>
            <w:pPr>
              <w:jc w:val="right"/>
              <w:ind w:right="960"/>
              <w:spacing w:after="0"/>
              <w:rPr>
                <w:sz w:val="20"/>
                <w:szCs w:val="20"/>
                <w:color w:val="auto"/>
              </w:rPr>
            </w:pPr>
            <w:r>
              <w:rPr>
                <w:rFonts w:ascii="Arial" w:cs="Arial" w:eastAsia="Arial" w:hAnsi="Arial"/>
                <w:sz w:val="16"/>
                <w:szCs w:val="16"/>
                <w:b w:val="1"/>
                <w:bCs w:val="1"/>
                <w:color w:val="auto"/>
              </w:rPr>
              <w:t>% Change</w:t>
            </w:r>
          </w:p>
        </w:tc>
      </w:tr>
      <w:tr>
        <w:trPr>
          <w:trHeight w:val="173"/>
        </w:trPr>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Borders>
              <w:top w:val="single" w:sz="8" w:color="auto"/>
            </w:tcBorders>
            <w:gridSpan w:val="2"/>
          </w:tcPr>
          <w:p>
            <w:pPr>
              <w:jc w:val="right"/>
              <w:ind w:right="458"/>
              <w:spacing w:after="0" w:line="173" w:lineRule="exact"/>
              <w:rPr>
                <w:sz w:val="20"/>
                <w:szCs w:val="20"/>
                <w:color w:val="auto"/>
              </w:rPr>
            </w:pPr>
            <w:r>
              <w:rPr>
                <w:rFonts w:ascii="Arial" w:cs="Arial" w:eastAsia="Arial" w:hAnsi="Arial"/>
                <w:sz w:val="16"/>
                <w:szCs w:val="16"/>
                <w:b w:val="1"/>
                <w:bCs w:val="1"/>
                <w:color w:val="auto"/>
              </w:rPr>
              <w:t>March</w:t>
            </w:r>
          </w:p>
        </w:tc>
        <w:tc>
          <w:tcPr>
            <w:tcW w:w="10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9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98"/>
              <w:spacing w:after="0"/>
              <w:rPr>
                <w:sz w:val="20"/>
                <w:szCs w:val="20"/>
                <w:color w:val="auto"/>
              </w:rPr>
            </w:pPr>
            <w:r>
              <w:rPr>
                <w:rFonts w:ascii="Arial" w:cs="Arial" w:eastAsia="Arial" w:hAnsi="Arial"/>
                <w:sz w:val="16"/>
                <w:szCs w:val="16"/>
                <w:b w:val="1"/>
                <w:bCs w:val="1"/>
                <w:color w:val="auto"/>
              </w:rPr>
              <w:t>31, 2020 /</w:t>
            </w:r>
          </w:p>
        </w:tc>
        <w:tc>
          <w:tcPr>
            <w:tcW w:w="280" w:type="dxa"/>
            <w:vAlign w:val="bottom"/>
          </w:tcPr>
          <w:p>
            <w:pPr>
              <w:spacing w:after="0"/>
              <w:rPr>
                <w:sz w:val="17"/>
                <w:szCs w:val="17"/>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March</w:t>
            </w:r>
          </w:p>
        </w:tc>
      </w:tr>
      <w:tr>
        <w:trPr>
          <w:trHeight w:val="197"/>
        </w:trPr>
        <w:tc>
          <w:tcPr>
            <w:tcW w:w="122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w:t>
            </w: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December</w:t>
            </w: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March</w:t>
            </w:r>
          </w:p>
        </w:tc>
        <w:tc>
          <w:tcPr>
            <w:tcW w:w="1280" w:type="dxa"/>
            <w:vAlign w:val="bottom"/>
            <w:gridSpan w:val="2"/>
          </w:tcPr>
          <w:p>
            <w:pPr>
              <w:jc w:val="right"/>
              <w:ind w:right="338"/>
              <w:spacing w:after="0"/>
              <w:rPr>
                <w:sz w:val="20"/>
                <w:szCs w:val="20"/>
                <w:color w:val="auto"/>
              </w:rPr>
            </w:pPr>
            <w:r>
              <w:rPr>
                <w:rFonts w:ascii="Arial" w:cs="Arial" w:eastAsia="Arial" w:hAnsi="Arial"/>
                <w:sz w:val="16"/>
                <w:szCs w:val="16"/>
                <w:b w:val="1"/>
                <w:bCs w:val="1"/>
                <w:color w:val="auto"/>
              </w:rPr>
              <w:t>December</w:t>
            </w:r>
          </w:p>
        </w:tc>
        <w:tc>
          <w:tcPr>
            <w:tcW w:w="1020" w:type="dxa"/>
            <w:vAlign w:val="bottom"/>
          </w:tcPr>
          <w:p>
            <w:pPr>
              <w:jc w:val="right"/>
              <w:ind w:right="98"/>
              <w:spacing w:after="0"/>
              <w:rPr>
                <w:sz w:val="20"/>
                <w:szCs w:val="20"/>
                <w:color w:val="auto"/>
              </w:rPr>
            </w:pPr>
            <w:r>
              <w:rPr>
                <w:rFonts w:ascii="Arial" w:cs="Arial" w:eastAsia="Arial" w:hAnsi="Arial"/>
                <w:sz w:val="16"/>
                <w:szCs w:val="16"/>
                <w:b w:val="1"/>
                <w:bCs w:val="1"/>
                <w:color w:val="auto"/>
              </w:rPr>
              <w:t>31, 2020 /</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2"/>
        </w:trPr>
        <w:tc>
          <w:tcPr>
            <w:tcW w:w="10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31, 2019</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31, 2019</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31, 2020</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31, 2019</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5"/>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gridSpan w:val="6"/>
          </w:tcPr>
          <w:p>
            <w:pPr>
              <w:jc w:val="right"/>
              <w:ind w:right="498"/>
              <w:spacing w:after="0"/>
              <w:rPr>
                <w:sz w:val="20"/>
                <w:szCs w:val="20"/>
                <w:color w:val="auto"/>
              </w:rPr>
            </w:pPr>
            <w:r>
              <w:rPr>
                <w:rFonts w:ascii="Arial" w:cs="Arial" w:eastAsia="Arial" w:hAnsi="Arial"/>
                <w:sz w:val="16"/>
                <w:szCs w:val="16"/>
                <w:b w:val="1"/>
                <w:bCs w:val="1"/>
                <w:color w:val="auto"/>
                <w:w w:val="99"/>
              </w:rPr>
              <w:t>(Soles in thousands, except percentages)</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65"/>
        </w:trPr>
        <w:tc>
          <w:tcPr>
            <w:tcW w:w="1000" w:type="dxa"/>
            <w:vAlign w:val="bottom"/>
          </w:tcPr>
          <w:p>
            <w:pPr>
              <w:jc w:val="right"/>
              <w:spacing w:after="0"/>
              <w:rPr>
                <w:sz w:val="20"/>
                <w:szCs w:val="20"/>
                <w:color w:val="auto"/>
              </w:rPr>
            </w:pPr>
            <w:r>
              <w:rPr>
                <w:rFonts w:ascii="Arial" w:cs="Arial" w:eastAsia="Arial" w:hAnsi="Arial"/>
                <w:sz w:val="16"/>
                <w:szCs w:val="16"/>
                <w:color w:val="auto"/>
              </w:rPr>
              <w:t>7,219,120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8,841,732</w:t>
            </w:r>
          </w:p>
        </w:tc>
        <w:tc>
          <w:tcPr>
            <w:tcW w:w="2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9,854,630</w:t>
            </w:r>
          </w:p>
        </w:tc>
        <w:tc>
          <w:tcPr>
            <w:tcW w:w="1280" w:type="dxa"/>
            <w:vAlign w:val="bottom"/>
            <w:gridSpan w:val="2"/>
          </w:tcPr>
          <w:p>
            <w:pPr>
              <w:jc w:val="right"/>
              <w:ind w:right="58"/>
              <w:spacing w:after="0"/>
              <w:rPr>
                <w:sz w:val="20"/>
                <w:szCs w:val="20"/>
                <w:color w:val="auto"/>
              </w:rPr>
            </w:pPr>
            <w:r>
              <w:rPr>
                <w:rFonts w:ascii="Arial" w:cs="Arial" w:eastAsia="Arial" w:hAnsi="Arial"/>
                <w:sz w:val="16"/>
                <w:szCs w:val="16"/>
                <w:color w:val="auto"/>
              </w:rPr>
              <w:t>11.5%</w:t>
            </w:r>
          </w:p>
        </w:tc>
        <w:tc>
          <w:tcPr>
            <w:tcW w:w="1200" w:type="dxa"/>
            <w:vAlign w:val="bottom"/>
            <w:gridSpan w:val="3"/>
          </w:tcPr>
          <w:p>
            <w:pPr>
              <w:jc w:val="right"/>
              <w:ind w:right="60"/>
              <w:spacing w:after="0"/>
              <w:rPr>
                <w:sz w:val="20"/>
                <w:szCs w:val="20"/>
                <w:color w:val="auto"/>
              </w:rPr>
            </w:pPr>
            <w:r>
              <w:rPr>
                <w:rFonts w:ascii="Arial" w:cs="Arial" w:eastAsia="Arial" w:hAnsi="Arial"/>
                <w:sz w:val="16"/>
                <w:szCs w:val="16"/>
                <w:color w:val="auto"/>
              </w:rPr>
              <w:t>36.5%</w:t>
            </w:r>
          </w:p>
        </w:tc>
      </w:tr>
      <w:tr>
        <w:trPr>
          <w:trHeight w:val="197"/>
        </w:trPr>
        <w:tc>
          <w:tcPr>
            <w:tcW w:w="1000" w:type="dxa"/>
            <w:vAlign w:val="bottom"/>
          </w:tcPr>
          <w:p>
            <w:pPr>
              <w:jc w:val="right"/>
              <w:spacing w:after="0"/>
              <w:rPr>
                <w:sz w:val="20"/>
                <w:szCs w:val="20"/>
                <w:color w:val="auto"/>
              </w:rPr>
            </w:pPr>
            <w:r>
              <w:rPr>
                <w:rFonts w:ascii="Arial" w:cs="Arial" w:eastAsia="Arial" w:hAnsi="Arial"/>
                <w:sz w:val="16"/>
                <w:szCs w:val="16"/>
                <w:color w:val="auto"/>
              </w:rPr>
              <w:t>4,984,192</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4,381,011</w:t>
            </w: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5,346,373</w:t>
            </w:r>
          </w:p>
        </w:tc>
        <w:tc>
          <w:tcPr>
            <w:tcW w:w="1280" w:type="dxa"/>
            <w:vAlign w:val="bottom"/>
            <w:gridSpan w:val="2"/>
          </w:tcPr>
          <w:p>
            <w:pPr>
              <w:jc w:val="right"/>
              <w:ind w:right="58"/>
              <w:spacing w:after="0"/>
              <w:rPr>
                <w:sz w:val="20"/>
                <w:szCs w:val="20"/>
                <w:color w:val="auto"/>
              </w:rPr>
            </w:pPr>
            <w:r>
              <w:rPr>
                <w:rFonts w:ascii="Arial" w:cs="Arial" w:eastAsia="Arial" w:hAnsi="Arial"/>
                <w:sz w:val="16"/>
                <w:szCs w:val="16"/>
                <w:color w:val="auto"/>
              </w:rPr>
              <w:t>22.0%</w:t>
            </w:r>
          </w:p>
        </w:tc>
        <w:tc>
          <w:tcPr>
            <w:tcW w:w="1200" w:type="dxa"/>
            <w:vAlign w:val="bottom"/>
            <w:gridSpan w:val="3"/>
          </w:tcPr>
          <w:p>
            <w:pPr>
              <w:jc w:val="right"/>
              <w:ind w:right="60"/>
              <w:spacing w:after="0"/>
              <w:rPr>
                <w:sz w:val="20"/>
                <w:szCs w:val="20"/>
                <w:color w:val="auto"/>
              </w:rPr>
            </w:pPr>
            <w:r>
              <w:rPr>
                <w:rFonts w:ascii="Arial" w:cs="Arial" w:eastAsia="Arial" w:hAnsi="Arial"/>
                <w:sz w:val="16"/>
                <w:szCs w:val="16"/>
                <w:color w:val="auto"/>
              </w:rPr>
              <w:t>7.3%</w:t>
            </w:r>
          </w:p>
        </w:tc>
      </w:tr>
      <w:tr>
        <w:trPr>
          <w:trHeight w:val="197"/>
        </w:trPr>
        <w:tc>
          <w:tcPr>
            <w:tcW w:w="1000" w:type="dxa"/>
            <w:vAlign w:val="bottom"/>
          </w:tcPr>
          <w:p>
            <w:pPr>
              <w:jc w:val="right"/>
              <w:spacing w:after="0"/>
              <w:rPr>
                <w:sz w:val="20"/>
                <w:szCs w:val="20"/>
                <w:color w:val="auto"/>
              </w:rPr>
            </w:pPr>
            <w:r>
              <w:rPr>
                <w:rFonts w:ascii="Arial" w:cs="Arial" w:eastAsia="Arial" w:hAnsi="Arial"/>
                <w:sz w:val="16"/>
                <w:szCs w:val="16"/>
                <w:color w:val="auto"/>
              </w:rPr>
              <w:t>2,324,385</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1,820,911</w:t>
            </w: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1,935,879</w:t>
            </w:r>
          </w:p>
        </w:tc>
        <w:tc>
          <w:tcPr>
            <w:tcW w:w="1280" w:type="dxa"/>
            <w:vAlign w:val="bottom"/>
            <w:gridSpan w:val="2"/>
          </w:tcPr>
          <w:p>
            <w:pPr>
              <w:jc w:val="right"/>
              <w:ind w:right="58"/>
              <w:spacing w:after="0"/>
              <w:rPr>
                <w:sz w:val="20"/>
                <w:szCs w:val="20"/>
                <w:color w:val="auto"/>
              </w:rPr>
            </w:pPr>
            <w:r>
              <w:rPr>
                <w:rFonts w:ascii="Arial" w:cs="Arial" w:eastAsia="Arial" w:hAnsi="Arial"/>
                <w:sz w:val="16"/>
                <w:szCs w:val="16"/>
                <w:color w:val="auto"/>
              </w:rPr>
              <w:t>6.3%</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(16.7)%</w:t>
            </w:r>
          </w:p>
        </w:tc>
      </w:tr>
      <w:tr>
        <w:trPr>
          <w:trHeight w:val="220"/>
        </w:trPr>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15,472,882</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14,946,363</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15,178,148</w:t>
            </w:r>
          </w:p>
        </w:tc>
        <w:tc>
          <w:tcPr>
            <w:tcW w:w="1280" w:type="dxa"/>
            <w:vAlign w:val="bottom"/>
            <w:gridSpan w:val="2"/>
          </w:tcPr>
          <w:p>
            <w:pPr>
              <w:jc w:val="right"/>
              <w:ind w:right="58"/>
              <w:spacing w:after="0"/>
              <w:rPr>
                <w:sz w:val="20"/>
                <w:szCs w:val="20"/>
                <w:color w:val="auto"/>
              </w:rPr>
            </w:pPr>
            <w:r>
              <w:rPr>
                <w:rFonts w:ascii="Arial" w:cs="Arial" w:eastAsia="Arial" w:hAnsi="Arial"/>
                <w:sz w:val="16"/>
                <w:szCs w:val="16"/>
                <w:color w:val="auto"/>
              </w:rPr>
              <w:t>1.7%</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(1.9)%</w:t>
            </w:r>
          </w:p>
        </w:tc>
      </w:tr>
      <w:tr>
        <w:trPr>
          <w:trHeight w:val="202"/>
        </w:trPr>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30,000,579</w:t>
            </w:r>
          </w:p>
        </w:tc>
        <w:tc>
          <w:tcPr>
            <w:tcW w:w="2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29,990,017</w:t>
            </w:r>
          </w:p>
        </w:tc>
        <w:tc>
          <w:tcPr>
            <w:tcW w:w="2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32,315,030</w:t>
            </w:r>
          </w:p>
        </w:tc>
        <w:tc>
          <w:tcPr>
            <w:tcW w:w="2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w:t>
            </w:r>
          </w:p>
        </w:tc>
        <w:tc>
          <w:tcPr>
            <w:tcW w:w="280" w:type="dxa"/>
            <w:vAlign w:val="bottom"/>
          </w:tcPr>
          <w:p>
            <w:pPr>
              <w:jc w:val="right"/>
              <w:ind w:right="38"/>
              <w:spacing w:after="0"/>
              <w:rPr>
                <w:sz w:val="20"/>
                <w:szCs w:val="20"/>
                <w:color w:val="auto"/>
              </w:rPr>
            </w:pPr>
            <w:r>
              <w:rPr>
                <w:rFonts w:ascii="Arial" w:cs="Arial" w:eastAsia="Arial" w:hAnsi="Arial"/>
                <w:sz w:val="16"/>
                <w:szCs w:val="16"/>
                <w:b w:val="1"/>
                <w:bCs w:val="1"/>
                <w:color w:val="auto"/>
                <w:w w:val="9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98"/>
              </w:rPr>
              <w:t>%</w:t>
            </w: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-795020</wp:posOffset>
            </wp:positionV>
            <wp:extent cx="7144385" cy="1250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-545465</wp:posOffset>
            </wp:positionV>
            <wp:extent cx="7144385" cy="1250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-295910</wp:posOffset>
            </wp:positionV>
            <wp:extent cx="7144385" cy="132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4385" cy="13271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4360" w:space="720"/>
            <w:col w:w="6160"/>
          </w:cols>
          <w:pgMar w:left="320" w:top="323" w:right="339" w:bottom="1440" w:gutter="0" w:footer="0" w:header="0"/>
          <w:type w:val="continuous"/>
        </w:sectPr>
      </w:pPr>
    </w:p>
    <w:p>
      <w:pPr>
        <w:ind w:right="60" w:firstLine="295"/>
        <w:spacing w:after="0" w:line="271" w:lineRule="auto"/>
        <w:rPr>
          <w:sz w:val="20"/>
          <w:szCs w:val="20"/>
          <w:color w:val="auto"/>
        </w:rPr>
      </w:pPr>
      <w:r>
        <w:rPr>
          <w:rFonts w:ascii="Arial" w:cs="Arial" w:eastAsia="Arial" w:hAnsi="Arial"/>
          <w:sz w:val="16"/>
          <w:szCs w:val="16"/>
          <w:color w:val="auto"/>
        </w:rPr>
        <w:t>Other funding sources increased 7.8% compared to December 31, 2019 due to an increase in the volume of all other sources of funding. This expansion was primarily attributable to an increase in the amounts due to banks and correspondents and BCRP Instruments, which combined represented 84% of the increase of these sources of funding.</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438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151" w:name="page152"/>
    <w:bookmarkEnd w:id="151"/>
    <w:p>
      <w:pPr>
        <w:ind w:right="120" w:firstLine="295"/>
        <w:spacing w:after="0" w:line="266" w:lineRule="auto"/>
        <w:rPr>
          <w:sz w:val="20"/>
          <w:szCs w:val="20"/>
          <w:color w:val="auto"/>
        </w:rPr>
      </w:pPr>
      <w:r>
        <w:rPr>
          <w:rFonts w:ascii="Arial" w:cs="Arial" w:eastAsia="Arial" w:hAnsi="Arial"/>
          <w:sz w:val="16"/>
          <w:szCs w:val="16"/>
          <w:color w:val="auto"/>
        </w:rPr>
        <w:t>Amounts due to banks and correspondents registered an increase in the level of obligations (i) at Atlantic Security Bank, due to a single short term operation to cover liquidity measures, (ii) at BCP Stand-alone, due to new operations with foreign financial institutions, in FC, and (iii) to a lesser extent, at Mibanco, due to new debts with companies in the national financial system and with COFIDE, in LC. It is important to note that 61% of this line is denominated in FC and as such, was impacted by the upward trend in the valuation of the U.S. dollar.</w:t>
      </w:r>
    </w:p>
    <w:p>
      <w:pPr>
        <w:spacing w:after="0" w:line="167" w:lineRule="exact"/>
        <w:rPr>
          <w:sz w:val="20"/>
          <w:szCs w:val="20"/>
          <w:color w:val="auto"/>
        </w:rPr>
      </w:pPr>
    </w:p>
    <w:p>
      <w:pPr>
        <w:jc w:val="both"/>
        <w:ind w:right="80" w:firstLine="295"/>
        <w:spacing w:after="0" w:line="271" w:lineRule="auto"/>
        <w:rPr>
          <w:sz w:val="20"/>
          <w:szCs w:val="20"/>
          <w:color w:val="auto"/>
        </w:rPr>
      </w:pPr>
      <w:r>
        <w:rPr>
          <w:rFonts w:ascii="Arial" w:cs="Arial" w:eastAsia="Arial" w:hAnsi="Arial"/>
          <w:sz w:val="16"/>
          <w:szCs w:val="16"/>
          <w:color w:val="auto"/>
        </w:rPr>
        <w:t>Growth in BCRP Instruments was attributable to new certificates of deposits (“CDs”) agreements and an increase in regular repos at BCP Stand-alone in March, after the bank took advantage of the attractive rates offered through BCRP lending operations. BCRP’s objective was to provide short-term liquidity to companies impacted by COVID-19.</w:t>
      </w:r>
    </w:p>
    <w:p>
      <w:pPr>
        <w:spacing w:after="0" w:line="163" w:lineRule="exact"/>
        <w:rPr>
          <w:sz w:val="20"/>
          <w:szCs w:val="20"/>
          <w:color w:val="auto"/>
        </w:rPr>
      </w:pPr>
    </w:p>
    <w:p>
      <w:pPr>
        <w:ind w:right="200" w:firstLine="295"/>
        <w:spacing w:after="0" w:line="287" w:lineRule="auto"/>
        <w:rPr>
          <w:sz w:val="20"/>
          <w:szCs w:val="20"/>
          <w:color w:val="auto"/>
        </w:rPr>
      </w:pPr>
      <w:r>
        <w:rPr>
          <w:rFonts w:ascii="Arial" w:cs="Arial" w:eastAsia="Arial" w:hAnsi="Arial"/>
          <w:sz w:val="16"/>
          <w:szCs w:val="16"/>
          <w:color w:val="auto"/>
        </w:rPr>
        <w:t>The increase in repurchase agreements was primarily attributable to new interbank repurchase agreements at BCP Bolivia and to a lesser extent, at Atlantic Security Bank, both in FC.</w:t>
      </w:r>
    </w:p>
    <w:p>
      <w:pPr>
        <w:spacing w:after="0" w:line="150" w:lineRule="exact"/>
        <w:rPr>
          <w:sz w:val="20"/>
          <w:szCs w:val="20"/>
          <w:color w:val="auto"/>
        </w:rPr>
      </w:pPr>
    </w:p>
    <w:p>
      <w:pPr>
        <w:ind w:right="100" w:firstLine="295"/>
        <w:spacing w:after="0" w:line="287" w:lineRule="auto"/>
        <w:rPr>
          <w:sz w:val="20"/>
          <w:szCs w:val="20"/>
          <w:color w:val="auto"/>
        </w:rPr>
      </w:pPr>
      <w:r>
        <w:rPr>
          <w:rFonts w:ascii="Arial" w:cs="Arial" w:eastAsia="Arial" w:hAnsi="Arial"/>
          <w:sz w:val="16"/>
          <w:szCs w:val="16"/>
          <w:color w:val="auto"/>
        </w:rPr>
        <w:t>Bonds and issued notes registered growth after a corporate bond was issued at BCP Stand-alone in February. Growth in this line was also attributable to a variation in the exchange rate given that 75% of the total volume of this line is in FC and 100% of the increase was in FC.</w:t>
      </w:r>
    </w:p>
    <w:p>
      <w:pPr>
        <w:spacing w:after="0" w:line="150" w:lineRule="exact"/>
        <w:rPr>
          <w:sz w:val="20"/>
          <w:szCs w:val="20"/>
          <w:color w:val="auto"/>
        </w:rPr>
      </w:pPr>
    </w:p>
    <w:p>
      <w:pPr>
        <w:ind w:right="440" w:firstLine="295"/>
        <w:spacing w:after="0" w:line="287" w:lineRule="auto"/>
        <w:rPr>
          <w:sz w:val="20"/>
          <w:szCs w:val="20"/>
          <w:color w:val="auto"/>
        </w:rPr>
      </w:pPr>
      <w:r>
        <w:rPr>
          <w:rFonts w:ascii="Arial" w:cs="Arial" w:eastAsia="Arial" w:hAnsi="Arial"/>
          <w:sz w:val="16"/>
          <w:szCs w:val="16"/>
          <w:color w:val="auto"/>
        </w:rPr>
        <w:t>Comparing March 31, 2020 to March 31, 2019, other sources of funding rose 7.8%, which was primarily attributable to an increase in amounts due to banks and correspondents, which accounted for 88% of total growth in this line.</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Liquidity Risk</w:t>
      </w:r>
    </w:p>
    <w:p>
      <w:pPr>
        <w:spacing w:after="0" w:line="209" w:lineRule="exact"/>
        <w:rPr>
          <w:sz w:val="20"/>
          <w:szCs w:val="20"/>
          <w:color w:val="auto"/>
        </w:rPr>
      </w:pPr>
    </w:p>
    <w:p>
      <w:pPr>
        <w:ind w:firstLine="295"/>
        <w:spacing w:after="0" w:line="266" w:lineRule="auto"/>
        <w:rPr>
          <w:sz w:val="20"/>
          <w:szCs w:val="20"/>
          <w:color w:val="auto"/>
        </w:rPr>
      </w:pPr>
      <w:r>
        <w:rPr>
          <w:rFonts w:ascii="Arial" w:cs="Arial" w:eastAsia="Arial" w:hAnsi="Arial"/>
          <w:sz w:val="16"/>
          <w:szCs w:val="16"/>
          <w:color w:val="auto"/>
        </w:rPr>
        <w:t>We manage our assets and liabilities to ensure that we have sufficient liquidity to meet our present and future financial obligations and to be able to take advantage of appropriate business opportunities as they arise. Liquidity risk represents the potential for loss as a result of limitations on our ability to adjust future cash flows to meet the needs of depositors and borrowers and to fund operations on a timely and cost-effective basis. Financial obligations arise from withdrawals of deposits, repayment on maturity of purchased funds, extensions of loans or other forms of credit, and working capital needs.</w:t>
      </w:r>
    </w:p>
    <w:p>
      <w:pPr>
        <w:spacing w:after="0" w:line="167" w:lineRule="exact"/>
        <w:rPr>
          <w:sz w:val="20"/>
          <w:szCs w:val="20"/>
          <w:color w:val="auto"/>
        </w:rPr>
      </w:pPr>
    </w:p>
    <w:p>
      <w:pPr>
        <w:ind w:firstLine="295"/>
        <w:spacing w:after="0" w:line="283" w:lineRule="auto"/>
        <w:rPr>
          <w:sz w:val="20"/>
          <w:szCs w:val="20"/>
          <w:color w:val="auto"/>
        </w:rPr>
      </w:pPr>
      <w:r>
        <w:rPr>
          <w:rFonts w:ascii="Arial" w:cs="Arial" w:eastAsia="Arial" w:hAnsi="Arial"/>
          <w:sz w:val="15"/>
          <w:szCs w:val="15"/>
          <w:color w:val="auto"/>
        </w:rPr>
        <w:t>The increase in our deposit base over the years has enabled us to significantly increase our lending activity. BCP and Mibanco are subject to SBS Resolution No. 9075-2012, enacted in December 2012, which set responsibilities for liquidity management within the different committees and risk units, and by which minimum liquidity ratios were established. The ratio of liquid assets as a percentage of short-term liabilities, as strictly defined by the SBS, must exceed 8% for Soles-based transactions, and 20% for foreign exchange-based transactions. We have never defaulted on any of our debt or been forced to reschedule any of our obligations. Even during the early 1980s, when the government of Peru and many Peruvian companies and banks were forced to restructure their debt as a result of the Latin American debt crisis and government restrictions, BCP and Grupo Pacifico complied with all of their payment obligations.</w:t>
      </w:r>
    </w:p>
    <w:p>
      <w:pPr>
        <w:spacing w:after="0" w:line="155" w:lineRule="exact"/>
        <w:rPr>
          <w:sz w:val="20"/>
          <w:szCs w:val="20"/>
          <w:color w:val="auto"/>
        </w:rPr>
      </w:pPr>
    </w:p>
    <w:p>
      <w:pPr>
        <w:ind w:right="620" w:firstLine="295"/>
        <w:spacing w:after="0" w:line="287" w:lineRule="auto"/>
        <w:rPr>
          <w:sz w:val="20"/>
          <w:szCs w:val="20"/>
          <w:color w:val="auto"/>
        </w:rPr>
      </w:pPr>
      <w:r>
        <w:rPr>
          <w:rFonts w:ascii="Arial" w:cs="Arial" w:eastAsia="Arial" w:hAnsi="Arial"/>
          <w:sz w:val="16"/>
          <w:szCs w:val="16"/>
          <w:color w:val="auto"/>
        </w:rPr>
        <w:t>See also “Item 5. Operating and Financial Review and Prospects—5.B. Liquidity and Capital Resources—(2) Liquidity Risk” of our 2019 Form 20-F and our unaudited condensed consolidated interim financial information as of and for the three months ended March 31, 2020 for more information.</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209" w:lineRule="exact"/>
        <w:rPr>
          <w:sz w:val="20"/>
          <w:szCs w:val="20"/>
          <w:color w:val="auto"/>
        </w:rPr>
      </w:pPr>
    </w:p>
    <w:p>
      <w:pPr>
        <w:ind w:right="540" w:firstLine="295"/>
        <w:spacing w:after="0" w:line="287" w:lineRule="auto"/>
        <w:rPr>
          <w:sz w:val="20"/>
          <w:szCs w:val="20"/>
          <w:color w:val="auto"/>
        </w:rPr>
      </w:pPr>
      <w:r>
        <w:rPr>
          <w:rFonts w:ascii="Arial" w:cs="Arial" w:eastAsia="Arial" w:hAnsi="Arial"/>
          <w:sz w:val="16"/>
          <w:szCs w:val="16"/>
          <w:color w:val="auto"/>
        </w:rPr>
        <w:t>See also “Item 5. Operating and Financial Review and Prospects—5.B. Liquidity and Capital Resources” of our 2019 Form 20-F and our unaudited condensed consolidated interim financial information as of and for the three months ended March 31, 2020 for more information.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52" w:name="page153"/>
    <w:bookmarkEnd w:id="152"/>
    <w:p>
      <w:pPr>
        <w:ind w:left="2"/>
        <w:spacing w:after="0"/>
        <w:rPr>
          <w:sz w:val="20"/>
          <w:szCs w:val="20"/>
          <w:color w:val="auto"/>
        </w:rPr>
      </w:pPr>
      <w:r>
        <w:rPr>
          <w:rFonts w:ascii="Arial" w:cs="Arial" w:eastAsia="Arial" w:hAnsi="Arial"/>
          <w:sz w:val="16"/>
          <w:szCs w:val="16"/>
          <w:b w:val="1"/>
          <w:bCs w:val="1"/>
          <w:color w:val="auto"/>
        </w:rPr>
        <w:t>Off-Balance Sheet Arrangements</w:t>
      </w:r>
    </w:p>
    <w:p>
      <w:pPr>
        <w:spacing w:after="0" w:line="213" w:lineRule="exact"/>
        <w:rPr>
          <w:sz w:val="20"/>
          <w:szCs w:val="20"/>
          <w:color w:val="auto"/>
        </w:rPr>
      </w:pPr>
    </w:p>
    <w:p>
      <w:pPr>
        <w:ind w:left="2" w:right="240" w:firstLine="295"/>
        <w:spacing w:after="0" w:line="266" w:lineRule="auto"/>
        <w:rPr>
          <w:sz w:val="20"/>
          <w:szCs w:val="20"/>
          <w:color w:val="auto"/>
        </w:rPr>
      </w:pPr>
      <w:r>
        <w:rPr>
          <w:rFonts w:ascii="Arial" w:cs="Arial" w:eastAsia="Arial" w:hAnsi="Arial"/>
          <w:sz w:val="16"/>
          <w:szCs w:val="16"/>
          <w:color w:val="auto"/>
        </w:rPr>
        <w:t>We record various contractual obligations as liabilities in our financial statements. We do not recognize other contractual arrangements, such as off-balance-sheet exposures, as liabilities in our financial statements. These other contractual arrangements are required to be registered in off-balance-sheet accounts. We enter into these off-balance-sheet arrangements in the ordinary course of business to provide support to our clients and to hedge risks in our statement of financial position, including through use of guarantees, letters of credit, derivatives and swaps.</w:t>
      </w:r>
    </w:p>
    <w:p>
      <w:pPr>
        <w:spacing w:after="0" w:line="167"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8320" w:type="dxa"/>
            <w:vAlign w:val="bottom"/>
          </w:tcPr>
          <w:p>
            <w:pPr>
              <w:ind w:left="280"/>
              <w:spacing w:after="0"/>
              <w:rPr>
                <w:sz w:val="20"/>
                <w:szCs w:val="20"/>
                <w:color w:val="auto"/>
              </w:rPr>
            </w:pPr>
            <w:r>
              <w:rPr>
                <w:rFonts w:ascii="Arial" w:cs="Arial" w:eastAsia="Arial" w:hAnsi="Arial"/>
                <w:sz w:val="16"/>
                <w:szCs w:val="16"/>
                <w:color w:val="auto"/>
              </w:rPr>
              <w:t>The following table reflects our off-balance sheet arrangements as of December 31, 2019 and March 31, 2020:</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0"/>
              </w:rPr>
              <w:t>As of December 31,</w:t>
            </w: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March 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134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800" w:type="dxa"/>
            <w:vAlign w:val="bottom"/>
            <w:gridSpan w:val="3"/>
          </w:tcPr>
          <w:p>
            <w:pPr>
              <w:jc w:val="right"/>
              <w:ind w:right="538"/>
              <w:spacing w:after="0"/>
              <w:rPr>
                <w:sz w:val="20"/>
                <w:szCs w:val="20"/>
                <w:color w:val="auto"/>
              </w:rPr>
            </w:pPr>
            <w:r>
              <w:rPr>
                <w:rFonts w:ascii="Arial" w:cs="Arial" w:eastAsia="Arial" w:hAnsi="Arial"/>
                <w:sz w:val="16"/>
                <w:szCs w:val="16"/>
                <w:b w:val="1"/>
                <w:bCs w:val="1"/>
                <w:color w:val="auto"/>
              </w:rPr>
              <w:t>(in thousands of Soles)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Off-balance-sheet exposure</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20" w:type="dxa"/>
            <w:vAlign w:val="bottom"/>
          </w:tcPr>
          <w:p>
            <w:pPr>
              <w:ind w:left="120"/>
              <w:spacing w:after="0"/>
              <w:rPr>
                <w:sz w:val="20"/>
                <w:szCs w:val="20"/>
                <w:color w:val="auto"/>
              </w:rPr>
            </w:pPr>
            <w:r>
              <w:rPr>
                <w:rFonts w:ascii="Arial" w:cs="Arial" w:eastAsia="Arial" w:hAnsi="Arial"/>
                <w:sz w:val="16"/>
                <w:szCs w:val="16"/>
                <w:color w:val="auto"/>
              </w:rPr>
              <w:t>Guarantees and stand-by letters</w:t>
            </w: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18,894,456</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18,138,220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Import and export letters of credit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2,186,579</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2,288,182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6"/>
                <w:szCs w:val="16"/>
                <w:b w:val="1"/>
                <w:bCs w:val="1"/>
                <w:color w:val="auto"/>
              </w:rPr>
              <w:t>Sub Total</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21,081,035</w:t>
            </w:r>
          </w:p>
        </w:tc>
        <w:tc>
          <w:tcPr>
            <w:tcW w:w="24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20,426,402</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6"/>
                <w:szCs w:val="16"/>
                <w:b w:val="1"/>
                <w:bCs w:val="1"/>
                <w:color w:val="auto"/>
              </w:rPr>
              <w:t>Responsibilities under credit line agreements(1)</w:t>
            </w:r>
          </w:p>
        </w:tc>
        <w:tc>
          <w:tcPr>
            <w:tcW w:w="15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75,615,563</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79,706,040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6"/>
                <w:szCs w:val="16"/>
                <w:b w:val="1"/>
                <w:bCs w:val="1"/>
                <w:color w:val="auto"/>
              </w:rPr>
              <w:t>Derivatives (notional amount)</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Forwards</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27,422,634</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27,928,979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20" w:type="dxa"/>
            <w:vAlign w:val="bottom"/>
          </w:tcPr>
          <w:p>
            <w:pPr>
              <w:ind w:left="120"/>
              <w:spacing w:after="0"/>
              <w:rPr>
                <w:sz w:val="20"/>
                <w:szCs w:val="20"/>
                <w:color w:val="auto"/>
              </w:rPr>
            </w:pPr>
            <w:r>
              <w:rPr>
                <w:rFonts w:ascii="Arial" w:cs="Arial" w:eastAsia="Arial" w:hAnsi="Arial"/>
                <w:sz w:val="16"/>
                <w:szCs w:val="16"/>
                <w:color w:val="auto"/>
              </w:rPr>
              <w:t>Currency swaps</w:t>
            </w: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8,177,179</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9,219,526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Options</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1,565,083</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1,564,752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20" w:type="dxa"/>
            <w:vAlign w:val="bottom"/>
          </w:tcPr>
          <w:p>
            <w:pPr>
              <w:ind w:left="120"/>
              <w:spacing w:after="0"/>
              <w:rPr>
                <w:sz w:val="20"/>
                <w:szCs w:val="20"/>
                <w:color w:val="auto"/>
              </w:rPr>
            </w:pPr>
            <w:r>
              <w:rPr>
                <w:rFonts w:ascii="Arial" w:cs="Arial" w:eastAsia="Arial" w:hAnsi="Arial"/>
                <w:sz w:val="16"/>
                <w:szCs w:val="16"/>
                <w:color w:val="auto"/>
              </w:rPr>
              <w:t>Interest rate swaps</w:t>
            </w: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31,052,559</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27,861,637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Cross currency swaps</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1,221,030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1,280,127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20" w:type="dxa"/>
            <w:vAlign w:val="bottom"/>
          </w:tcPr>
          <w:p>
            <w:pPr>
              <w:ind w:left="120"/>
              <w:spacing w:after="0"/>
              <w:rPr>
                <w:sz w:val="20"/>
                <w:szCs w:val="20"/>
                <w:color w:val="auto"/>
              </w:rPr>
            </w:pPr>
            <w:r>
              <w:rPr>
                <w:rFonts w:ascii="Arial" w:cs="Arial" w:eastAsia="Arial" w:hAnsi="Arial"/>
                <w:sz w:val="16"/>
                <w:szCs w:val="16"/>
                <w:color w:val="auto"/>
              </w:rPr>
              <w:t>Cross currency swaps and interest rate swaps</w:t>
            </w: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265,120</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274,960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Futures</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16,901</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17,185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6"/>
                <w:szCs w:val="16"/>
                <w:b w:val="1"/>
                <w:bCs w:val="1"/>
                <w:color w:val="auto"/>
              </w:rPr>
              <w:t>Sub Total</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69,720,506</w:t>
            </w:r>
          </w:p>
        </w:tc>
        <w:tc>
          <w:tcPr>
            <w:tcW w:w="24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68,147,166</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166,417,104</w:t>
            </w: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168,279,608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78625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311" w:lineRule="exact"/>
        <w:rPr>
          <w:sz w:val="20"/>
          <w:szCs w:val="20"/>
          <w:color w:val="auto"/>
        </w:rPr>
      </w:pPr>
    </w:p>
    <w:p>
      <w:pPr>
        <w:ind w:left="302" w:right="160" w:hanging="302"/>
        <w:spacing w:after="0" w:line="287" w:lineRule="auto"/>
        <w:tabs>
          <w:tab w:leader="none" w:pos="30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Lines of credit include consumer loans and other consumer loan facilities (credit card receivables) granted to customers and are cancelable upon related notice to the customer.</w:t>
      </w:r>
    </w:p>
    <w:p>
      <w:pPr>
        <w:spacing w:after="0" w:line="150" w:lineRule="exact"/>
        <w:rPr>
          <w:sz w:val="20"/>
          <w:szCs w:val="20"/>
          <w:color w:val="auto"/>
        </w:rPr>
      </w:pPr>
    </w:p>
    <w:p>
      <w:pPr>
        <w:ind w:left="2" w:right="280" w:firstLine="295"/>
        <w:spacing w:after="0" w:line="287" w:lineRule="auto"/>
        <w:rPr>
          <w:sz w:val="20"/>
          <w:szCs w:val="20"/>
          <w:color w:val="auto"/>
        </w:rPr>
      </w:pPr>
      <w:r>
        <w:rPr>
          <w:rFonts w:ascii="Arial" w:cs="Arial" w:eastAsia="Arial" w:hAnsi="Arial"/>
          <w:sz w:val="16"/>
          <w:szCs w:val="16"/>
          <w:color w:val="auto"/>
        </w:rPr>
        <w:t>In the normal course of their business, our banking subsidiaries are parties to transactions with off-balance-sheet risk. These transactions expose them to additional credit risks relative to amounts recognized in the consolidated statements of financial position.</w:t>
      </w:r>
    </w:p>
    <w:p>
      <w:pPr>
        <w:spacing w:after="0" w:line="150" w:lineRule="exact"/>
        <w:rPr>
          <w:sz w:val="20"/>
          <w:szCs w:val="20"/>
          <w:color w:val="auto"/>
        </w:rPr>
      </w:pPr>
    </w:p>
    <w:p>
      <w:pPr>
        <w:ind w:left="2" w:right="40" w:firstLine="295"/>
        <w:spacing w:after="0" w:line="262" w:lineRule="auto"/>
        <w:rPr>
          <w:sz w:val="20"/>
          <w:szCs w:val="20"/>
          <w:color w:val="auto"/>
        </w:rPr>
      </w:pPr>
      <w:r>
        <w:rPr>
          <w:rFonts w:ascii="Arial" w:cs="Arial" w:eastAsia="Arial" w:hAnsi="Arial"/>
          <w:sz w:val="16"/>
          <w:szCs w:val="16"/>
          <w:color w:val="auto"/>
        </w:rPr>
        <w:t>Credit risk for off-balance sheet financial instruments is defined as the possibility of sustaining a loss because any other party to a financial instrument fails to perform in accordance with the terms of the contract. The exposures to losses are represented by the contractual amount specified in the related contracts. We apply the same credit policies in making commitments and conditional obligations as we do for on-balance sheet instruments (see Note 21(a) to our interim unaudited financial statements), including the requirement to obtain collateral when necessary. The collateral held varies, but may include deposits in financial institutions, securities or other assets. Many of the contingent transactions are expected to expire without any performance being required. Therefore, the total committed amounts do not necessarily represent future cash requirements.</w:t>
      </w:r>
    </w:p>
    <w:p>
      <w:pPr>
        <w:spacing w:after="0" w:line="171" w:lineRule="exact"/>
        <w:rPr>
          <w:sz w:val="20"/>
          <w:szCs w:val="20"/>
          <w:color w:val="auto"/>
        </w:rPr>
      </w:pPr>
    </w:p>
    <w:p>
      <w:pPr>
        <w:ind w:left="2" w:right="120" w:firstLine="295"/>
        <w:spacing w:after="0" w:line="266" w:lineRule="auto"/>
        <w:rPr>
          <w:sz w:val="20"/>
          <w:szCs w:val="20"/>
          <w:color w:val="auto"/>
        </w:rPr>
      </w:pPr>
      <w:r>
        <w:rPr>
          <w:rFonts w:ascii="Arial" w:cs="Arial" w:eastAsia="Arial" w:hAnsi="Arial"/>
          <w:sz w:val="16"/>
          <w:szCs w:val="16"/>
          <w:color w:val="auto"/>
        </w:rPr>
        <w:t>Credicorp has currency-forwards derivatives. Currency-forwards are commitments to buy or sell currency at a future date at a contracted price. Risk arises from the possibility that the counterparty to the transaction will not perform as agreed and from the changes in the prices of the underlying currencies. As of March 31, 2020 and December 31, 2019, the nominal amounts for forward currency purchase and sale agreements, which in general have maturities of less than one year, were approximately S/27,929.0 million and S/27,422.6 million, respectively.</w:t>
      </w:r>
    </w:p>
    <w:p>
      <w:pPr>
        <w:spacing w:after="0" w:line="167" w:lineRule="exact"/>
        <w:rPr>
          <w:sz w:val="20"/>
          <w:szCs w:val="20"/>
          <w:color w:val="auto"/>
        </w:rPr>
      </w:pPr>
    </w:p>
    <w:p>
      <w:pPr>
        <w:ind w:left="2" w:right="80" w:firstLine="295"/>
        <w:spacing w:after="0" w:line="362" w:lineRule="auto"/>
        <w:rPr>
          <w:sz w:val="20"/>
          <w:szCs w:val="20"/>
          <w:color w:val="auto"/>
        </w:rPr>
      </w:pPr>
      <w:r>
        <w:rPr>
          <w:rFonts w:ascii="Arial" w:cs="Arial" w:eastAsia="Arial" w:hAnsi="Arial"/>
          <w:sz w:val="14"/>
          <w:szCs w:val="14"/>
          <w:color w:val="auto"/>
        </w:rPr>
        <w:t>These agreements are entered into to satisfy client requirements and are recognized in the Consolidated Financial Statements at their fair value. As of March 31, 2020 and December 31, 2019, the forward contracts net position was an over-bought of U.S. dollars of approximately S/7,334.1 million and S/8,327.3 million, respectively.</w:t>
      </w:r>
    </w:p>
    <w:p>
      <w:pPr>
        <w:spacing w:after="0" w:line="30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19" w:right="339" w:bottom="1440" w:gutter="0" w:footer="0" w:header="0"/>
        </w:sectPr>
      </w:pPr>
    </w:p>
    <w:bookmarkStart w:id="153" w:name="page154"/>
    <w:bookmarkEnd w:id="153"/>
    <w:p>
      <w:pPr>
        <w:ind w:left="2" w:right="80" w:firstLine="295"/>
        <w:spacing w:after="0" w:line="285" w:lineRule="auto"/>
        <w:rPr>
          <w:sz w:val="20"/>
          <w:szCs w:val="20"/>
          <w:color w:val="auto"/>
        </w:rPr>
      </w:pPr>
      <w:r>
        <w:rPr>
          <w:rFonts w:ascii="Arial" w:cs="Arial" w:eastAsia="Arial" w:hAnsi="Arial"/>
          <w:sz w:val="15"/>
          <w:szCs w:val="15"/>
          <w:color w:val="auto"/>
        </w:rPr>
        <w:t>Credicorp’s swap contracts include interest rate and currency swap contracts, as well as cross-currency swap contracts. Interest rate and currency swap contracts are derivatives contracts, where counterparties exchange variable interest rates for fixed interest rates or different currencies, respectively, in the terms and conditions established at the contract inception. The risk arises each time the projected level of the variable rate during the term of the contract is higher than the swap rate, as well as from non-compliance with contractual terms by one of the parties. As of March 31, 2020, the notional amount of open interest rate and currency swap contracts was approximately S/37,081.2 million, compared to approximately S/39,229.7 million as of December 31, 2019, see note 13(b) to our interim unaudited financial statements.</w:t>
      </w:r>
    </w:p>
    <w:p>
      <w:pPr>
        <w:spacing w:after="0" w:line="155" w:lineRule="exact"/>
        <w:rPr>
          <w:sz w:val="20"/>
          <w:szCs w:val="20"/>
          <w:color w:val="auto"/>
        </w:rPr>
      </w:pPr>
    </w:p>
    <w:p>
      <w:pPr>
        <w:ind w:left="2" w:right="60" w:firstLine="295"/>
        <w:spacing w:after="0" w:line="327" w:lineRule="auto"/>
        <w:rPr>
          <w:sz w:val="20"/>
          <w:szCs w:val="20"/>
          <w:color w:val="auto"/>
        </w:rPr>
      </w:pPr>
      <w:r>
        <w:rPr>
          <w:rFonts w:ascii="Arial" w:cs="Arial" w:eastAsia="Arial" w:hAnsi="Arial"/>
          <w:sz w:val="14"/>
          <w:szCs w:val="14"/>
          <w:color w:val="auto"/>
        </w:rPr>
        <w:t>Cross-currency swap contracts involve the exchange of interest payments based on two different currency principal balances and referenced interest rates. They generally also include the exchange of principal amounts at the start and end of the contract. As of March 31, 2020, the notional amount of cross-currency swap contracts was approximately S/1,555.1 million compared to approximately S/1,486.2 million as of December 31, 2019. See note 13(b) to our interim unaudited financial statements.</w:t>
      </w:r>
    </w:p>
    <w:p>
      <w:pPr>
        <w:spacing w:after="0" w:line="128" w:lineRule="exact"/>
        <w:rPr>
          <w:sz w:val="20"/>
          <w:szCs w:val="20"/>
          <w:color w:val="auto"/>
        </w:rPr>
      </w:pPr>
    </w:p>
    <w:p>
      <w:pPr>
        <w:ind w:left="2" w:right="100" w:firstLine="295"/>
        <w:spacing w:after="0" w:line="266" w:lineRule="auto"/>
        <w:rPr>
          <w:sz w:val="20"/>
          <w:szCs w:val="20"/>
          <w:color w:val="auto"/>
        </w:rPr>
      </w:pPr>
      <w:r>
        <w:rPr>
          <w:rFonts w:ascii="Arial" w:cs="Arial" w:eastAsia="Arial" w:hAnsi="Arial"/>
          <w:sz w:val="16"/>
          <w:szCs w:val="16"/>
          <w:color w:val="auto"/>
        </w:rPr>
        <w:t>As of March 31, 2020, the fair values of the asset and liability forward-exchange contracts, options, futures and interest rate and cross-currency swaps amounted to approximately S/1,790.8 million and S/1,751.7 million, respectively (compared to approximately S/1,092.1 million and S/1,040.3 million as of December 31, 2019) and are included under the caption “Other assets and other liabilities” of the consolidated statements of financial position, respectively, see note 13(b) to our interim unaudited financial statements.</w:t>
      </w:r>
    </w:p>
    <w:p>
      <w:pPr>
        <w:spacing w:after="0" w:line="16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Commitments and Contractual Obligations</w:t>
      </w:r>
    </w:p>
    <w:p>
      <w:pPr>
        <w:spacing w:after="0" w:line="213" w:lineRule="exact"/>
        <w:rPr>
          <w:sz w:val="20"/>
          <w:szCs w:val="20"/>
          <w:color w:val="auto"/>
        </w:rPr>
      </w:pPr>
    </w:p>
    <w:p>
      <w:pPr>
        <w:ind w:left="2" w:right="80" w:firstLine="295"/>
        <w:spacing w:after="0" w:line="287" w:lineRule="auto"/>
        <w:rPr>
          <w:sz w:val="20"/>
          <w:szCs w:val="20"/>
          <w:color w:val="auto"/>
        </w:rPr>
      </w:pPr>
      <w:r>
        <w:rPr>
          <w:rFonts w:ascii="Arial" w:cs="Arial" w:eastAsia="Arial" w:hAnsi="Arial"/>
          <w:sz w:val="16"/>
          <w:szCs w:val="16"/>
          <w:color w:val="auto"/>
        </w:rPr>
        <w:t>We enter into various commitments and contractual obligations which we recognize on our statement of financial position that may require future cash payments. The following table summarizes our commitments and contractual obligations by remaining maturity as of March 31, 2020.</w:t>
      </w:r>
    </w:p>
    <w:p>
      <w:pPr>
        <w:spacing w:after="0" w:line="158"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4060" w:type="dxa"/>
            <w:vAlign w:val="bottom"/>
          </w:tcPr>
          <w:p>
            <w:pPr>
              <w:spacing w:after="0"/>
              <w:rPr>
                <w:sz w:val="18"/>
                <w:szCs w:val="18"/>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Total as of</w:t>
            </w:r>
          </w:p>
        </w:tc>
        <w:tc>
          <w:tcPr>
            <w:tcW w:w="1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6"/>
                <w:szCs w:val="16"/>
                <w:b w:val="1"/>
                <w:bCs w:val="1"/>
                <w:color w:val="auto"/>
              </w:rPr>
              <w:t>Payments Due by Period</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40" w:type="dxa"/>
            <w:vAlign w:val="bottom"/>
          </w:tcPr>
          <w:p>
            <w:pPr>
              <w:jc w:val="right"/>
              <w:ind w:right="198"/>
              <w:spacing w:after="0" w:line="174" w:lineRule="exact"/>
              <w:rPr>
                <w:sz w:val="20"/>
                <w:szCs w:val="20"/>
                <w:color w:val="auto"/>
              </w:rPr>
            </w:pPr>
            <w:r>
              <w:rPr>
                <w:rFonts w:ascii="Arial" w:cs="Arial" w:eastAsia="Arial" w:hAnsi="Arial"/>
                <w:sz w:val="16"/>
                <w:szCs w:val="16"/>
                <w:b w:val="1"/>
                <w:bCs w:val="1"/>
                <w:color w:val="auto"/>
              </w:rPr>
              <w:t>Less than</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spacing w:after="0" w:line="174" w:lineRule="exact"/>
              <w:rPr>
                <w:sz w:val="20"/>
                <w:szCs w:val="20"/>
                <w:color w:val="auto"/>
              </w:rPr>
            </w:pPr>
            <w:r>
              <w:rPr>
                <w:rFonts w:ascii="Arial" w:cs="Arial" w:eastAsia="Arial" w:hAnsi="Arial"/>
                <w:sz w:val="16"/>
                <w:szCs w:val="16"/>
                <w:b w:val="1"/>
                <w:bCs w:val="1"/>
                <w:color w:val="auto"/>
                <w:w w:val="96"/>
              </w:rPr>
              <w:t>More than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March 31, 2020</w:t>
            </w:r>
          </w:p>
        </w:tc>
        <w:tc>
          <w:tcPr>
            <w:tcW w:w="1240" w:type="dxa"/>
            <w:vAlign w:val="bottom"/>
          </w:tcPr>
          <w:p>
            <w:pPr>
              <w:jc w:val="right"/>
              <w:ind w:right="318"/>
              <w:spacing w:after="0"/>
              <w:rPr>
                <w:sz w:val="20"/>
                <w:szCs w:val="20"/>
                <w:color w:val="auto"/>
              </w:rPr>
            </w:pPr>
            <w:r>
              <w:rPr>
                <w:rFonts w:ascii="Arial" w:cs="Arial" w:eastAsia="Arial" w:hAnsi="Arial"/>
                <w:sz w:val="16"/>
                <w:szCs w:val="16"/>
                <w:b w:val="1"/>
                <w:bCs w:val="1"/>
                <w:color w:val="auto"/>
              </w:rPr>
              <w:t>1 year</w:t>
            </w:r>
          </w:p>
        </w:tc>
        <w:tc>
          <w:tcPr>
            <w:tcW w:w="22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1–3 years</w:t>
            </w:r>
          </w:p>
        </w:tc>
        <w:tc>
          <w:tcPr>
            <w:tcW w:w="14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3–5 years</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5 years</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w w:val="88"/>
              </w:rPr>
              <w:t>(in thousands of Soles)</w:t>
            </w:r>
          </w:p>
        </w:tc>
        <w:tc>
          <w:tcPr>
            <w:tcW w:w="1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Borrowed funds</w:t>
            </w:r>
          </w:p>
        </w:tc>
        <w:tc>
          <w:tcPr>
            <w:tcW w:w="13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6,704,514</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6,135,154</w:t>
            </w: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260,886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89,986</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218,488</w:t>
            </w:r>
          </w:p>
        </w:tc>
        <w:tc>
          <w:tcPr>
            <w:tcW w:w="0" w:type="dxa"/>
            <w:vAlign w:val="bottom"/>
          </w:tcPr>
          <w:p>
            <w:pPr>
              <w:spacing w:after="0"/>
              <w:rPr>
                <w:sz w:val="1"/>
                <w:szCs w:val="1"/>
                <w:color w:val="auto"/>
              </w:rPr>
            </w:pPr>
          </w:p>
        </w:tc>
      </w:tr>
      <w:tr>
        <w:trPr>
          <w:trHeight w:val="197"/>
        </w:trPr>
        <w:tc>
          <w:tcPr>
            <w:tcW w:w="4060" w:type="dxa"/>
            <w:vAlign w:val="bottom"/>
          </w:tcPr>
          <w:p>
            <w:pPr>
              <w:spacing w:after="0"/>
              <w:rPr>
                <w:sz w:val="20"/>
                <w:szCs w:val="20"/>
                <w:color w:val="auto"/>
              </w:rPr>
            </w:pPr>
            <w:r>
              <w:rPr>
                <w:rFonts w:ascii="Arial" w:cs="Arial" w:eastAsia="Arial" w:hAnsi="Arial"/>
                <w:sz w:val="16"/>
                <w:szCs w:val="16"/>
                <w:color w:val="auto"/>
              </w:rPr>
              <w:t>Promotional credit lines</w:t>
            </w:r>
          </w:p>
        </w:tc>
        <w:tc>
          <w:tcPr>
            <w:tcW w:w="1380" w:type="dxa"/>
            <w:vAlign w:val="bottom"/>
          </w:tcPr>
          <w:p>
            <w:pPr>
              <w:jc w:val="right"/>
              <w:ind w:right="38"/>
              <w:spacing w:after="0"/>
              <w:rPr>
                <w:sz w:val="20"/>
                <w:szCs w:val="20"/>
                <w:color w:val="auto"/>
              </w:rPr>
            </w:pPr>
            <w:r>
              <w:rPr>
                <w:rFonts w:ascii="Arial" w:cs="Arial" w:eastAsia="Arial" w:hAnsi="Arial"/>
                <w:sz w:val="16"/>
                <w:szCs w:val="16"/>
                <w:color w:val="auto"/>
              </w:rPr>
              <w:t>3,056,167</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282,999</w:t>
            </w:r>
          </w:p>
        </w:tc>
        <w:tc>
          <w:tcPr>
            <w:tcW w:w="1660" w:type="dxa"/>
            <w:vAlign w:val="bottom"/>
            <w:gridSpan w:val="3"/>
          </w:tcPr>
          <w:p>
            <w:pPr>
              <w:jc w:val="right"/>
              <w:ind w:right="220"/>
              <w:spacing w:after="0"/>
              <w:rPr>
                <w:sz w:val="20"/>
                <w:szCs w:val="20"/>
                <w:color w:val="auto"/>
              </w:rPr>
            </w:pPr>
            <w:r>
              <w:rPr>
                <w:rFonts w:ascii="Arial" w:cs="Arial" w:eastAsia="Arial" w:hAnsi="Arial"/>
                <w:sz w:val="16"/>
                <w:szCs w:val="16"/>
                <w:color w:val="auto"/>
              </w:rPr>
              <w:t>535,386</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514,247</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1,723,535</w:t>
            </w: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Interbank funds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060" w:type="dxa"/>
            <w:vAlign w:val="bottom"/>
          </w:tcPr>
          <w:p>
            <w:pPr>
              <w:spacing w:after="0"/>
              <w:rPr>
                <w:sz w:val="20"/>
                <w:szCs w:val="20"/>
                <w:color w:val="auto"/>
              </w:rPr>
            </w:pPr>
            <w:r>
              <w:rPr>
                <w:rFonts w:ascii="Arial" w:cs="Arial" w:eastAsia="Arial" w:hAnsi="Arial"/>
                <w:sz w:val="16"/>
                <w:szCs w:val="16"/>
                <w:color w:val="auto"/>
              </w:rPr>
              <w:t>Time deposits</w:t>
            </w:r>
          </w:p>
        </w:tc>
        <w:tc>
          <w:tcPr>
            <w:tcW w:w="1380" w:type="dxa"/>
            <w:vAlign w:val="bottom"/>
          </w:tcPr>
          <w:p>
            <w:pPr>
              <w:jc w:val="right"/>
              <w:ind w:right="38"/>
              <w:spacing w:after="0"/>
              <w:rPr>
                <w:sz w:val="20"/>
                <w:szCs w:val="20"/>
                <w:color w:val="auto"/>
              </w:rPr>
            </w:pPr>
            <w:r>
              <w:rPr>
                <w:rFonts w:ascii="Arial" w:cs="Arial" w:eastAsia="Arial" w:hAnsi="Arial"/>
                <w:sz w:val="16"/>
                <w:szCs w:val="16"/>
                <w:color w:val="auto"/>
              </w:rPr>
              <w:t>33,954,557</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24,436,910</w:t>
            </w:r>
          </w:p>
        </w:tc>
        <w:tc>
          <w:tcPr>
            <w:tcW w:w="1660" w:type="dxa"/>
            <w:vAlign w:val="bottom"/>
            <w:gridSpan w:val="3"/>
          </w:tcPr>
          <w:p>
            <w:pPr>
              <w:jc w:val="right"/>
              <w:ind w:right="220"/>
              <w:spacing w:after="0"/>
              <w:rPr>
                <w:sz w:val="20"/>
                <w:szCs w:val="20"/>
                <w:color w:val="auto"/>
              </w:rPr>
            </w:pPr>
            <w:r>
              <w:rPr>
                <w:rFonts w:ascii="Arial" w:cs="Arial" w:eastAsia="Arial" w:hAnsi="Arial"/>
                <w:sz w:val="16"/>
                <w:szCs w:val="16"/>
                <w:color w:val="auto"/>
              </w:rPr>
              <w:t>6,004,161</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795,182</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2,718,304</w:t>
            </w: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Bonds and notes issued</w:t>
            </w:r>
          </w:p>
        </w:tc>
        <w:tc>
          <w:tcPr>
            <w:tcW w:w="13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15,054,611</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2,065,679</w:t>
            </w: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1,250,591</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4,959,838</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6,778,503</w:t>
            </w:r>
          </w:p>
        </w:tc>
        <w:tc>
          <w:tcPr>
            <w:tcW w:w="0" w:type="dxa"/>
            <w:vAlign w:val="bottom"/>
          </w:tcPr>
          <w:p>
            <w:pPr>
              <w:spacing w:after="0"/>
              <w:rPr>
                <w:sz w:val="1"/>
                <w:szCs w:val="1"/>
                <w:color w:val="auto"/>
              </w:rPr>
            </w:pPr>
          </w:p>
        </w:tc>
      </w:tr>
      <w:tr>
        <w:trPr>
          <w:trHeight w:val="197"/>
        </w:trPr>
        <w:tc>
          <w:tcPr>
            <w:tcW w:w="4060" w:type="dxa"/>
            <w:vAlign w:val="bottom"/>
          </w:tcPr>
          <w:p>
            <w:pPr>
              <w:spacing w:after="0"/>
              <w:rPr>
                <w:sz w:val="20"/>
                <w:szCs w:val="20"/>
                <w:color w:val="auto"/>
              </w:rPr>
            </w:pPr>
            <w:r>
              <w:rPr>
                <w:rFonts w:ascii="Arial" w:cs="Arial" w:eastAsia="Arial" w:hAnsi="Arial"/>
                <w:sz w:val="16"/>
                <w:szCs w:val="16"/>
                <w:color w:val="auto"/>
              </w:rPr>
              <w:t>Operating lease obligations(1)</w:t>
            </w:r>
          </w:p>
        </w:tc>
        <w:tc>
          <w:tcPr>
            <w:tcW w:w="1380" w:type="dxa"/>
            <w:vAlign w:val="bottom"/>
          </w:tcPr>
          <w:p>
            <w:pPr>
              <w:jc w:val="right"/>
              <w:ind w:right="38"/>
              <w:spacing w:after="0"/>
              <w:rPr>
                <w:sz w:val="20"/>
                <w:szCs w:val="20"/>
                <w:color w:val="auto"/>
              </w:rPr>
            </w:pPr>
            <w:r>
              <w:rPr>
                <w:rFonts w:ascii="Arial" w:cs="Arial" w:eastAsia="Arial" w:hAnsi="Arial"/>
                <w:sz w:val="16"/>
                <w:szCs w:val="16"/>
                <w:color w:val="auto"/>
              </w:rPr>
              <w:t>1,031,631</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128,621</w:t>
            </w:r>
          </w:p>
        </w:tc>
        <w:tc>
          <w:tcPr>
            <w:tcW w:w="1660" w:type="dxa"/>
            <w:vAlign w:val="bottom"/>
            <w:gridSpan w:val="3"/>
          </w:tcPr>
          <w:p>
            <w:pPr>
              <w:jc w:val="right"/>
              <w:ind w:right="220"/>
              <w:spacing w:after="0"/>
              <w:rPr>
                <w:sz w:val="20"/>
                <w:szCs w:val="20"/>
                <w:color w:val="auto"/>
              </w:rPr>
            </w:pPr>
            <w:r>
              <w:rPr>
                <w:rFonts w:ascii="Arial" w:cs="Arial" w:eastAsia="Arial" w:hAnsi="Arial"/>
                <w:sz w:val="16"/>
                <w:szCs w:val="16"/>
                <w:color w:val="auto"/>
              </w:rPr>
              <w:t>228,269</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206,528</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468,213</w:t>
            </w:r>
          </w:p>
        </w:tc>
        <w:tc>
          <w:tcPr>
            <w:tcW w:w="0" w:type="dxa"/>
            <w:vAlign w:val="bottom"/>
          </w:tcPr>
          <w:p>
            <w:pPr>
              <w:spacing w:after="0"/>
              <w:rPr>
                <w:sz w:val="1"/>
                <w:szCs w:val="1"/>
                <w:color w:val="auto"/>
              </w:rPr>
            </w:pPr>
          </w:p>
        </w:tc>
      </w:tr>
      <w:tr>
        <w:trPr>
          <w:trHeight w:val="189"/>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Total(2)</w:t>
            </w:r>
          </w:p>
        </w:tc>
        <w:tc>
          <w:tcPr>
            <w:tcW w:w="138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59,801,480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33,049,363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8,279,293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6,565,781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11,907,043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178625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87" w:lineRule="exact"/>
        <w:rPr>
          <w:sz w:val="20"/>
          <w:szCs w:val="20"/>
          <w:color w:val="auto"/>
        </w:rPr>
      </w:pPr>
    </w:p>
    <w:p>
      <w:pPr>
        <w:ind w:left="302" w:right="480" w:hanging="302"/>
        <w:spacing w:after="0" w:line="287" w:lineRule="auto"/>
        <w:tabs>
          <w:tab w:leader="none" w:pos="30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Demand deposits, saving deposits and severance indemnity deposits do not have a specific maturity date because they are required on demand and therefore are excluded from this table.</w:t>
      </w:r>
    </w:p>
    <w:p>
      <w:pPr>
        <w:spacing w:after="0" w:line="149" w:lineRule="exact"/>
        <w:rPr>
          <w:rFonts w:ascii="Arial" w:cs="Arial" w:eastAsia="Arial" w:hAnsi="Arial"/>
          <w:sz w:val="16"/>
          <w:szCs w:val="16"/>
          <w:color w:val="auto"/>
        </w:rPr>
      </w:pPr>
    </w:p>
    <w:p>
      <w:pPr>
        <w:ind w:left="302" w:right="140" w:hanging="302"/>
        <w:spacing w:after="0" w:line="287" w:lineRule="auto"/>
        <w:tabs>
          <w:tab w:leader="none" w:pos="30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balance does not include accrued interest as of March 31, 2020 (which is not significant with respect to the item “Interest and similar expense”); except for lease liabilities that includes future interest payments.</w:t>
      </w:r>
    </w:p>
    <w:p>
      <w:pPr>
        <w:spacing w:after="0" w:line="150" w:lineRule="exact"/>
        <w:rPr>
          <w:sz w:val="20"/>
          <w:szCs w:val="20"/>
          <w:color w:val="auto"/>
        </w:rPr>
      </w:pPr>
    </w:p>
    <w:p>
      <w:pPr>
        <w:ind w:left="2" w:right="40" w:firstLine="295"/>
        <w:spacing w:after="0" w:line="289" w:lineRule="auto"/>
        <w:rPr>
          <w:sz w:val="20"/>
          <w:szCs w:val="20"/>
          <w:color w:val="auto"/>
        </w:rPr>
      </w:pPr>
      <w:r>
        <w:rPr>
          <w:rFonts w:ascii="Arial" w:cs="Arial" w:eastAsia="Arial" w:hAnsi="Arial"/>
          <w:sz w:val="15"/>
          <w:szCs w:val="15"/>
          <w:color w:val="auto"/>
        </w:rPr>
        <w:t>Borrowed funds obtained include the obligation to comply with certain covenants which, in our management’s opinion, are being complied with as of the consolidated statement of financial position dates. Some international funds and promotional credit lines include standard covenants related to compliance with financial ratios, use of funds and other administrative matters. In our management’s opinion, these covenants do not limit our operations and we have fully complied with them as of the consolidated statement of financial position dates. Our deposits and obligations are widely diversified and have no significant concentrations.</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Trend Information</w:t>
      </w:r>
    </w:p>
    <w:p>
      <w:pPr>
        <w:spacing w:after="0" w:line="213" w:lineRule="exact"/>
        <w:rPr>
          <w:sz w:val="20"/>
          <w:szCs w:val="20"/>
          <w:color w:val="auto"/>
        </w:rPr>
      </w:pPr>
    </w:p>
    <w:p>
      <w:pPr>
        <w:ind w:left="2" w:right="40" w:firstLine="295"/>
        <w:spacing w:after="0" w:line="301" w:lineRule="auto"/>
        <w:rPr>
          <w:sz w:val="20"/>
          <w:szCs w:val="20"/>
          <w:color w:val="auto"/>
        </w:rPr>
      </w:pPr>
      <w:r>
        <w:rPr>
          <w:rFonts w:ascii="Arial" w:cs="Arial" w:eastAsia="Arial" w:hAnsi="Arial"/>
          <w:sz w:val="14"/>
          <w:szCs w:val="14"/>
          <w:color w:val="auto"/>
        </w:rPr>
        <w:t>We expect Peru’s GDP to experience a contraction due to the current global spread of COVID-19. The measures implemented to contain the COVID-19 contagion, both locally and abroad, have had disruptive effects on economic activity. Since March 15, 2020, President Vizcarra has taken swift and stringent action to control the COVID-19 pandemic through a countrywide lockdown, initially set for 15 days, which has been extended various times, and is currently in place until June 30, 2020. This has impacted several indicators, such as electricity demand and public investment. Our estimates suggest that the economy is operating at 40%-45% of its capacity during the lockdown. A package of measures to mitigate and stimulate the economy have been implemented for an equivalent of approximately 20% of GDP. These measures are designed to provide economic support for households and companies, access to private savings (pension funds, CTS, etc.) for individuals, injections of liquidity into the economy through Government-backed guarantees via the Reactiva Peru program and FAE program, tax alleviation and public spending measures, as well as other economic stimulus measures yet to be announced. For further detail about the COVID-19 risk related to the economy, please refer to “Item 3.D. Risk Factors—(12) Our business and results of operations could continue to be negatively impacted by the COVID-19 outbreak or other public health crises beyond our control” in our 2019 Form 20-F.</w:t>
      </w:r>
    </w:p>
    <w:p>
      <w:pPr>
        <w:spacing w:after="0" w:line="34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24" w:right="339" w:bottom="1440" w:gutter="0" w:footer="0" w:header="0"/>
        </w:sectPr>
      </w:pPr>
    </w:p>
    <w:bookmarkStart w:id="154" w:name="page155"/>
    <w:bookmarkEnd w:id="154"/>
    <w:p>
      <w:pPr>
        <w:ind w:right="20" w:firstLine="295"/>
        <w:spacing w:after="0" w:line="262" w:lineRule="auto"/>
        <w:rPr>
          <w:sz w:val="20"/>
          <w:szCs w:val="20"/>
          <w:color w:val="auto"/>
        </w:rPr>
      </w:pPr>
      <w:r>
        <w:rPr>
          <w:rFonts w:ascii="Arial" w:cs="Arial" w:eastAsia="Arial" w:hAnsi="Arial"/>
          <w:sz w:val="16"/>
          <w:szCs w:val="16"/>
          <w:color w:val="auto"/>
        </w:rPr>
        <w:t>At Credicorp, we are managing the impact of COVID-19 by tailoring responses by asset type and client segments. In terms of our investment portfolio, around 90% is comprised of fixed income investments (U.S. Treasuries, global and sovereign bonds, and Peruvian Certificated Deposits), as such, most value changes do not materially impact our results (as such fixed-income investments continue to provide the same level of payments regardless of market value), but do directly affect our equity because of changes in the value of the portfolio. In terms of our loan portfolio, the most highly exposed economic sectors include retail, vehicle, real estate (residential), poultry, airlines, tourism, microfinance, transportation and restaurants. From a client segmentation perspective, we consider Microfinance clients, SME Retail clients and part of our Wholesale clients to be the most exposed.</w:t>
      </w:r>
    </w:p>
    <w:p>
      <w:pPr>
        <w:spacing w:after="0" w:line="171" w:lineRule="exact"/>
        <w:rPr>
          <w:sz w:val="20"/>
          <w:szCs w:val="20"/>
          <w:color w:val="auto"/>
        </w:rPr>
      </w:pPr>
    </w:p>
    <w:p>
      <w:pPr>
        <w:ind w:right="20" w:firstLine="295"/>
        <w:spacing w:after="0" w:line="271" w:lineRule="auto"/>
        <w:rPr>
          <w:sz w:val="20"/>
          <w:szCs w:val="20"/>
          <w:color w:val="auto"/>
        </w:rPr>
      </w:pPr>
      <w:r>
        <w:rPr>
          <w:rFonts w:ascii="Arial" w:cs="Arial" w:eastAsia="Arial" w:hAnsi="Arial"/>
          <w:sz w:val="16"/>
          <w:szCs w:val="16"/>
          <w:color w:val="auto"/>
        </w:rPr>
        <w:t>In order to help our clients through these difficult times, Credicorp has offered debt extensions, installment-freezing solutions and cost-free services, as well as zero-interest-rate financings, which, according to IFRS 9, may generate impairments in the short term. As a complementary measure for business clients, we are participating in the “Reactiva Peru” program, where BCP has been awarded a significant share of the amount auctioned.</w:t>
      </w:r>
    </w:p>
    <w:p>
      <w:pPr>
        <w:spacing w:after="0" w:line="163" w:lineRule="exact"/>
        <w:rPr>
          <w:sz w:val="20"/>
          <w:szCs w:val="20"/>
          <w:color w:val="auto"/>
        </w:rPr>
      </w:pPr>
    </w:p>
    <w:p>
      <w:pPr>
        <w:ind w:firstLine="295"/>
        <w:spacing w:after="0" w:line="283" w:lineRule="auto"/>
        <w:rPr>
          <w:sz w:val="20"/>
          <w:szCs w:val="20"/>
          <w:color w:val="auto"/>
        </w:rPr>
      </w:pPr>
      <w:r>
        <w:rPr>
          <w:rFonts w:ascii="Arial" w:cs="Arial" w:eastAsia="Arial" w:hAnsi="Arial"/>
          <w:sz w:val="15"/>
          <w:szCs w:val="15"/>
          <w:color w:val="auto"/>
        </w:rPr>
        <w:t>The drivers that will impact Credicorp’s results throughout 2020 will be the macroeconomic environment, the special interest-free and cost-free solutions offered to clients and a marked decline in business activity during the lockdown, all of which will impact our sources of income. Additionally, the use of IFRS 9 will result in a significantly higher amount of provisions, since we are using judgement and adjusting our approach to determining expected losses in different circumstances, based on reasonable and supportable information. In line with the IFRS 9 methodology, forward looking COVID-19 provisions are estimated based on a macroeconomic perspective. Given that macroeconomic projections continue to worsen significantly, materially higher provisions than those already accounted for could be recorded in the future. Finally, in order to manage expenses, we are taking measures to optimize operating costs and to re-prioritize strategic projects.</w:t>
      </w:r>
    </w:p>
    <w:p>
      <w:pPr>
        <w:spacing w:after="0" w:line="155" w:lineRule="exact"/>
        <w:rPr>
          <w:sz w:val="20"/>
          <w:szCs w:val="20"/>
          <w:color w:val="auto"/>
        </w:rPr>
      </w:pPr>
    </w:p>
    <w:p>
      <w:pPr>
        <w:ind w:right="120" w:firstLine="295"/>
        <w:spacing w:after="0" w:line="262" w:lineRule="auto"/>
        <w:rPr>
          <w:sz w:val="20"/>
          <w:szCs w:val="20"/>
          <w:color w:val="auto"/>
        </w:rPr>
      </w:pPr>
      <w:r>
        <w:rPr>
          <w:rFonts w:ascii="Arial" w:cs="Arial" w:eastAsia="Arial" w:hAnsi="Arial"/>
          <w:sz w:val="16"/>
          <w:szCs w:val="16"/>
          <w:color w:val="auto"/>
        </w:rPr>
        <w:t>In terms of our liquidity and capital management, Credicorp operates through strict risk management standards. For management decisions, Credicorp relies on liquidity coverage ratios of 15, 30 and 60 days, in line with Basel III. In the context of the COVID-19 pandemic, as measured through the first quarter of 2020, Credicorp has maintained its high quality liquid assets. As of the first quarter of 2020, each subsidiary maintains capital levels well above statutory requirements. In addition, Credicorp reduced dividends from all subsidiaries to strengthen the capital base of its operating units. For more detail about liquidity and regulatory capital, please see “Item 5. Operating and Financial Review and Prospects—5.B. Liquidity and Capital Resources” in our 2019 Form 20-F and “Management’s Discussion and Analysis of Financial Condition and Results of Operations—Liquidity and Capital Resources.”</w:t>
      </w:r>
    </w:p>
    <w:p>
      <w:pPr>
        <w:spacing w:after="0" w:line="171" w:lineRule="exact"/>
        <w:rPr>
          <w:sz w:val="20"/>
          <w:szCs w:val="20"/>
          <w:color w:val="auto"/>
        </w:rPr>
      </w:pPr>
    </w:p>
    <w:p>
      <w:pPr>
        <w:ind w:right="40" w:firstLine="295"/>
        <w:spacing w:after="0" w:line="298" w:lineRule="auto"/>
        <w:rPr>
          <w:sz w:val="20"/>
          <w:szCs w:val="20"/>
          <w:color w:val="auto"/>
        </w:rPr>
      </w:pPr>
      <w:r>
        <w:rPr>
          <w:rFonts w:ascii="Arial" w:cs="Arial" w:eastAsia="Arial" w:hAnsi="Arial"/>
          <w:sz w:val="15"/>
          <w:szCs w:val="15"/>
          <w:color w:val="auto"/>
        </w:rPr>
        <w:t>In terms of relationships with clients, Credicorp clients have been able to rely on the strong relationships we have built over several years and have benefited from our digital network. During the lockdown period, in the three months ended March 31, 2020, loans and deposits have increased materially. Wholesale clients increased their short-term funding needs and part of the fresh liquidity obtained by the aforementioned segment has been maintained at the bank as demand deposits.</w:t>
      </w:r>
    </w:p>
    <w:p>
      <w:pPr>
        <w:spacing w:after="0" w:line="144" w:lineRule="exact"/>
        <w:rPr>
          <w:sz w:val="20"/>
          <w:szCs w:val="20"/>
          <w:color w:val="auto"/>
        </w:rPr>
      </w:pPr>
    </w:p>
    <w:p>
      <w:pPr>
        <w:ind w:right="40" w:firstLine="295"/>
        <w:spacing w:after="0" w:line="298" w:lineRule="auto"/>
        <w:rPr>
          <w:sz w:val="20"/>
          <w:szCs w:val="20"/>
          <w:color w:val="auto"/>
        </w:rPr>
      </w:pPr>
      <w:r>
        <w:rPr>
          <w:rFonts w:ascii="Arial" w:cs="Arial" w:eastAsia="Arial" w:hAnsi="Arial"/>
          <w:sz w:val="15"/>
          <w:szCs w:val="15"/>
          <w:color w:val="auto"/>
        </w:rPr>
        <w:t>With respect to retail banking, the first quarter of 2020 has also been an opportunity for our clients to benefit from our digital channels. Yape welcomed more than 500,000 new users from January to April this year. As of April 2020, the monthly amount transacted through this app had grown almost four-fold compared to April 2019. Moreover, our BCP Stand-alone digital channels have registered a material gain in their share of our distribution network due to an uptick in use during lockdown.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155" w:name="page156"/>
    <w:bookmarkEnd w:id="155"/>
    <w:p>
      <w:pPr>
        <w:ind w:right="60" w:firstLine="295"/>
        <w:spacing w:after="0" w:line="287" w:lineRule="auto"/>
        <w:rPr>
          <w:sz w:val="20"/>
          <w:szCs w:val="20"/>
          <w:color w:val="auto"/>
        </w:rPr>
      </w:pPr>
      <w:r>
        <w:rPr>
          <w:rFonts w:ascii="Arial" w:cs="Arial" w:eastAsia="Arial" w:hAnsi="Arial"/>
          <w:sz w:val="16"/>
          <w:szCs w:val="16"/>
          <w:color w:val="auto"/>
        </w:rPr>
        <w:t>As a result of the above and due to the adoption of certain measures listed below, since the adoption of governmental measures to control the COVID-19 pandemic, there has been an increase in our provisions, and as a result our net income for the current period may be adversely impacted.</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Some of the measures that Credicorp adopted in order to provide relief and assistance to its customers and the general population, include:</w:t>
      </w:r>
    </w:p>
    <w:p>
      <w:pPr>
        <w:spacing w:after="0" w:line="209" w:lineRule="exact"/>
        <w:rPr>
          <w:sz w:val="20"/>
          <w:szCs w:val="20"/>
          <w:color w:val="auto"/>
        </w:rPr>
      </w:pPr>
    </w:p>
    <w:p>
      <w:pPr>
        <w:ind w:left="580" w:hanging="287"/>
        <w:spacing w:after="0"/>
        <w:tabs>
          <w:tab w:leader="none" w:pos="5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donation of S/100 million through BCP Stand-alone and S/10 million through Mibanco to help families in need, with the “Yo me sumo” program;</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reimbursement by Pacifico of 50% of car premiums in April and May to Individual clients which where up to date in their payments;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donation by Pacifico of S/5 million through life insurance to health services professionals, police and the Peruvian army;</w:t>
      </w:r>
    </w:p>
    <w:p>
      <w:pPr>
        <w:spacing w:after="0" w:line="209" w:lineRule="exact"/>
        <w:rPr>
          <w:rFonts w:ascii="Arial" w:cs="Arial" w:eastAsia="Arial" w:hAnsi="Arial"/>
          <w:sz w:val="16"/>
          <w:szCs w:val="16"/>
          <w:color w:val="auto"/>
        </w:rPr>
      </w:pPr>
    </w:p>
    <w:p>
      <w:pPr>
        <w:ind w:left="580" w:right="640" w:hanging="287"/>
        <w:spacing w:after="0" w:line="287" w:lineRule="auto"/>
        <w:tabs>
          <w:tab w:leader="none" w:pos="5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negative effect of Prima AFP’s fee income by the exemption of contributions to the pension fund system in April, and the measures decreed by the government and congress that allow affiliates to withdraw a portion of the pension funds; and</w:t>
      </w:r>
    </w:p>
    <w:p>
      <w:pPr>
        <w:spacing w:after="0" w:line="149" w:lineRule="exact"/>
        <w:rPr>
          <w:rFonts w:ascii="Arial" w:cs="Arial" w:eastAsia="Arial" w:hAnsi="Arial"/>
          <w:sz w:val="16"/>
          <w:szCs w:val="16"/>
          <w:color w:val="auto"/>
        </w:rPr>
      </w:pPr>
    </w:p>
    <w:p>
      <w:pPr>
        <w:ind w:left="580" w:right="20" w:hanging="287"/>
        <w:spacing w:after="0" w:line="287" w:lineRule="auto"/>
        <w:tabs>
          <w:tab w:leader="none" w:pos="5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an increase in the operating expenses of our lines of business as a result of measures taken to protect the health of employees and clients, and to ensure business continuity.</w:t>
      </w:r>
    </w:p>
    <w:p>
      <w:pPr>
        <w:spacing w:after="0" w:line="150" w:lineRule="exact"/>
        <w:rPr>
          <w:sz w:val="20"/>
          <w:szCs w:val="20"/>
          <w:color w:val="auto"/>
        </w:rPr>
      </w:pPr>
    </w:p>
    <w:p>
      <w:pPr>
        <w:ind w:firstLine="295"/>
        <w:spacing w:after="0" w:line="287" w:lineRule="auto"/>
        <w:rPr>
          <w:sz w:val="20"/>
          <w:szCs w:val="20"/>
          <w:color w:val="auto"/>
        </w:rPr>
      </w:pPr>
      <w:r>
        <w:rPr>
          <w:rFonts w:ascii="Arial" w:cs="Arial" w:eastAsia="Arial" w:hAnsi="Arial"/>
          <w:sz w:val="16"/>
          <w:szCs w:val="16"/>
          <w:color w:val="auto"/>
        </w:rPr>
        <w:t>We are aware of the level of uncertainty we are facing, and as such, the need to adapt our businesses and organization in a changing environment. In this context, we are reviewing our strategic initiatives on a constant basis and adjusting them to each line of business:</w:t>
      </w:r>
    </w:p>
    <w:p>
      <w:pPr>
        <w:spacing w:after="0" w:line="200" w:lineRule="exact"/>
        <w:rPr>
          <w:sz w:val="20"/>
          <w:szCs w:val="20"/>
          <w:color w:val="auto"/>
        </w:rPr>
      </w:pPr>
    </w:p>
    <w:p>
      <w:pPr>
        <w:spacing w:after="0" w:line="343" w:lineRule="exact"/>
        <w:rPr>
          <w:sz w:val="20"/>
          <w:szCs w:val="20"/>
          <w:color w:val="auto"/>
        </w:rPr>
      </w:pPr>
    </w:p>
    <w:p>
      <w:pPr>
        <w:ind w:left="580" w:hanging="287"/>
        <w:spacing w:after="0"/>
        <w:tabs>
          <w:tab w:leader="none" w:pos="5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engaging with customers to understand their financial needs post COVID-19;</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implementing the “Reactiva Peru” program;</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adjusting risk management measures and designing medium-term restructuring initiatives;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re-starting sales capabilities coupled with dynamic pricing, and accelerating customer digital adoption; and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rethinking and implementing the new operating model.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0" w:hanging="287"/>
        <w:spacing w:after="0"/>
        <w:tabs>
          <w:tab w:leader="none" w:pos="5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engaging with customers, assessing new needs and risks and executing refinancing initiatives;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implementing the FAE program;</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accelerating the path to the hybrid decision making model, leveraging the use of data and analytics;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redefining the new remote operating model; and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finalizing the Bancompartir merger by the third quarter of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0" w:hanging="287"/>
        <w:spacing w:after="0"/>
        <w:tabs>
          <w:tab w:leader="none" w:pos="5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re-starting the Insurance sales force, coupled with digital capabilities;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adjusting Pacifico’s new operating model;</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managing the liquidity and profitability of the Pension investment portfolio in the context of expected withdrawals; and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actively participating in pension system reform.</w:t>
      </w: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080"/>
          </w:cols>
          <w:pgMar w:left="320" w:top="324" w:right="499" w:bottom="1440" w:gutter="0" w:footer="0" w:header="0"/>
        </w:sectPr>
      </w:pPr>
    </w:p>
    <w:bookmarkStart w:id="156" w:name="page157"/>
    <w:bookmarkEnd w:id="156"/>
    <w:p>
      <w:pPr>
        <w:ind w:left="300"/>
        <w:spacing w:after="0"/>
        <w:rPr>
          <w:sz w:val="20"/>
          <w:szCs w:val="20"/>
          <w:color w:val="auto"/>
        </w:rPr>
      </w:pPr>
      <w:r>
        <w:rPr>
          <w:rFonts w:ascii="Arial" w:cs="Arial" w:eastAsia="Arial" w:hAnsi="Arial"/>
          <w:sz w:val="16"/>
          <w:szCs w:val="16"/>
          <w:color w:val="auto"/>
        </w:rPr>
        <w:t>Investment banking and wealth management will focus on:</w:t>
      </w:r>
    </w:p>
    <w:p>
      <w:pPr>
        <w:spacing w:after="0" w:line="209" w:lineRule="exact"/>
        <w:rPr>
          <w:sz w:val="20"/>
          <w:szCs w:val="20"/>
          <w:color w:val="auto"/>
        </w:rPr>
      </w:pPr>
    </w:p>
    <w:p>
      <w:pPr>
        <w:ind w:left="580" w:hanging="287"/>
        <w:spacing w:after="0"/>
        <w:tabs>
          <w:tab w:leader="none" w:pos="5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developing business opportunities in Wealth Management and Asset Management by offering a diversified portfolio;</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developing the Corporate Finance pipeline;</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improving efficiency by re-prioritizing operating expenses and investments;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defining support functions and technological platforms to improve the customer experience and enable future growth; and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finalizing the integration of Ultraserfinco in the first half of 2020.</w:t>
      </w:r>
    </w:p>
    <w:p>
      <w:pPr>
        <w:spacing w:after="0" w:line="209" w:lineRule="exact"/>
        <w:rPr>
          <w:sz w:val="20"/>
          <w:szCs w:val="20"/>
          <w:color w:val="auto"/>
        </w:rPr>
      </w:pPr>
    </w:p>
    <w:p>
      <w:pPr>
        <w:ind w:firstLine="295"/>
        <w:spacing w:after="0" w:line="287" w:lineRule="auto"/>
        <w:rPr>
          <w:sz w:val="20"/>
          <w:szCs w:val="20"/>
          <w:color w:val="auto"/>
        </w:rPr>
      </w:pPr>
      <w:r>
        <w:rPr>
          <w:rFonts w:ascii="Arial" w:cs="Arial" w:eastAsia="Arial" w:hAnsi="Arial"/>
          <w:sz w:val="16"/>
          <w:szCs w:val="16"/>
          <w:color w:val="auto"/>
        </w:rPr>
        <w:t>Finally, on a consolidated level, Credicorp has launched a project to develop a strategy aimed at integrating ESG more deeply and consistently into business planning and activities. Additionally, to take advantage of the new opportunities, we will accelerate select specific initiatives at Krealo.</w:t>
      </w: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140"/>
          </w:cols>
          <w:pgMar w:left="320" w:top="324" w:right="4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6"/>
          <w:szCs w:val="16"/>
          <w:b w:val="1"/>
          <w:bCs w:val="1"/>
          <w:color w:val="auto"/>
        </w:rPr>
        <w:t>SELECTED STATISTICAL AND OTHER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Interest-Earning Assets</w:t>
      </w:r>
    </w:p>
    <w:p>
      <w:pPr>
        <w:spacing w:after="0" w:line="213" w:lineRule="exact"/>
        <w:rPr>
          <w:sz w:val="20"/>
          <w:szCs w:val="20"/>
          <w:color w:val="auto"/>
        </w:rPr>
      </w:pPr>
    </w:p>
    <w:p>
      <w:pPr>
        <w:ind w:right="80" w:firstLine="295"/>
        <w:spacing w:after="0" w:line="264" w:lineRule="auto"/>
        <w:rPr>
          <w:sz w:val="20"/>
          <w:szCs w:val="20"/>
          <w:color w:val="auto"/>
        </w:rPr>
      </w:pPr>
      <w:r>
        <w:rPr>
          <w:rFonts w:ascii="Arial" w:cs="Arial" w:eastAsia="Arial" w:hAnsi="Arial"/>
          <w:sz w:val="16"/>
          <w:szCs w:val="16"/>
          <w:color w:val="auto"/>
        </w:rPr>
        <w:t>As of March 31 2020, our interest earning assets had grown 4.7% compared to December 31, 2019. Growth in interest earning assets was mainly attributable to an increase in loan and investment balances. The comparison to March 31, 2019, which eliminates the effects of seasonality on loans, reflects an increase of 11.7% in interest earning assets, which was primarily driven by growth in loans, and to a lesser extent, by an increase in available funds and investments. As of March 31 2020, loans, our most profitable asset, registered growth in average daily balances of 1.0% compared to December 31, 2019 and 7.8% compared to March 31, 2019. This growth was mainly attributable to the increase in loans at BCP, primarily in the retail banking portfolio.</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As of</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4"/>
          </w:tcPr>
          <w:p>
            <w:pPr>
              <w:jc w:val="right"/>
              <w:ind w:right="1118"/>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Borders>
              <w:top w:val="single" w:sz="8" w:color="auto"/>
            </w:tcBorders>
            <w:gridSpan w:val="2"/>
          </w:tcPr>
          <w:p>
            <w:pPr>
              <w:jc w:val="right"/>
              <w:ind w:right="598"/>
              <w:spacing w:after="0" w:line="173" w:lineRule="exact"/>
              <w:rPr>
                <w:sz w:val="20"/>
                <w:szCs w:val="20"/>
                <w:color w:val="auto"/>
              </w:rPr>
            </w:pPr>
            <w:r>
              <w:rPr>
                <w:rFonts w:ascii="Arial" w:cs="Arial" w:eastAsia="Arial" w:hAnsi="Arial"/>
                <w:sz w:val="16"/>
                <w:szCs w:val="16"/>
                <w:b w:val="1"/>
                <w:bCs w:val="1"/>
                <w:color w:val="auto"/>
              </w:rPr>
              <w:t>March</w:t>
            </w:r>
          </w:p>
        </w:tc>
        <w:tc>
          <w:tcPr>
            <w:tcW w:w="12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198"/>
              <w:spacing w:after="0"/>
              <w:rPr>
                <w:sz w:val="20"/>
                <w:szCs w:val="20"/>
                <w:color w:val="auto"/>
              </w:rPr>
            </w:pPr>
            <w:r>
              <w:rPr>
                <w:rFonts w:ascii="Arial" w:cs="Arial" w:eastAsia="Arial" w:hAnsi="Arial"/>
                <w:sz w:val="16"/>
                <w:szCs w:val="16"/>
                <w:b w:val="1"/>
                <w:bCs w:val="1"/>
                <w:color w:val="auto"/>
              </w:rPr>
              <w:t>31, 2020 /</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40" w:type="dxa"/>
            <w:vAlign w:val="bottom"/>
          </w:tcPr>
          <w:p>
            <w:pPr>
              <w:spacing w:after="0"/>
              <w:rPr>
                <w:sz w:val="17"/>
                <w:szCs w:val="17"/>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March</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December</w:t>
            </w:r>
          </w:p>
        </w:tc>
        <w:tc>
          <w:tcPr>
            <w:tcW w:w="120" w:type="dxa"/>
            <w:vAlign w:val="bottom"/>
          </w:tcPr>
          <w:p>
            <w:pPr>
              <w:spacing w:after="0"/>
              <w:rPr>
                <w:sz w:val="17"/>
                <w:szCs w:val="17"/>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March</w:t>
            </w:r>
          </w:p>
        </w:tc>
        <w:tc>
          <w:tcPr>
            <w:tcW w:w="1540" w:type="dxa"/>
            <w:vAlign w:val="bottom"/>
            <w:gridSpan w:val="2"/>
          </w:tcPr>
          <w:p>
            <w:pPr>
              <w:jc w:val="right"/>
              <w:ind w:right="478"/>
              <w:spacing w:after="0"/>
              <w:rPr>
                <w:sz w:val="20"/>
                <w:szCs w:val="20"/>
                <w:color w:val="auto"/>
              </w:rPr>
            </w:pPr>
            <w:r>
              <w:rPr>
                <w:rFonts w:ascii="Arial" w:cs="Arial" w:eastAsia="Arial" w:hAnsi="Arial"/>
                <w:sz w:val="16"/>
                <w:szCs w:val="16"/>
                <w:b w:val="1"/>
                <w:bCs w:val="1"/>
                <w:color w:val="auto"/>
              </w:rPr>
              <w:t>December</w:t>
            </w:r>
          </w:p>
        </w:tc>
        <w:tc>
          <w:tcPr>
            <w:tcW w:w="1420" w:type="dxa"/>
            <w:vAlign w:val="bottom"/>
            <w:gridSpan w:val="2"/>
          </w:tcPr>
          <w:p>
            <w:pPr>
              <w:jc w:val="right"/>
              <w:ind w:right="478"/>
              <w:spacing w:after="0"/>
              <w:rPr>
                <w:sz w:val="20"/>
                <w:szCs w:val="20"/>
                <w:color w:val="auto"/>
              </w:rPr>
            </w:pPr>
            <w:r>
              <w:rPr>
                <w:rFonts w:ascii="Arial" w:cs="Arial" w:eastAsia="Arial" w:hAnsi="Arial"/>
                <w:sz w:val="16"/>
                <w:szCs w:val="16"/>
                <w:b w:val="1"/>
                <w:bCs w:val="1"/>
                <w:color w:val="auto"/>
              </w:rPr>
              <w:t>March</w:t>
            </w:r>
          </w:p>
        </w:tc>
        <w:tc>
          <w:tcPr>
            <w:tcW w:w="0" w:type="dxa"/>
            <w:vAlign w:val="bottom"/>
          </w:tcPr>
          <w:p>
            <w:pPr>
              <w:spacing w:after="0"/>
              <w:rPr>
                <w:sz w:val="1"/>
                <w:szCs w:val="1"/>
                <w:color w:val="auto"/>
              </w:rPr>
            </w:pPr>
          </w:p>
        </w:tc>
      </w:tr>
      <w:tr>
        <w:trPr>
          <w:trHeight w:val="212"/>
        </w:trPr>
        <w:tc>
          <w:tcPr>
            <w:tcW w:w="3940" w:type="dxa"/>
            <w:vAlign w:val="bottom"/>
            <w:vMerge w:val="restart"/>
          </w:tcPr>
          <w:p>
            <w:pPr>
              <w:spacing w:after="0"/>
              <w:rPr>
                <w:sz w:val="20"/>
                <w:szCs w:val="20"/>
                <w:color w:val="auto"/>
              </w:rPr>
            </w:pPr>
            <w:r>
              <w:rPr>
                <w:rFonts w:ascii="Arial" w:cs="Arial" w:eastAsia="Arial" w:hAnsi="Arial"/>
                <w:sz w:val="16"/>
                <w:szCs w:val="16"/>
                <w:b w:val="1"/>
                <w:bCs w:val="1"/>
                <w:color w:val="auto"/>
              </w:rPr>
              <w:t>Interest earning assets</w:t>
            </w:r>
          </w:p>
        </w:tc>
        <w:tc>
          <w:tcPr>
            <w:tcW w:w="12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31, 2019</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31, 2019</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238"/>
              <w:spacing w:after="0"/>
              <w:rPr>
                <w:sz w:val="20"/>
                <w:szCs w:val="20"/>
                <w:color w:val="auto"/>
              </w:rPr>
            </w:pPr>
            <w:r>
              <w:rPr>
                <w:rFonts w:ascii="Arial" w:cs="Arial" w:eastAsia="Arial" w:hAnsi="Arial"/>
                <w:sz w:val="16"/>
                <w:szCs w:val="16"/>
                <w:b w:val="1"/>
                <w:bCs w:val="1"/>
                <w:color w:val="auto"/>
              </w:rPr>
              <w:t>31, 2020</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31, 2019</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31, 2020 / 2019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4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2"/>
              </w:rPr>
              <w:t>(Soles in thousands)</w:t>
            </w: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Cash and due from banks</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14,816,077</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19,671,684</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19,162,140</w:t>
            </w:r>
          </w:p>
        </w:tc>
        <w:tc>
          <w:tcPr>
            <w:tcW w:w="154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(2.6)%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197"/>
        </w:trPr>
        <w:tc>
          <w:tcPr>
            <w:tcW w:w="3940" w:type="dxa"/>
            <w:vAlign w:val="bottom"/>
          </w:tcPr>
          <w:p>
            <w:pPr>
              <w:spacing w:after="0"/>
              <w:rPr>
                <w:sz w:val="20"/>
                <w:szCs w:val="20"/>
                <w:color w:val="auto"/>
              </w:rPr>
            </w:pPr>
            <w:r>
              <w:rPr>
                <w:rFonts w:ascii="Arial" w:cs="Arial" w:eastAsia="Arial" w:hAnsi="Arial"/>
                <w:sz w:val="16"/>
                <w:szCs w:val="16"/>
                <w:color w:val="auto"/>
              </w:rPr>
              <w:t>Interbank funds</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288,093</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137,722</w:t>
            </w:r>
          </w:p>
        </w:tc>
        <w:tc>
          <w:tcPr>
            <w:tcW w:w="1560" w:type="dxa"/>
            <w:vAlign w:val="bottom"/>
            <w:gridSpan w:val="3"/>
          </w:tcPr>
          <w:p>
            <w:pPr>
              <w:jc w:val="right"/>
              <w:ind w:right="220"/>
              <w:spacing w:after="0"/>
              <w:rPr>
                <w:sz w:val="20"/>
                <w:szCs w:val="20"/>
                <w:color w:val="auto"/>
              </w:rPr>
            </w:pPr>
            <w:r>
              <w:rPr>
                <w:rFonts w:ascii="Arial" w:cs="Arial" w:eastAsia="Arial" w:hAnsi="Arial"/>
                <w:sz w:val="16"/>
                <w:szCs w:val="16"/>
                <w:color w:val="auto"/>
              </w:rPr>
              <w:t>376,289</w:t>
            </w:r>
          </w:p>
        </w:tc>
        <w:tc>
          <w:tcPr>
            <w:tcW w:w="1540" w:type="dxa"/>
            <w:vAlign w:val="bottom"/>
            <w:gridSpan w:val="2"/>
          </w:tcPr>
          <w:p>
            <w:pPr>
              <w:jc w:val="right"/>
              <w:ind w:right="78"/>
              <w:spacing w:after="0"/>
              <w:rPr>
                <w:sz w:val="20"/>
                <w:szCs w:val="20"/>
                <w:color w:val="auto"/>
              </w:rPr>
            </w:pPr>
            <w:r>
              <w:rPr>
                <w:rFonts w:ascii="Arial" w:cs="Arial" w:eastAsia="Arial" w:hAnsi="Arial"/>
                <w:sz w:val="16"/>
                <w:szCs w:val="16"/>
                <w:color w:val="auto"/>
              </w:rPr>
              <w:t>173.2%</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34,960,529</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33,530,531</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36,816,653</w:t>
            </w:r>
          </w:p>
        </w:tc>
        <w:tc>
          <w:tcPr>
            <w:tcW w:w="154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9.8%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84"/>
        </w:trPr>
        <w:tc>
          <w:tcPr>
            <w:tcW w:w="3940" w:type="dxa"/>
            <w:vAlign w:val="bottom"/>
          </w:tcPr>
          <w:p>
            <w:pPr>
              <w:spacing w:after="0"/>
              <w:rPr>
                <w:sz w:val="20"/>
                <w:szCs w:val="20"/>
                <w:color w:val="auto"/>
              </w:rPr>
            </w:pPr>
            <w:r>
              <w:rPr>
                <w:rFonts w:ascii="Arial" w:cs="Arial" w:eastAsia="Arial" w:hAnsi="Arial"/>
                <w:sz w:val="16"/>
                <w:szCs w:val="16"/>
                <w:color w:val="auto"/>
              </w:rPr>
              <w:t>Cash collateral, reverse repurchase agreements and</w:t>
            </w: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940" w:type="dxa"/>
            <w:vAlign w:val="bottom"/>
          </w:tcPr>
          <w:p>
            <w:pPr>
              <w:ind w:left="140"/>
              <w:spacing w:after="0"/>
              <w:rPr>
                <w:sz w:val="20"/>
                <w:szCs w:val="20"/>
                <w:color w:val="auto"/>
              </w:rPr>
            </w:pPr>
            <w:r>
              <w:rPr>
                <w:rFonts w:ascii="Arial" w:cs="Arial" w:eastAsia="Arial" w:hAnsi="Arial"/>
                <w:sz w:val="16"/>
                <w:szCs w:val="16"/>
                <w:color w:val="auto"/>
              </w:rPr>
              <w:t>securities borrowing</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4,026,447</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4,288,524</w:t>
            </w:r>
          </w:p>
        </w:tc>
        <w:tc>
          <w:tcPr>
            <w:tcW w:w="1560" w:type="dxa"/>
            <w:vAlign w:val="bottom"/>
            <w:gridSpan w:val="3"/>
          </w:tcPr>
          <w:p>
            <w:pPr>
              <w:jc w:val="right"/>
              <w:ind w:right="220"/>
              <w:spacing w:after="0"/>
              <w:rPr>
                <w:sz w:val="20"/>
                <w:szCs w:val="20"/>
                <w:color w:val="auto"/>
              </w:rPr>
            </w:pPr>
            <w:r>
              <w:rPr>
                <w:rFonts w:ascii="Arial" w:cs="Arial" w:eastAsia="Arial" w:hAnsi="Arial"/>
                <w:sz w:val="16"/>
                <w:szCs w:val="16"/>
                <w:color w:val="auto"/>
              </w:rPr>
              <w:t>4,424,345</w:t>
            </w:r>
          </w:p>
        </w:tc>
        <w:tc>
          <w:tcPr>
            <w:tcW w:w="1540" w:type="dxa"/>
            <w:vAlign w:val="bottom"/>
            <w:gridSpan w:val="2"/>
          </w:tcPr>
          <w:p>
            <w:pPr>
              <w:jc w:val="right"/>
              <w:ind w:right="78"/>
              <w:spacing w:after="0"/>
              <w:rPr>
                <w:sz w:val="20"/>
                <w:szCs w:val="20"/>
                <w:color w:val="auto"/>
              </w:rPr>
            </w:pPr>
            <w:r>
              <w:rPr>
                <w:rFonts w:ascii="Arial" w:cs="Arial" w:eastAsia="Arial" w:hAnsi="Arial"/>
                <w:sz w:val="16"/>
                <w:szCs w:val="16"/>
                <w:color w:val="auto"/>
              </w:rPr>
              <w:t>3.2%</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85"/>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w w:val="97"/>
              </w:rPr>
              <w:t>Financial assets designated at fair value through profit or</w:t>
            </w: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576,618</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620,544</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559,321</w:t>
            </w:r>
          </w:p>
        </w:tc>
        <w:tc>
          <w:tcPr>
            <w:tcW w:w="154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(9.9)%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9"/>
        </w:trPr>
        <w:tc>
          <w:tcPr>
            <w:tcW w:w="3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loans(1)</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108,350,384</w:t>
            </w:r>
          </w:p>
        </w:tc>
        <w:tc>
          <w:tcPr>
            <w:tcW w:w="24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115,609,679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120,708,515</w:t>
            </w:r>
          </w:p>
        </w:tc>
        <w:tc>
          <w:tcPr>
            <w:tcW w:w="22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interest earning assets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163,018,148</w:t>
            </w: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173,858,684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182,047,263</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w:t>
            </w: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171450</wp:posOffset>
            </wp:positionV>
            <wp:extent cx="178625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(1)  Balances as of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4"/>
          <w:szCs w:val="14"/>
          <w:color w:val="auto"/>
        </w:rPr>
        <w:t>Fair value through profit or loss investments Fair value through other comprehensive income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investments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Amortized cost investments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investments</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Evolution of Interest Earning Assets</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Total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As of</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4"/>
          </w:tcPr>
          <w:p>
            <w:pPr>
              <w:jc w:val="right"/>
              <w:ind w:right="1078"/>
              <w:spacing w:after="0"/>
              <w:rPr>
                <w:sz w:val="20"/>
                <w:szCs w:val="20"/>
                <w:color w:val="auto"/>
              </w:rPr>
            </w:pPr>
            <w:r>
              <w:rPr>
                <w:rFonts w:ascii="Arial" w:cs="Arial" w:eastAsia="Arial" w:hAnsi="Arial"/>
                <w:sz w:val="16"/>
                <w:szCs w:val="16"/>
                <w:b w:val="1"/>
                <w:bCs w:val="1"/>
                <w:color w:val="auto"/>
              </w:rPr>
              <w:t>% Change</w:t>
            </w:r>
          </w:p>
        </w:tc>
      </w:tr>
      <w:tr>
        <w:trPr>
          <w:trHeight w:val="173"/>
        </w:trPr>
        <w:tc>
          <w:tcPr>
            <w:tcW w:w="1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Borders>
              <w:top w:val="single" w:sz="8" w:color="auto"/>
            </w:tcBorders>
            <w:gridSpan w:val="2"/>
          </w:tcPr>
          <w:p>
            <w:pPr>
              <w:jc w:val="right"/>
              <w:ind w:right="578"/>
              <w:spacing w:after="0" w:line="173" w:lineRule="exact"/>
              <w:rPr>
                <w:sz w:val="20"/>
                <w:szCs w:val="20"/>
                <w:color w:val="auto"/>
              </w:rPr>
            </w:pPr>
            <w:r>
              <w:rPr>
                <w:rFonts w:ascii="Arial" w:cs="Arial" w:eastAsia="Arial" w:hAnsi="Arial"/>
                <w:sz w:val="16"/>
                <w:szCs w:val="16"/>
                <w:b w:val="1"/>
                <w:bCs w:val="1"/>
                <w:color w:val="auto"/>
              </w:rPr>
              <w:t>March</w:t>
            </w:r>
          </w:p>
        </w:tc>
        <w:tc>
          <w:tcPr>
            <w:tcW w:w="12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97"/>
        </w:trPr>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198"/>
              <w:spacing w:after="0"/>
              <w:rPr>
                <w:sz w:val="20"/>
                <w:szCs w:val="20"/>
                <w:color w:val="auto"/>
              </w:rPr>
            </w:pPr>
            <w:r>
              <w:rPr>
                <w:rFonts w:ascii="Arial" w:cs="Arial" w:eastAsia="Arial" w:hAnsi="Arial"/>
                <w:sz w:val="16"/>
                <w:szCs w:val="16"/>
                <w:b w:val="1"/>
                <w:bCs w:val="1"/>
                <w:color w:val="auto"/>
              </w:rPr>
              <w:t>31, 2020 /</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7"/>
        </w:trPr>
        <w:tc>
          <w:tcPr>
            <w:tcW w:w="1440" w:type="dxa"/>
            <w:vAlign w:val="bottom"/>
            <w:gridSpan w:val="2"/>
          </w:tcPr>
          <w:p>
            <w:pPr>
              <w:ind w:left="360"/>
              <w:spacing w:after="0"/>
              <w:rPr>
                <w:sz w:val="20"/>
                <w:szCs w:val="20"/>
                <w:color w:val="auto"/>
              </w:rPr>
            </w:pPr>
            <w:r>
              <w:rPr>
                <w:rFonts w:ascii="Arial" w:cs="Arial" w:eastAsia="Arial" w:hAnsi="Arial"/>
                <w:sz w:val="16"/>
                <w:szCs w:val="16"/>
                <w:b w:val="1"/>
                <w:bCs w:val="1"/>
                <w:color w:val="auto"/>
              </w:rPr>
              <w:t>March</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December</w:t>
            </w:r>
          </w:p>
        </w:tc>
        <w:tc>
          <w:tcPr>
            <w:tcW w:w="120" w:type="dxa"/>
            <w:vAlign w:val="bottom"/>
          </w:tcPr>
          <w:p>
            <w:pPr>
              <w:spacing w:after="0"/>
              <w:rPr>
                <w:sz w:val="17"/>
                <w:szCs w:val="17"/>
                <w:color w:val="auto"/>
              </w:rPr>
            </w:pPr>
          </w:p>
        </w:tc>
        <w:tc>
          <w:tcPr>
            <w:tcW w:w="1460" w:type="dxa"/>
            <w:vAlign w:val="bottom"/>
            <w:gridSpan w:val="2"/>
          </w:tcPr>
          <w:p>
            <w:pPr>
              <w:ind w:left="380"/>
              <w:spacing w:after="0"/>
              <w:rPr>
                <w:sz w:val="20"/>
                <w:szCs w:val="20"/>
                <w:color w:val="auto"/>
              </w:rPr>
            </w:pPr>
            <w:r>
              <w:rPr>
                <w:rFonts w:ascii="Arial" w:cs="Arial" w:eastAsia="Arial" w:hAnsi="Arial"/>
                <w:sz w:val="16"/>
                <w:szCs w:val="16"/>
                <w:b w:val="1"/>
                <w:bCs w:val="1"/>
                <w:color w:val="auto"/>
              </w:rPr>
              <w:t>March</w:t>
            </w:r>
          </w:p>
        </w:tc>
        <w:tc>
          <w:tcPr>
            <w:tcW w:w="1500" w:type="dxa"/>
            <w:vAlign w:val="bottom"/>
            <w:gridSpan w:val="2"/>
          </w:tcPr>
          <w:p>
            <w:pPr>
              <w:jc w:val="right"/>
              <w:ind w:right="458"/>
              <w:spacing w:after="0"/>
              <w:rPr>
                <w:sz w:val="20"/>
                <w:szCs w:val="20"/>
                <w:color w:val="auto"/>
              </w:rPr>
            </w:pPr>
            <w:r>
              <w:rPr>
                <w:rFonts w:ascii="Arial" w:cs="Arial" w:eastAsia="Arial" w:hAnsi="Arial"/>
                <w:sz w:val="16"/>
                <w:szCs w:val="16"/>
                <w:b w:val="1"/>
                <w:bCs w:val="1"/>
                <w:color w:val="auto"/>
              </w:rPr>
              <w:t>December</w:t>
            </w:r>
          </w:p>
        </w:tc>
        <w:tc>
          <w:tcPr>
            <w:tcW w:w="1400" w:type="dxa"/>
            <w:vAlign w:val="bottom"/>
            <w:gridSpan w:val="2"/>
          </w:tcPr>
          <w:p>
            <w:pPr>
              <w:jc w:val="right"/>
              <w:ind w:right="458"/>
              <w:spacing w:after="0"/>
              <w:rPr>
                <w:sz w:val="20"/>
                <w:szCs w:val="20"/>
                <w:color w:val="auto"/>
              </w:rPr>
            </w:pPr>
            <w:r>
              <w:rPr>
                <w:rFonts w:ascii="Arial" w:cs="Arial" w:eastAsia="Arial" w:hAnsi="Arial"/>
                <w:sz w:val="16"/>
                <w:szCs w:val="16"/>
                <w:b w:val="1"/>
                <w:bCs w:val="1"/>
                <w:color w:val="auto"/>
              </w:rPr>
              <w:t>March</w:t>
            </w:r>
          </w:p>
        </w:tc>
      </w:tr>
      <w:tr>
        <w:trPr>
          <w:trHeight w:val="212"/>
        </w:trPr>
        <w:tc>
          <w:tcPr>
            <w:tcW w:w="12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31, 2019</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31, 2019</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258"/>
              <w:spacing w:after="0"/>
              <w:rPr>
                <w:sz w:val="20"/>
                <w:szCs w:val="20"/>
                <w:color w:val="auto"/>
              </w:rPr>
            </w:pPr>
            <w:r>
              <w:rPr>
                <w:rFonts w:ascii="Arial" w:cs="Arial" w:eastAsia="Arial" w:hAnsi="Arial"/>
                <w:sz w:val="16"/>
                <w:szCs w:val="16"/>
                <w:b w:val="1"/>
                <w:bCs w:val="1"/>
                <w:color w:val="auto"/>
              </w:rPr>
              <w:t>31, 2020</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31, 2019</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31, 2020 / 2019</w:t>
            </w:r>
          </w:p>
        </w:tc>
        <w:tc>
          <w:tcPr>
            <w:tcW w:w="160" w:type="dxa"/>
            <w:vAlign w:val="bottom"/>
          </w:tcPr>
          <w:p>
            <w:pPr>
              <w:spacing w:after="0"/>
              <w:rPr>
                <w:sz w:val="18"/>
                <w:szCs w:val="18"/>
                <w:color w:val="auto"/>
              </w:rPr>
            </w:pPr>
          </w:p>
        </w:tc>
      </w:tr>
      <w:tr>
        <w:trPr>
          <w:trHeight w:val="177"/>
        </w:trPr>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ind w:left="80"/>
              <w:spacing w:after="0" w:line="177" w:lineRule="exact"/>
              <w:rPr>
                <w:sz w:val="20"/>
                <w:szCs w:val="20"/>
                <w:color w:val="auto"/>
              </w:rPr>
            </w:pPr>
            <w:r>
              <w:rPr>
                <w:rFonts w:ascii="Arial" w:cs="Arial" w:eastAsia="Arial" w:hAnsi="Arial"/>
                <w:sz w:val="16"/>
                <w:szCs w:val="16"/>
                <w:b w:val="1"/>
                <w:bCs w:val="1"/>
                <w:color w:val="auto"/>
                <w:w w:val="94"/>
              </w:rPr>
              <w:t>(Soles in thousands)</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8"/>
        </w:trPr>
        <w:tc>
          <w:tcPr>
            <w:tcW w:w="1220" w:type="dxa"/>
            <w:vAlign w:val="bottom"/>
          </w:tcPr>
          <w:p>
            <w:pPr>
              <w:jc w:val="right"/>
              <w:spacing w:after="0"/>
              <w:rPr>
                <w:sz w:val="20"/>
                <w:szCs w:val="20"/>
                <w:color w:val="auto"/>
              </w:rPr>
            </w:pPr>
            <w:r>
              <w:rPr>
                <w:rFonts w:ascii="Arial" w:cs="Arial" w:eastAsia="Arial" w:hAnsi="Arial"/>
                <w:sz w:val="16"/>
                <w:szCs w:val="16"/>
                <w:color w:val="auto"/>
              </w:rPr>
              <w:t>4,136,148</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3,850,762</w:t>
            </w:r>
          </w:p>
        </w:tc>
        <w:tc>
          <w:tcPr>
            <w:tcW w:w="100" w:type="dxa"/>
            <w:vAlign w:val="bottom"/>
          </w:tcPr>
          <w:p>
            <w:pPr>
              <w:spacing w:after="0"/>
              <w:rPr>
                <w:sz w:val="18"/>
                <w:szCs w:val="18"/>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6"/>
                <w:szCs w:val="16"/>
                <w:color w:val="auto"/>
              </w:rPr>
              <w:t>4,185,638</w:t>
            </w:r>
          </w:p>
        </w:tc>
        <w:tc>
          <w:tcPr>
            <w:tcW w:w="1500" w:type="dxa"/>
            <w:vAlign w:val="bottom"/>
            <w:gridSpan w:val="2"/>
          </w:tcPr>
          <w:p>
            <w:pPr>
              <w:jc w:val="right"/>
              <w:ind w:right="58"/>
              <w:spacing w:after="0"/>
              <w:rPr>
                <w:sz w:val="20"/>
                <w:szCs w:val="20"/>
                <w:color w:val="auto"/>
              </w:rPr>
            </w:pPr>
            <w:r>
              <w:rPr>
                <w:rFonts w:ascii="Arial" w:cs="Arial" w:eastAsia="Arial" w:hAnsi="Arial"/>
                <w:sz w:val="16"/>
                <w:szCs w:val="16"/>
                <w:color w:val="auto"/>
              </w:rPr>
              <w:t>8.7%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1.2%</w:t>
            </w:r>
          </w:p>
        </w:tc>
      </w:tr>
      <w:tr>
        <w:trPr>
          <w:trHeight w:val="382"/>
        </w:trPr>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27,184,560</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26,202,723</w:t>
            </w:r>
          </w:p>
        </w:tc>
        <w:tc>
          <w:tcPr>
            <w:tcW w:w="1580" w:type="dxa"/>
            <w:vAlign w:val="bottom"/>
            <w:gridSpan w:val="3"/>
          </w:tcPr>
          <w:p>
            <w:pPr>
              <w:jc w:val="right"/>
              <w:ind w:right="220"/>
              <w:spacing w:after="0"/>
              <w:rPr>
                <w:sz w:val="20"/>
                <w:szCs w:val="20"/>
                <w:color w:val="auto"/>
              </w:rPr>
            </w:pPr>
            <w:r>
              <w:rPr>
                <w:rFonts w:ascii="Arial" w:cs="Arial" w:eastAsia="Arial" w:hAnsi="Arial"/>
                <w:sz w:val="16"/>
                <w:szCs w:val="16"/>
                <w:color w:val="auto"/>
              </w:rPr>
              <w:t>28,374,836</w:t>
            </w:r>
          </w:p>
        </w:tc>
        <w:tc>
          <w:tcPr>
            <w:tcW w:w="1500" w:type="dxa"/>
            <w:vAlign w:val="bottom"/>
            <w:gridSpan w:val="2"/>
          </w:tcPr>
          <w:p>
            <w:pPr>
              <w:jc w:val="right"/>
              <w:ind w:right="58"/>
              <w:spacing w:after="0"/>
              <w:rPr>
                <w:sz w:val="20"/>
                <w:szCs w:val="20"/>
                <w:color w:val="auto"/>
              </w:rPr>
            </w:pPr>
            <w:r>
              <w:rPr>
                <w:rFonts w:ascii="Arial" w:cs="Arial" w:eastAsia="Arial" w:hAnsi="Arial"/>
                <w:sz w:val="16"/>
                <w:szCs w:val="16"/>
                <w:color w:val="auto"/>
              </w:rPr>
              <w:t>8.3%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4.4%</w:t>
            </w:r>
          </w:p>
        </w:tc>
      </w:tr>
      <w:tr>
        <w:trPr>
          <w:trHeight w:val="220"/>
        </w:trPr>
        <w:tc>
          <w:tcPr>
            <w:tcW w:w="1220" w:type="dxa"/>
            <w:vAlign w:val="bottom"/>
          </w:tcPr>
          <w:p>
            <w:pPr>
              <w:jc w:val="right"/>
              <w:spacing w:after="0"/>
              <w:rPr>
                <w:sz w:val="20"/>
                <w:szCs w:val="20"/>
                <w:color w:val="auto"/>
              </w:rPr>
            </w:pPr>
            <w:r>
              <w:rPr>
                <w:rFonts w:ascii="Arial" w:cs="Arial" w:eastAsia="Arial" w:hAnsi="Arial"/>
                <w:sz w:val="16"/>
                <w:szCs w:val="16"/>
                <w:color w:val="auto"/>
              </w:rPr>
              <w:t>3,639,821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3,477,046</w:t>
            </w:r>
          </w:p>
        </w:tc>
        <w:tc>
          <w:tcPr>
            <w:tcW w:w="10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6"/>
                <w:szCs w:val="16"/>
                <w:color w:val="auto"/>
              </w:rPr>
              <w:t>4,241,713</w:t>
            </w:r>
          </w:p>
        </w:tc>
        <w:tc>
          <w:tcPr>
            <w:tcW w:w="1500" w:type="dxa"/>
            <w:vAlign w:val="bottom"/>
            <w:gridSpan w:val="2"/>
          </w:tcPr>
          <w:p>
            <w:pPr>
              <w:jc w:val="right"/>
              <w:ind w:right="58"/>
              <w:spacing w:after="0"/>
              <w:rPr>
                <w:sz w:val="20"/>
                <w:szCs w:val="20"/>
                <w:color w:val="auto"/>
              </w:rPr>
            </w:pPr>
            <w:r>
              <w:rPr>
                <w:rFonts w:ascii="Arial" w:cs="Arial" w:eastAsia="Arial" w:hAnsi="Arial"/>
                <w:sz w:val="16"/>
                <w:szCs w:val="16"/>
                <w:color w:val="auto"/>
              </w:rPr>
              <w:t>22.0%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16.6%</w:t>
            </w:r>
          </w:p>
        </w:tc>
      </w:tr>
      <w:tr>
        <w:trPr>
          <w:trHeight w:val="202"/>
        </w:trPr>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34,960,529</w:t>
            </w:r>
          </w:p>
        </w:tc>
        <w:tc>
          <w:tcPr>
            <w:tcW w:w="2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33,530,531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36,816,563</w:t>
            </w:r>
          </w:p>
        </w:tc>
        <w:tc>
          <w:tcPr>
            <w:tcW w:w="2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w:t>
            </w:r>
          </w:p>
        </w:tc>
        <w:tc>
          <w:tcPr>
            <w:tcW w:w="280" w:type="dxa"/>
            <w:vAlign w:val="bottom"/>
          </w:tcPr>
          <w:p>
            <w:pPr>
              <w:jc w:val="right"/>
              <w:ind w:right="18"/>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98"/>
              </w:rPr>
              <w:t>%</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-2540635</wp:posOffset>
            </wp:positionH>
            <wp:positionV relativeFrom="paragraph">
              <wp:posOffset>-669925</wp:posOffset>
            </wp:positionV>
            <wp:extent cx="7144385" cy="1250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4385" cy="125095"/>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-295910</wp:posOffset>
            </wp:positionV>
            <wp:extent cx="7144385" cy="132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4385" cy="132715"/>
                    </a:xfrm>
                    <a:prstGeom prst="rect">
                      <a:avLst/>
                    </a:prstGeom>
                    <a:noFill/>
                  </pic:spPr>
                </pic:pic>
              </a:graphicData>
            </a:graphic>
          </wp:anchor>
        </w:drawing>
      </w:r>
    </w:p>
    <w:p>
      <w:pPr>
        <w:spacing w:after="0" w:line="961" w:lineRule="exact"/>
        <w:rPr>
          <w:sz w:val="20"/>
          <w:szCs w:val="20"/>
          <w:color w:val="auto"/>
        </w:rPr>
      </w:pPr>
    </w:p>
    <w:p>
      <w:pPr>
        <w:sectPr>
          <w:pgSz w:w="11900" w:h="16838" w:orient="portrait"/>
          <w:cols w:equalWidth="0" w:num="2">
            <w:col w:w="3280" w:space="720"/>
            <w:col w:w="7240"/>
          </w:cols>
          <w:pgMar w:left="320" w:top="320" w:right="339" w:bottom="1440" w:gutter="0" w:footer="0" w:header="0"/>
          <w:type w:val="continuous"/>
        </w:sectPr>
      </w:pPr>
    </w:p>
    <w:p>
      <w:pPr>
        <w:spacing w:after="0" w:line="9" w:lineRule="exact"/>
        <w:rPr>
          <w:sz w:val="20"/>
          <w:szCs w:val="20"/>
          <w:color w:val="auto"/>
        </w:rPr>
      </w:pPr>
    </w:p>
    <w:p>
      <w:pPr>
        <w:ind w:right="80" w:firstLine="295"/>
        <w:spacing w:after="0" w:line="266" w:lineRule="auto"/>
        <w:rPr>
          <w:sz w:val="20"/>
          <w:szCs w:val="20"/>
          <w:color w:val="auto"/>
        </w:rPr>
      </w:pPr>
      <w:r>
        <w:rPr>
          <w:rFonts w:ascii="Arial" w:cs="Arial" w:eastAsia="Arial" w:hAnsi="Arial"/>
          <w:sz w:val="16"/>
          <w:szCs w:val="16"/>
          <w:color w:val="auto"/>
        </w:rPr>
        <w:t>Total loans as of March 31, 2020 increased 4.4% compared to December 31, 2019. Growth in total loans is mainly attributable to the translation effect on the FC portfolio, which was driven by a 3.7% appreciation of the U.S. Dollar. Excluding the FC translation effect, total loans increased 2.9% in real terms. As of March 31, 2020, FC loans represented 40.1% of total loans. Quarterly growth in the total loan portfolio was mainly attributable to shifts in loan balances at BCP Stand-alone, which posted mixed results:</w:t>
      </w:r>
    </w:p>
    <w:p>
      <w:pPr>
        <w:spacing w:after="0" w:line="167" w:lineRule="exact"/>
        <w:rPr>
          <w:sz w:val="20"/>
          <w:szCs w:val="20"/>
          <w:color w:val="auto"/>
        </w:rPr>
      </w:pPr>
    </w:p>
    <w:p>
      <w:pPr>
        <w:ind w:left="720" w:right="140" w:hanging="366"/>
        <w:spacing w:after="0" w:line="322" w:lineRule="auto"/>
        <w:tabs>
          <w:tab w:leader="none" w:pos="72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The largest increase in the portfolio was driven by wholesale banking, which registered double-digit growth (a 10.5% increase in growth as of March 31, 2020 compared to December 31, 2019). This was primarily attributable to the translation effect caused by the appreciation of the U.S. dollar.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4385"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158" w:name="page159"/>
    <w:bookmarkEnd w:id="158"/>
    <w:p>
      <w:pPr>
        <w:jc w:val="both"/>
        <w:ind w:left="720" w:right="300" w:hanging="366"/>
        <w:spacing w:after="0" w:line="316" w:lineRule="auto"/>
        <w:tabs>
          <w:tab w:leader="none" w:pos="72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The retail banking portfolio remained stable, with growth in loans in the mortgage, consumer and business segments, which was offset by decreases in loan balances in the credit card and SME-Pyme segments. The decreases in credit card and SME-Pyme balances are subject to a degree of seasonality in the first quarter of every year, when loan balances decrease in comparison to balances in the final few months of the preceding year, which generally increase due to retail spend and SME-Pyme spending (and consequently higher lending balances) driven by the Christmas holiday and year-end sales campaigns.</w:t>
      </w:r>
    </w:p>
    <w:p>
      <w:pPr>
        <w:spacing w:after="0" w:line="135" w:lineRule="exact"/>
        <w:rPr>
          <w:sz w:val="20"/>
          <w:szCs w:val="20"/>
          <w:color w:val="auto"/>
        </w:rPr>
      </w:pPr>
    </w:p>
    <w:p>
      <w:pPr>
        <w:ind w:right="20" w:firstLine="295"/>
        <w:spacing w:after="0" w:line="287" w:lineRule="auto"/>
        <w:rPr>
          <w:sz w:val="20"/>
          <w:szCs w:val="20"/>
          <w:color w:val="auto"/>
        </w:rPr>
      </w:pPr>
      <w:r>
        <w:rPr>
          <w:rFonts w:ascii="Arial" w:cs="Arial" w:eastAsia="Arial" w:hAnsi="Arial"/>
          <w:sz w:val="16"/>
          <w:szCs w:val="16"/>
          <w:color w:val="auto"/>
        </w:rPr>
        <w:t>Comparing March 31, 2020 to March 31, 2019, loans increased 11.4% (9.9% excluding the translation effect for exchange rate variation). This growth was attributable to expansion across all segments in 2020, which was attributable, in order of magnitude, to the following:</w:t>
      </w:r>
    </w:p>
    <w:p>
      <w:pPr>
        <w:spacing w:after="0" w:line="150" w:lineRule="exact"/>
        <w:rPr>
          <w:sz w:val="20"/>
          <w:szCs w:val="20"/>
          <w:color w:val="auto"/>
        </w:rPr>
      </w:pPr>
    </w:p>
    <w:p>
      <w:pPr>
        <w:ind w:left="720" w:right="340" w:hanging="366"/>
        <w:spacing w:after="0" w:line="287" w:lineRule="auto"/>
        <w:tabs>
          <w:tab w:leader="none" w:pos="72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growth in the wholesale banking portfolio, led by corporate banking, which was primarily attributable to an increase in loan disbursements for medium and long-term loans in LC and to financing for working capital in both LC and FC;</w:t>
      </w:r>
    </w:p>
    <w:p>
      <w:pPr>
        <w:spacing w:after="0" w:line="149" w:lineRule="exact"/>
        <w:rPr>
          <w:rFonts w:ascii="Arial" w:cs="Arial" w:eastAsia="Arial" w:hAnsi="Arial"/>
          <w:sz w:val="16"/>
          <w:szCs w:val="16"/>
          <w:color w:val="auto"/>
        </w:rPr>
      </w:pPr>
    </w:p>
    <w:p>
      <w:pPr>
        <w:ind w:left="720" w:hanging="366"/>
        <w:spacing w:after="0"/>
        <w:tabs>
          <w:tab w:leader="none" w:pos="72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growth in retail banking loans, led by the mortgage segment and followed by the consumer, SME Business, SME-Pyme and credit card segments;</w:t>
      </w:r>
    </w:p>
    <w:p>
      <w:pPr>
        <w:spacing w:after="0" w:line="209" w:lineRule="exact"/>
        <w:rPr>
          <w:rFonts w:ascii="Arial" w:cs="Arial" w:eastAsia="Arial" w:hAnsi="Arial"/>
          <w:sz w:val="16"/>
          <w:szCs w:val="16"/>
          <w:color w:val="auto"/>
        </w:rPr>
      </w:pPr>
    </w:p>
    <w:p>
      <w:pPr>
        <w:ind w:left="720" w:right="60" w:hanging="366"/>
        <w:spacing w:after="0" w:line="287" w:lineRule="auto"/>
        <w:tabs>
          <w:tab w:leader="none" w:pos="72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expansion in Mibanco’s portfolio (a 5.3% increase as of March 31, 2020 compared to March 31, 2019) and BCP Bolivia (a 4.3% increase as of March 31, 2020 compared to March 31, 2019).</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Investments</w:t>
      </w:r>
    </w:p>
    <w:p>
      <w:pPr>
        <w:spacing w:after="0" w:line="209" w:lineRule="exact"/>
        <w:rPr>
          <w:sz w:val="20"/>
          <w:szCs w:val="20"/>
          <w:color w:val="auto"/>
        </w:rPr>
      </w:pPr>
    </w:p>
    <w:p>
      <w:pPr>
        <w:ind w:right="20" w:firstLine="295"/>
        <w:spacing w:after="0" w:line="266" w:lineRule="auto"/>
        <w:rPr>
          <w:sz w:val="20"/>
          <w:szCs w:val="20"/>
          <w:color w:val="auto"/>
        </w:rPr>
      </w:pPr>
      <w:r>
        <w:rPr>
          <w:rFonts w:ascii="Arial" w:cs="Arial" w:eastAsia="Arial" w:hAnsi="Arial"/>
          <w:sz w:val="16"/>
          <w:szCs w:val="16"/>
          <w:color w:val="auto"/>
        </w:rPr>
        <w:t>Total investments increased 5.3% and 9.8% as of March 31, 2020 compared to March 31, 2019 and December 31, 2019, respectively. Expansion was driven by growth in the fair value through other comprehensive income portfolio (formerly characterized as investments available for sale) at BCP Stand-alone, which was driven by purchases of low risk assets in the context of attractive prices due to the adverse market conditions arising in connection with the COVID-19 pandemic, which caused a significant decline in prices of financial assets across the globe that generated investment opportunities.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Other IEA</w:t>
      </w:r>
    </w:p>
    <w:p>
      <w:pPr>
        <w:spacing w:after="0" w:line="209" w:lineRule="exact"/>
        <w:rPr>
          <w:sz w:val="20"/>
          <w:szCs w:val="20"/>
          <w:color w:val="auto"/>
        </w:rPr>
      </w:pPr>
    </w:p>
    <w:p>
      <w:pPr>
        <w:ind w:right="20" w:firstLine="295"/>
        <w:spacing w:after="0" w:line="266" w:lineRule="auto"/>
        <w:rPr>
          <w:sz w:val="20"/>
          <w:szCs w:val="20"/>
          <w:color w:val="auto"/>
        </w:rPr>
      </w:pPr>
      <w:r>
        <w:rPr>
          <w:rFonts w:ascii="Arial" w:cs="Arial" w:eastAsia="Arial" w:hAnsi="Arial"/>
          <w:sz w:val="16"/>
          <w:szCs w:val="16"/>
          <w:color w:val="auto"/>
        </w:rPr>
        <w:t>As of March 31, 2020, available funds decreased 2.6% compared to December 31, 2019, after a reduction was registered in FC funds, which were transferred to other profitable assets when the BCRP freed up reserves to inject liquidity into the financial system in an effort to mitigate the economic impact arising from government measures taken to stem the spread of disease in connection with the COVID-19 pandemic. Comparing March 31, 2020 to 2019, available funds increased 29.3%, driven by an increase in FC funds held in BCRP and, to a lesser extent, by an increase in FC balances held in foreign banks.</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Credicorp Loans</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Loan evolution by business segment</w:t>
      </w:r>
    </w:p>
    <w:p>
      <w:pPr>
        <w:spacing w:after="0" w:line="209" w:lineRule="exact"/>
        <w:rPr>
          <w:sz w:val="20"/>
          <w:szCs w:val="20"/>
          <w:color w:val="auto"/>
        </w:rPr>
      </w:pPr>
    </w:p>
    <w:p>
      <w:pPr>
        <w:ind w:right="60" w:firstLine="295"/>
        <w:spacing w:after="0" w:line="289" w:lineRule="auto"/>
        <w:rPr>
          <w:sz w:val="20"/>
          <w:szCs w:val="20"/>
          <w:color w:val="auto"/>
        </w:rPr>
      </w:pPr>
      <w:r>
        <w:rPr>
          <w:rFonts w:ascii="Arial" w:cs="Arial" w:eastAsia="Arial" w:hAnsi="Arial"/>
          <w:sz w:val="15"/>
          <w:szCs w:val="15"/>
          <w:color w:val="auto"/>
        </w:rPr>
        <w:t>The table below shows the breakdown of loans by subsidiary and business segment measured in average daily balances. These balances provide the most complete picture of how interest on loans, which constitutes Credicorp’s primary source of income, has evolved. Additionally, average daily balances reflect trends or variations to a different degree than quarter-end balances which may include pre-payments or loans made at the end of the quarter. In comparative terms, these payments, affect average daily balances less than quarter-end balances and as such, the former provide a more balanced picture of the growth of our loan portfolio.</w:t>
      </w:r>
    </w:p>
    <w:p>
      <w:pPr>
        <w:spacing w:after="0" w:line="152" w:lineRule="exact"/>
        <w:rPr>
          <w:sz w:val="20"/>
          <w:szCs w:val="20"/>
          <w:color w:val="auto"/>
        </w:rPr>
      </w:pPr>
    </w:p>
    <w:p>
      <w:pPr>
        <w:ind w:firstLine="295"/>
        <w:spacing w:after="0" w:line="289" w:lineRule="auto"/>
        <w:rPr>
          <w:sz w:val="20"/>
          <w:szCs w:val="20"/>
          <w:color w:val="auto"/>
        </w:rPr>
      </w:pPr>
      <w:r>
        <w:rPr>
          <w:rFonts w:ascii="Arial" w:cs="Arial" w:eastAsia="Arial" w:hAnsi="Arial"/>
          <w:sz w:val="15"/>
          <w:szCs w:val="15"/>
          <w:color w:val="auto"/>
        </w:rPr>
        <w:t>As of March 31, 2020, average daily balances increased 1.0% compared to December 31, 2019 due to an increase in the balances of consumer, mortgage and corporate banking loans within BCP, and growth in Mibanco. This growth was partially offset by a decrease in SME-Business and middle market banking loans within BCP. Comparing March 31, 2020 to 2019, growth in average daily loan balances was 7.8%, driven by growth in the mortgage, consumer and SME-Pyme segments in retail banking and the corporate banking segment in wholesale banking. The growth in loan balances was concentrated mainly in local currency.</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6"/>
          <w:szCs w:val="16"/>
          <w:b w:val="1"/>
          <w:bCs w:val="1"/>
          <w:color w:val="auto"/>
        </w:rPr>
        <w:t>Loan Evolution Measured in Average Daily Balances by Segment(1)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0"/>
              </w:rPr>
              <w:t>Total Loans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3"/>
          </w:tcPr>
          <w:p>
            <w:pPr>
              <w:jc w:val="right"/>
              <w:ind w:right="900"/>
              <w:spacing w:after="0"/>
              <w:rPr>
                <w:sz w:val="20"/>
                <w:szCs w:val="20"/>
                <w:color w:val="auto"/>
              </w:rPr>
            </w:pPr>
            <w:r>
              <w:rPr>
                <w:rFonts w:ascii="Arial" w:cs="Arial" w:eastAsia="Arial" w:hAnsi="Arial"/>
                <w:sz w:val="13"/>
                <w:szCs w:val="13"/>
                <w:b w:val="1"/>
                <w:bCs w:val="1"/>
                <w:color w:val="auto"/>
              </w:rPr>
              <w:t>% Change</w:t>
            </w:r>
          </w:p>
        </w:tc>
        <w:tc>
          <w:tcPr>
            <w:tcW w:w="920" w:type="dxa"/>
            <w:vAlign w:val="bottom"/>
          </w:tcPr>
          <w:p>
            <w:pPr>
              <w:spacing w:after="0"/>
              <w:rPr>
                <w:sz w:val="13"/>
                <w:szCs w:val="13"/>
                <w:color w:val="auto"/>
              </w:rPr>
            </w:pPr>
          </w:p>
        </w:tc>
        <w:tc>
          <w:tcPr>
            <w:tcW w:w="1080" w:type="dxa"/>
            <w:vAlign w:val="bottom"/>
          </w:tcPr>
          <w:p>
            <w:pPr>
              <w:jc w:val="center"/>
              <w:ind w:right="35"/>
              <w:spacing w:after="0"/>
              <w:rPr>
                <w:sz w:val="20"/>
                <w:szCs w:val="20"/>
                <w:color w:val="auto"/>
              </w:rPr>
            </w:pPr>
            <w:r>
              <w:rPr>
                <w:rFonts w:ascii="Arial" w:cs="Arial" w:eastAsia="Arial" w:hAnsi="Arial"/>
                <w:sz w:val="13"/>
                <w:szCs w:val="13"/>
                <w:b w:val="1"/>
                <w:bCs w:val="1"/>
                <w:color w:val="auto"/>
                <w:w w:val="94"/>
              </w:rPr>
              <w:t>% of Total Loans</w:t>
            </w:r>
          </w:p>
        </w:tc>
        <w:tc>
          <w:tcPr>
            <w:tcW w:w="940" w:type="dxa"/>
            <w:vAlign w:val="bottom"/>
          </w:tcPr>
          <w:p>
            <w:pPr>
              <w:spacing w:after="0"/>
              <w:rPr>
                <w:sz w:val="13"/>
                <w:szCs w:val="13"/>
                <w:color w:val="auto"/>
              </w:rPr>
            </w:pPr>
          </w:p>
        </w:tc>
      </w:tr>
      <w:tr>
        <w:trPr>
          <w:trHeight w:val="107"/>
        </w:trPr>
        <w:tc>
          <w:tcPr>
            <w:tcW w:w="320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Borders>
              <w:top w:val="single" w:sz="8" w:color="auto"/>
            </w:tcBorders>
          </w:tcPr>
          <w:p>
            <w:pPr>
              <w:jc w:val="right"/>
              <w:ind w:right="416"/>
              <w:spacing w:after="0" w:line="107" w:lineRule="exact"/>
              <w:rPr>
                <w:sz w:val="20"/>
                <w:szCs w:val="20"/>
                <w:color w:val="auto"/>
              </w:rPr>
            </w:pPr>
            <w:r>
              <w:rPr>
                <w:rFonts w:ascii="Arial" w:cs="Arial" w:eastAsia="Arial" w:hAnsi="Arial"/>
                <w:sz w:val="12"/>
                <w:szCs w:val="12"/>
                <w:b w:val="1"/>
                <w:bCs w:val="1"/>
                <w:color w:val="auto"/>
              </w:rPr>
              <w:t>March</w:t>
            </w:r>
          </w:p>
        </w:tc>
        <w:tc>
          <w:tcPr>
            <w:tcW w:w="7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r>
      <w:tr>
        <w:trPr>
          <w:trHeight w:val="135"/>
        </w:trPr>
        <w:tc>
          <w:tcPr>
            <w:tcW w:w="3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As of</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right"/>
              <w:ind w:right="336"/>
              <w:spacing w:after="0" w:line="135" w:lineRule="exact"/>
              <w:rPr>
                <w:sz w:val="20"/>
                <w:szCs w:val="20"/>
                <w:color w:val="auto"/>
              </w:rPr>
            </w:pPr>
            <w:r>
              <w:rPr>
                <w:rFonts w:ascii="Arial" w:cs="Arial" w:eastAsia="Arial" w:hAnsi="Arial"/>
                <w:sz w:val="13"/>
                <w:szCs w:val="13"/>
                <w:b w:val="1"/>
                <w:bCs w:val="1"/>
                <w:color w:val="auto"/>
              </w:rPr>
              <w:t>31, 2020 /</w:t>
            </w:r>
          </w:p>
        </w:tc>
        <w:tc>
          <w:tcPr>
            <w:tcW w:w="10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March</w:t>
            </w:r>
          </w:p>
        </w:tc>
        <w:tc>
          <w:tcPr>
            <w:tcW w:w="920" w:type="dxa"/>
            <w:vAlign w:val="bottom"/>
          </w:tcPr>
          <w:p>
            <w:pPr>
              <w:spacing w:after="0"/>
              <w:rPr>
                <w:sz w:val="11"/>
                <w:szCs w:val="11"/>
                <w:color w:val="auto"/>
              </w:rPr>
            </w:pPr>
          </w:p>
        </w:tc>
        <w:tc>
          <w:tcPr>
            <w:tcW w:w="1080" w:type="dxa"/>
            <w:vAlign w:val="bottom"/>
          </w:tcPr>
          <w:p>
            <w:pPr>
              <w:jc w:val="center"/>
              <w:ind w:right="35"/>
              <w:spacing w:after="0" w:line="135" w:lineRule="exact"/>
              <w:rPr>
                <w:sz w:val="20"/>
                <w:szCs w:val="20"/>
                <w:color w:val="auto"/>
              </w:rPr>
            </w:pPr>
            <w:r>
              <w:rPr>
                <w:rFonts w:ascii="Arial" w:cs="Arial" w:eastAsia="Arial" w:hAnsi="Arial"/>
                <w:sz w:val="13"/>
                <w:szCs w:val="13"/>
                <w:b w:val="1"/>
                <w:bCs w:val="1"/>
                <w:color w:val="auto"/>
                <w:w w:val="92"/>
              </w:rPr>
              <w:t>As of</w:t>
            </w:r>
          </w:p>
        </w:tc>
        <w:tc>
          <w:tcPr>
            <w:tcW w:w="940" w:type="dxa"/>
            <w:vAlign w:val="bottom"/>
          </w:tcPr>
          <w:p>
            <w:pPr>
              <w:spacing w:after="0"/>
              <w:rPr>
                <w:sz w:val="11"/>
                <w:szCs w:val="11"/>
                <w:color w:val="auto"/>
              </w:rPr>
            </w:pPr>
          </w:p>
        </w:tc>
      </w:tr>
      <w:tr>
        <w:trPr>
          <w:trHeight w:val="135"/>
        </w:trPr>
        <w:tc>
          <w:tcPr>
            <w:tcW w:w="3200" w:type="dxa"/>
            <w:vAlign w:val="bottom"/>
          </w:tcPr>
          <w:p>
            <w:pPr>
              <w:spacing w:after="0"/>
              <w:rPr>
                <w:sz w:val="11"/>
                <w:szCs w:val="11"/>
                <w:color w:val="auto"/>
              </w:rPr>
            </w:pPr>
          </w:p>
        </w:tc>
        <w:tc>
          <w:tcPr>
            <w:tcW w:w="920" w:type="dxa"/>
            <w:vAlign w:val="bottom"/>
          </w:tcPr>
          <w:p>
            <w:pPr>
              <w:jc w:val="right"/>
              <w:ind w:right="115"/>
              <w:spacing w:after="0" w:line="135" w:lineRule="exact"/>
              <w:rPr>
                <w:sz w:val="20"/>
                <w:szCs w:val="20"/>
                <w:color w:val="auto"/>
              </w:rPr>
            </w:pPr>
            <w:r>
              <w:rPr>
                <w:rFonts w:ascii="Arial" w:cs="Arial" w:eastAsia="Arial" w:hAnsi="Arial"/>
                <w:sz w:val="13"/>
                <w:szCs w:val="13"/>
                <w:b w:val="1"/>
                <w:bCs w:val="1"/>
                <w:color w:val="auto"/>
                <w:w w:val="96"/>
              </w:rPr>
              <w:t>As of March</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December</w:t>
            </w:r>
          </w:p>
        </w:tc>
        <w:tc>
          <w:tcPr>
            <w:tcW w:w="9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As of March</w:t>
            </w:r>
          </w:p>
        </w:tc>
        <w:tc>
          <w:tcPr>
            <w:tcW w:w="140" w:type="dxa"/>
            <w:vAlign w:val="bottom"/>
          </w:tcPr>
          <w:p>
            <w:pPr>
              <w:spacing w:after="0"/>
              <w:rPr>
                <w:sz w:val="11"/>
                <w:szCs w:val="11"/>
                <w:color w:val="auto"/>
              </w:rPr>
            </w:pPr>
          </w:p>
        </w:tc>
        <w:tc>
          <w:tcPr>
            <w:tcW w:w="1060" w:type="dxa"/>
            <w:vAlign w:val="bottom"/>
          </w:tcPr>
          <w:p>
            <w:pPr>
              <w:jc w:val="right"/>
              <w:ind w:right="316"/>
              <w:spacing w:after="0" w:line="135" w:lineRule="exact"/>
              <w:rPr>
                <w:sz w:val="20"/>
                <w:szCs w:val="20"/>
                <w:color w:val="auto"/>
              </w:rPr>
            </w:pPr>
            <w:r>
              <w:rPr>
                <w:rFonts w:ascii="Arial" w:cs="Arial" w:eastAsia="Arial" w:hAnsi="Arial"/>
                <w:sz w:val="13"/>
                <w:szCs w:val="13"/>
                <w:b w:val="1"/>
                <w:bCs w:val="1"/>
                <w:color w:val="auto"/>
              </w:rPr>
              <w:t>December</w:t>
            </w:r>
          </w:p>
        </w:tc>
        <w:tc>
          <w:tcPr>
            <w:tcW w:w="76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31, 2020 /</w:t>
            </w:r>
          </w:p>
        </w:tc>
        <w:tc>
          <w:tcPr>
            <w:tcW w:w="300" w:type="dxa"/>
            <w:vAlign w:val="bottom"/>
          </w:tcPr>
          <w:p>
            <w:pPr>
              <w:spacing w:after="0"/>
              <w:rPr>
                <w:sz w:val="11"/>
                <w:szCs w:val="11"/>
                <w:color w:val="auto"/>
              </w:rPr>
            </w:pPr>
          </w:p>
        </w:tc>
        <w:tc>
          <w:tcPr>
            <w:tcW w:w="920" w:type="dxa"/>
            <w:vAlign w:val="bottom"/>
          </w:tcPr>
          <w:p>
            <w:pPr>
              <w:jc w:val="right"/>
              <w:ind w:right="115"/>
              <w:spacing w:after="0" w:line="135" w:lineRule="exact"/>
              <w:rPr>
                <w:sz w:val="20"/>
                <w:szCs w:val="20"/>
                <w:color w:val="auto"/>
              </w:rPr>
            </w:pPr>
            <w:r>
              <w:rPr>
                <w:rFonts w:ascii="Arial" w:cs="Arial" w:eastAsia="Arial" w:hAnsi="Arial"/>
                <w:sz w:val="13"/>
                <w:szCs w:val="13"/>
                <w:b w:val="1"/>
                <w:bCs w:val="1"/>
                <w:color w:val="auto"/>
                <w:w w:val="96"/>
              </w:rPr>
              <w:t>As of March</w:t>
            </w:r>
          </w:p>
        </w:tc>
        <w:tc>
          <w:tcPr>
            <w:tcW w:w="1080" w:type="dxa"/>
            <w:vAlign w:val="bottom"/>
          </w:tcPr>
          <w:p>
            <w:pPr>
              <w:jc w:val="center"/>
              <w:ind w:right="35"/>
              <w:spacing w:after="0" w:line="135" w:lineRule="exact"/>
              <w:rPr>
                <w:sz w:val="20"/>
                <w:szCs w:val="20"/>
                <w:color w:val="auto"/>
              </w:rPr>
            </w:pPr>
            <w:r>
              <w:rPr>
                <w:rFonts w:ascii="Arial" w:cs="Arial" w:eastAsia="Arial" w:hAnsi="Arial"/>
                <w:sz w:val="13"/>
                <w:szCs w:val="13"/>
                <w:b w:val="1"/>
                <w:bCs w:val="1"/>
                <w:color w:val="auto"/>
                <w:w w:val="92"/>
              </w:rPr>
              <w:t>December</w:t>
            </w:r>
          </w:p>
        </w:tc>
        <w:tc>
          <w:tcPr>
            <w:tcW w:w="940" w:type="dxa"/>
            <w:vAlign w:val="bottom"/>
          </w:tcPr>
          <w:p>
            <w:pPr>
              <w:jc w:val="right"/>
              <w:ind w:right="95"/>
              <w:spacing w:after="0" w:line="135" w:lineRule="exact"/>
              <w:rPr>
                <w:sz w:val="20"/>
                <w:szCs w:val="20"/>
                <w:color w:val="auto"/>
              </w:rPr>
            </w:pPr>
            <w:r>
              <w:rPr>
                <w:rFonts w:ascii="Arial" w:cs="Arial" w:eastAsia="Arial" w:hAnsi="Arial"/>
                <w:sz w:val="13"/>
                <w:szCs w:val="13"/>
                <w:b w:val="1"/>
                <w:bCs w:val="1"/>
                <w:color w:val="auto"/>
              </w:rPr>
              <w:t>As of March</w:t>
            </w:r>
          </w:p>
        </w:tc>
      </w:tr>
      <w:tr>
        <w:trPr>
          <w:trHeight w:val="155"/>
        </w:trPr>
        <w:tc>
          <w:tcPr>
            <w:tcW w:w="3200" w:type="dxa"/>
            <w:vAlign w:val="bottom"/>
          </w:tcPr>
          <w:p>
            <w:pPr>
              <w:spacing w:after="0"/>
              <w:rPr>
                <w:sz w:val="13"/>
                <w:szCs w:val="13"/>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31, 2019</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31, 2019</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31, 2020</w:t>
            </w: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376"/>
              <w:spacing w:after="0"/>
              <w:rPr>
                <w:sz w:val="20"/>
                <w:szCs w:val="20"/>
                <w:color w:val="auto"/>
              </w:rPr>
            </w:pPr>
            <w:r>
              <w:rPr>
                <w:rFonts w:ascii="Arial" w:cs="Arial" w:eastAsia="Arial" w:hAnsi="Arial"/>
                <w:sz w:val="13"/>
                <w:szCs w:val="13"/>
                <w:b w:val="1"/>
                <w:bCs w:val="1"/>
                <w:color w:val="auto"/>
              </w:rPr>
              <w:t>31, 2019</w:t>
            </w:r>
          </w:p>
        </w:tc>
        <w:tc>
          <w:tcPr>
            <w:tcW w:w="76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31, 2019</w:t>
            </w:r>
          </w:p>
        </w:tc>
        <w:tc>
          <w:tcPr>
            <w:tcW w:w="108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90"/>
              </w:rPr>
              <w:t>31, 2019</w:t>
            </w: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31, 2020</w:t>
            </w:r>
          </w:p>
        </w:tc>
      </w:tr>
      <w:tr>
        <w:trPr>
          <w:trHeight w:val="127"/>
        </w:trPr>
        <w:tc>
          <w:tcPr>
            <w:tcW w:w="3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gridSpan w:val="4"/>
          </w:tcPr>
          <w:p>
            <w:pPr>
              <w:jc w:val="right"/>
              <w:ind w:right="80"/>
              <w:spacing w:after="0" w:line="128" w:lineRule="exact"/>
              <w:rPr>
                <w:sz w:val="20"/>
                <w:szCs w:val="20"/>
                <w:color w:val="auto"/>
              </w:rPr>
            </w:pPr>
            <w:r>
              <w:rPr>
                <w:rFonts w:ascii="Arial" w:cs="Arial" w:eastAsia="Arial" w:hAnsi="Arial"/>
                <w:sz w:val="13"/>
                <w:szCs w:val="13"/>
                <w:b w:val="1"/>
                <w:bCs w:val="1"/>
                <w:color w:val="auto"/>
                <w:w w:val="90"/>
              </w:rPr>
              <w:t>(Soles in millions, except percentages)</w:t>
            </w: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BCP</w:t>
            </w:r>
          </w:p>
        </w:tc>
        <w:tc>
          <w:tcPr>
            <w:tcW w:w="920" w:type="dxa"/>
            <w:vAlign w:val="bottom"/>
            <w:shd w:val="clear" w:color="auto" w:fill="CCEEFF"/>
          </w:tcPr>
          <w:p>
            <w:pPr>
              <w:jc w:val="right"/>
              <w:ind w:right="75"/>
              <w:spacing w:after="0" w:line="135" w:lineRule="exact"/>
              <w:rPr>
                <w:sz w:val="20"/>
                <w:szCs w:val="20"/>
                <w:color w:val="auto"/>
              </w:rPr>
            </w:pPr>
            <w:r>
              <w:rPr>
                <w:rFonts w:ascii="Arial" w:cs="Arial" w:eastAsia="Arial" w:hAnsi="Arial"/>
                <w:sz w:val="13"/>
                <w:szCs w:val="13"/>
                <w:b w:val="1"/>
                <w:bCs w:val="1"/>
                <w:color w:val="auto"/>
              </w:rPr>
              <w:t>88,020</w:t>
            </w:r>
          </w:p>
        </w:tc>
        <w:tc>
          <w:tcPr>
            <w:tcW w:w="98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b w:val="1"/>
                <w:bCs w:val="1"/>
                <w:color w:val="auto"/>
              </w:rPr>
              <w:t>94,390</w:t>
            </w: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95,083</w:t>
            </w:r>
          </w:p>
        </w:tc>
        <w:tc>
          <w:tcPr>
            <w:tcW w:w="1200" w:type="dxa"/>
            <w:vAlign w:val="bottom"/>
            <w:gridSpan w:val="2"/>
            <w:shd w:val="clear" w:color="auto" w:fill="CCEEFF"/>
          </w:tcPr>
          <w:p>
            <w:pPr>
              <w:jc w:val="right"/>
              <w:ind w:right="76"/>
              <w:spacing w:after="0" w:line="135" w:lineRule="exact"/>
              <w:rPr>
                <w:sz w:val="20"/>
                <w:szCs w:val="20"/>
                <w:color w:val="auto"/>
              </w:rPr>
            </w:pPr>
            <w:r>
              <w:rPr>
                <w:rFonts w:ascii="Arial" w:cs="Arial" w:eastAsia="Arial" w:hAnsi="Arial"/>
                <w:sz w:val="13"/>
                <w:szCs w:val="13"/>
                <w:b w:val="1"/>
                <w:bCs w:val="1"/>
                <w:color w:val="auto"/>
              </w:rPr>
              <w:t>0.7%</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8.0%</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81.9%</w:t>
            </w:r>
          </w:p>
        </w:tc>
        <w:tc>
          <w:tcPr>
            <w:tcW w:w="1080" w:type="dxa"/>
            <w:vAlign w:val="bottom"/>
            <w:shd w:val="clear" w:color="auto" w:fill="CCEEFF"/>
          </w:tcPr>
          <w:p>
            <w:pPr>
              <w:jc w:val="right"/>
              <w:ind w:right="15"/>
              <w:spacing w:after="0" w:line="135" w:lineRule="exact"/>
              <w:rPr>
                <w:sz w:val="20"/>
                <w:szCs w:val="20"/>
                <w:color w:val="auto"/>
              </w:rPr>
            </w:pPr>
            <w:r>
              <w:rPr>
                <w:rFonts w:ascii="Arial" w:cs="Arial" w:eastAsia="Arial" w:hAnsi="Arial"/>
                <w:sz w:val="13"/>
                <w:szCs w:val="13"/>
                <w:b w:val="1"/>
                <w:bCs w:val="1"/>
                <w:color w:val="auto"/>
              </w:rPr>
              <w:t>82.3%</w:t>
            </w: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82.1%</w:t>
            </w:r>
          </w:p>
        </w:tc>
      </w:tr>
      <w:tr>
        <w:trPr>
          <w:trHeight w:val="135"/>
        </w:trPr>
        <w:tc>
          <w:tcPr>
            <w:tcW w:w="320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Wholesale Banking</w:t>
            </w:r>
          </w:p>
        </w:tc>
        <w:tc>
          <w:tcPr>
            <w:tcW w:w="920" w:type="dxa"/>
            <w:vAlign w:val="bottom"/>
          </w:tcPr>
          <w:p>
            <w:pPr>
              <w:jc w:val="right"/>
              <w:ind w:right="75"/>
              <w:spacing w:after="0" w:line="135" w:lineRule="exact"/>
              <w:rPr>
                <w:sz w:val="20"/>
                <w:szCs w:val="20"/>
                <w:color w:val="auto"/>
              </w:rPr>
            </w:pPr>
            <w:r>
              <w:rPr>
                <w:rFonts w:ascii="Arial" w:cs="Arial" w:eastAsia="Arial" w:hAnsi="Arial"/>
                <w:sz w:val="13"/>
                <w:szCs w:val="13"/>
                <w:b w:val="1"/>
                <w:bCs w:val="1"/>
                <w:color w:val="auto"/>
              </w:rPr>
              <w:t>45,299</w:t>
            </w:r>
          </w:p>
        </w:tc>
        <w:tc>
          <w:tcPr>
            <w:tcW w:w="98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47,446</w:t>
            </w: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auto"/>
              </w:rPr>
              <w:t>47,658</w:t>
            </w:r>
          </w:p>
        </w:tc>
        <w:tc>
          <w:tcPr>
            <w:tcW w:w="1200" w:type="dxa"/>
            <w:vAlign w:val="bottom"/>
            <w:gridSpan w:val="2"/>
          </w:tcPr>
          <w:p>
            <w:pPr>
              <w:jc w:val="right"/>
              <w:ind w:right="76"/>
              <w:spacing w:after="0" w:line="135" w:lineRule="exact"/>
              <w:rPr>
                <w:sz w:val="20"/>
                <w:szCs w:val="20"/>
                <w:color w:val="auto"/>
              </w:rPr>
            </w:pPr>
            <w:r>
              <w:rPr>
                <w:rFonts w:ascii="Arial" w:cs="Arial" w:eastAsia="Arial" w:hAnsi="Arial"/>
                <w:sz w:val="13"/>
                <w:szCs w:val="13"/>
                <w:b w:val="1"/>
                <w:bCs w:val="1"/>
                <w:color w:val="auto"/>
              </w:rPr>
              <w:t>0.4%</w:t>
            </w:r>
          </w:p>
        </w:tc>
        <w:tc>
          <w:tcPr>
            <w:tcW w:w="106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rPr>
              <w:t>5.2%</w:t>
            </w: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42.2%</w:t>
            </w:r>
          </w:p>
        </w:tc>
        <w:tc>
          <w:tcPr>
            <w:tcW w:w="108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rPr>
              <w:t>41.4%</w:t>
            </w:r>
          </w:p>
        </w:tc>
        <w:tc>
          <w:tcPr>
            <w:tcW w:w="9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41.2%</w:t>
            </w:r>
          </w:p>
        </w:tc>
      </w:tr>
      <w:tr>
        <w:trPr>
          <w:trHeight w:val="135"/>
        </w:trPr>
        <w:tc>
          <w:tcPr>
            <w:tcW w:w="3200" w:type="dxa"/>
            <w:vAlign w:val="bottom"/>
            <w:shd w:val="clear" w:color="auto" w:fill="CCEEFF"/>
          </w:tcPr>
          <w:p>
            <w:pPr>
              <w:ind w:left="300"/>
              <w:spacing w:after="0" w:line="135" w:lineRule="exact"/>
              <w:rPr>
                <w:sz w:val="20"/>
                <w:szCs w:val="20"/>
                <w:color w:val="auto"/>
              </w:rPr>
            </w:pPr>
            <w:r>
              <w:rPr>
                <w:rFonts w:ascii="Arial" w:cs="Arial" w:eastAsia="Arial" w:hAnsi="Arial"/>
                <w:sz w:val="13"/>
                <w:szCs w:val="13"/>
                <w:color w:val="auto"/>
              </w:rPr>
              <w:t>Corporate</w:t>
            </w:r>
          </w:p>
        </w:tc>
        <w:tc>
          <w:tcPr>
            <w:tcW w:w="920" w:type="dxa"/>
            <w:vAlign w:val="bottom"/>
            <w:shd w:val="clear" w:color="auto" w:fill="CCEEFF"/>
          </w:tcPr>
          <w:p>
            <w:pPr>
              <w:jc w:val="right"/>
              <w:ind w:right="75"/>
              <w:spacing w:after="0" w:line="135" w:lineRule="exact"/>
              <w:rPr>
                <w:sz w:val="20"/>
                <w:szCs w:val="20"/>
                <w:color w:val="auto"/>
              </w:rPr>
            </w:pPr>
            <w:r>
              <w:rPr>
                <w:rFonts w:ascii="Arial" w:cs="Arial" w:eastAsia="Arial" w:hAnsi="Arial"/>
                <w:sz w:val="13"/>
                <w:szCs w:val="13"/>
                <w:color w:val="auto"/>
              </w:rPr>
              <w:t>27,670</w:t>
            </w:r>
          </w:p>
        </w:tc>
        <w:tc>
          <w:tcPr>
            <w:tcW w:w="98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28,860</w:t>
            </w: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29,146</w:t>
            </w:r>
          </w:p>
        </w:tc>
        <w:tc>
          <w:tcPr>
            <w:tcW w:w="1200" w:type="dxa"/>
            <w:vAlign w:val="bottom"/>
            <w:gridSpan w:val="2"/>
            <w:shd w:val="clear" w:color="auto" w:fill="CCEEFF"/>
          </w:tcPr>
          <w:p>
            <w:pPr>
              <w:jc w:val="right"/>
              <w:ind w:right="96"/>
              <w:spacing w:after="0" w:line="135" w:lineRule="exact"/>
              <w:rPr>
                <w:sz w:val="20"/>
                <w:szCs w:val="20"/>
                <w:color w:val="auto"/>
              </w:rPr>
            </w:pPr>
            <w:r>
              <w:rPr>
                <w:rFonts w:ascii="Arial" w:cs="Arial" w:eastAsia="Arial" w:hAnsi="Arial"/>
                <w:sz w:val="13"/>
                <w:szCs w:val="13"/>
                <w:color w:val="auto"/>
              </w:rPr>
              <w:t>1.0%</w:t>
            </w:r>
          </w:p>
        </w:tc>
        <w:tc>
          <w:tcPr>
            <w:tcW w:w="10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5.3%</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25.7%</w:t>
            </w:r>
          </w:p>
        </w:tc>
        <w:tc>
          <w:tcPr>
            <w:tcW w:w="1080" w:type="dxa"/>
            <w:vAlign w:val="bottom"/>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25.2%</w:t>
            </w: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25.2%</w:t>
            </w:r>
          </w:p>
        </w:tc>
      </w:tr>
      <w:tr>
        <w:trPr>
          <w:trHeight w:val="135"/>
        </w:trPr>
        <w:tc>
          <w:tcPr>
            <w:tcW w:w="3200" w:type="dxa"/>
            <w:vAlign w:val="bottom"/>
          </w:tcPr>
          <w:p>
            <w:pPr>
              <w:ind w:left="300"/>
              <w:spacing w:after="0" w:line="135" w:lineRule="exact"/>
              <w:rPr>
                <w:sz w:val="20"/>
                <w:szCs w:val="20"/>
                <w:color w:val="auto"/>
              </w:rPr>
            </w:pPr>
            <w:r>
              <w:rPr>
                <w:rFonts w:ascii="Arial" w:cs="Arial" w:eastAsia="Arial" w:hAnsi="Arial"/>
                <w:sz w:val="13"/>
                <w:szCs w:val="13"/>
                <w:color w:val="auto"/>
              </w:rPr>
              <w:t>Middle – Market</w:t>
            </w:r>
          </w:p>
        </w:tc>
        <w:tc>
          <w:tcPr>
            <w:tcW w:w="920" w:type="dxa"/>
            <w:vAlign w:val="bottom"/>
          </w:tcPr>
          <w:p>
            <w:pPr>
              <w:jc w:val="right"/>
              <w:ind w:right="75"/>
              <w:spacing w:after="0" w:line="135" w:lineRule="exact"/>
              <w:rPr>
                <w:sz w:val="20"/>
                <w:szCs w:val="20"/>
                <w:color w:val="auto"/>
              </w:rPr>
            </w:pPr>
            <w:r>
              <w:rPr>
                <w:rFonts w:ascii="Arial" w:cs="Arial" w:eastAsia="Arial" w:hAnsi="Arial"/>
                <w:sz w:val="13"/>
                <w:szCs w:val="13"/>
                <w:color w:val="auto"/>
              </w:rPr>
              <w:t>17,629</w:t>
            </w:r>
          </w:p>
        </w:tc>
        <w:tc>
          <w:tcPr>
            <w:tcW w:w="980" w:type="dxa"/>
            <w:vAlign w:val="bottom"/>
          </w:tcPr>
          <w:p>
            <w:pPr>
              <w:jc w:val="right"/>
              <w:ind w:right="55"/>
              <w:spacing w:after="0" w:line="135" w:lineRule="exact"/>
              <w:rPr>
                <w:sz w:val="20"/>
                <w:szCs w:val="20"/>
                <w:color w:val="auto"/>
              </w:rPr>
            </w:pPr>
            <w:r>
              <w:rPr>
                <w:rFonts w:ascii="Arial" w:cs="Arial" w:eastAsia="Arial" w:hAnsi="Arial"/>
                <w:sz w:val="13"/>
                <w:szCs w:val="13"/>
                <w:color w:val="auto"/>
              </w:rPr>
              <w:t>18,586</w:t>
            </w: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18,511</w:t>
            </w:r>
          </w:p>
        </w:tc>
        <w:tc>
          <w:tcPr>
            <w:tcW w:w="1200" w:type="dxa"/>
            <w:vAlign w:val="bottom"/>
            <w:gridSpan w:val="2"/>
          </w:tcPr>
          <w:p>
            <w:pPr>
              <w:jc w:val="right"/>
              <w:ind w:right="56"/>
              <w:spacing w:after="0" w:line="135" w:lineRule="exact"/>
              <w:rPr>
                <w:sz w:val="20"/>
                <w:szCs w:val="20"/>
                <w:color w:val="auto"/>
              </w:rPr>
            </w:pPr>
            <w:r>
              <w:rPr>
                <w:rFonts w:ascii="Arial" w:cs="Arial" w:eastAsia="Arial" w:hAnsi="Arial"/>
                <w:sz w:val="13"/>
                <w:szCs w:val="13"/>
                <w:color w:val="auto"/>
              </w:rPr>
              <w:t>(0.4)%</w:t>
            </w:r>
          </w:p>
        </w:tc>
        <w:tc>
          <w:tcPr>
            <w:tcW w:w="10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5.0%</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16.4%</w:t>
            </w:r>
          </w:p>
        </w:tc>
        <w:tc>
          <w:tcPr>
            <w:tcW w:w="1080" w:type="dxa"/>
            <w:vAlign w:val="bottom"/>
          </w:tcPr>
          <w:p>
            <w:pPr>
              <w:jc w:val="right"/>
              <w:ind w:right="35"/>
              <w:spacing w:after="0" w:line="135" w:lineRule="exact"/>
              <w:rPr>
                <w:sz w:val="20"/>
                <w:szCs w:val="20"/>
                <w:color w:val="auto"/>
              </w:rPr>
            </w:pPr>
            <w:r>
              <w:rPr>
                <w:rFonts w:ascii="Arial" w:cs="Arial" w:eastAsia="Arial" w:hAnsi="Arial"/>
                <w:sz w:val="13"/>
                <w:szCs w:val="13"/>
                <w:color w:val="auto"/>
              </w:rPr>
              <w:t>16.2%</w:t>
            </w: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16.0%</w:t>
            </w:r>
          </w:p>
        </w:tc>
      </w:tr>
      <w:tr>
        <w:trPr>
          <w:trHeight w:val="135"/>
        </w:trPr>
        <w:tc>
          <w:tcPr>
            <w:tcW w:w="32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b w:val="1"/>
                <w:bCs w:val="1"/>
                <w:color w:val="auto"/>
              </w:rPr>
              <w:t>Retail Banking</w:t>
            </w:r>
          </w:p>
        </w:tc>
        <w:tc>
          <w:tcPr>
            <w:tcW w:w="920" w:type="dxa"/>
            <w:vAlign w:val="bottom"/>
            <w:shd w:val="clear" w:color="auto" w:fill="CCEEFF"/>
          </w:tcPr>
          <w:p>
            <w:pPr>
              <w:jc w:val="right"/>
              <w:ind w:right="75"/>
              <w:spacing w:after="0" w:line="135" w:lineRule="exact"/>
              <w:rPr>
                <w:sz w:val="20"/>
                <w:szCs w:val="20"/>
                <w:color w:val="auto"/>
              </w:rPr>
            </w:pPr>
            <w:r>
              <w:rPr>
                <w:rFonts w:ascii="Arial" w:cs="Arial" w:eastAsia="Arial" w:hAnsi="Arial"/>
                <w:sz w:val="13"/>
                <w:szCs w:val="13"/>
                <w:b w:val="1"/>
                <w:bCs w:val="1"/>
                <w:color w:val="auto"/>
              </w:rPr>
              <w:t>42,720</w:t>
            </w:r>
          </w:p>
        </w:tc>
        <w:tc>
          <w:tcPr>
            <w:tcW w:w="98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b w:val="1"/>
                <w:bCs w:val="1"/>
                <w:color w:val="auto"/>
              </w:rPr>
              <w:t>46,944</w:t>
            </w: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47,425</w:t>
            </w:r>
          </w:p>
        </w:tc>
        <w:tc>
          <w:tcPr>
            <w:tcW w:w="1200" w:type="dxa"/>
            <w:vAlign w:val="bottom"/>
            <w:gridSpan w:val="2"/>
            <w:shd w:val="clear" w:color="auto" w:fill="CCEEFF"/>
          </w:tcPr>
          <w:p>
            <w:pPr>
              <w:jc w:val="right"/>
              <w:ind w:right="76"/>
              <w:spacing w:after="0" w:line="135" w:lineRule="exact"/>
              <w:rPr>
                <w:sz w:val="20"/>
                <w:szCs w:val="20"/>
                <w:color w:val="auto"/>
              </w:rPr>
            </w:pPr>
            <w:r>
              <w:rPr>
                <w:rFonts w:ascii="Arial" w:cs="Arial" w:eastAsia="Arial" w:hAnsi="Arial"/>
                <w:sz w:val="13"/>
                <w:szCs w:val="13"/>
                <w:b w:val="1"/>
                <w:bCs w:val="1"/>
                <w:color w:val="auto"/>
              </w:rPr>
              <w:t>1.0%</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11.0%</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39.8%</w:t>
            </w:r>
          </w:p>
        </w:tc>
        <w:tc>
          <w:tcPr>
            <w:tcW w:w="1080" w:type="dxa"/>
            <w:vAlign w:val="bottom"/>
            <w:shd w:val="clear" w:color="auto" w:fill="CCEEFF"/>
          </w:tcPr>
          <w:p>
            <w:pPr>
              <w:jc w:val="right"/>
              <w:ind w:right="15"/>
              <w:spacing w:after="0" w:line="135" w:lineRule="exact"/>
              <w:rPr>
                <w:sz w:val="20"/>
                <w:szCs w:val="20"/>
                <w:color w:val="auto"/>
              </w:rPr>
            </w:pPr>
            <w:r>
              <w:rPr>
                <w:rFonts w:ascii="Arial" w:cs="Arial" w:eastAsia="Arial" w:hAnsi="Arial"/>
                <w:sz w:val="13"/>
                <w:szCs w:val="13"/>
                <w:b w:val="1"/>
                <w:bCs w:val="1"/>
                <w:color w:val="auto"/>
              </w:rPr>
              <w:t>41.0%</w:t>
            </w: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40.9%</w:t>
            </w:r>
          </w:p>
        </w:tc>
      </w:tr>
      <w:tr>
        <w:trPr>
          <w:trHeight w:val="135"/>
        </w:trPr>
        <w:tc>
          <w:tcPr>
            <w:tcW w:w="3200" w:type="dxa"/>
            <w:vAlign w:val="bottom"/>
          </w:tcPr>
          <w:p>
            <w:pPr>
              <w:ind w:left="300"/>
              <w:spacing w:after="0" w:line="135" w:lineRule="exact"/>
              <w:rPr>
                <w:sz w:val="20"/>
                <w:szCs w:val="20"/>
                <w:color w:val="auto"/>
              </w:rPr>
            </w:pPr>
            <w:r>
              <w:rPr>
                <w:rFonts w:ascii="Arial" w:cs="Arial" w:eastAsia="Arial" w:hAnsi="Arial"/>
                <w:sz w:val="13"/>
                <w:szCs w:val="13"/>
                <w:color w:val="auto"/>
              </w:rPr>
              <w:t>SME – Business</w:t>
            </w:r>
          </w:p>
        </w:tc>
        <w:tc>
          <w:tcPr>
            <w:tcW w:w="920" w:type="dxa"/>
            <w:vAlign w:val="bottom"/>
          </w:tcPr>
          <w:p>
            <w:pPr>
              <w:jc w:val="right"/>
              <w:ind w:right="75"/>
              <w:spacing w:after="0" w:line="135" w:lineRule="exact"/>
              <w:rPr>
                <w:sz w:val="20"/>
                <w:szCs w:val="20"/>
                <w:color w:val="auto"/>
              </w:rPr>
            </w:pPr>
            <w:r>
              <w:rPr>
                <w:rFonts w:ascii="Arial" w:cs="Arial" w:eastAsia="Arial" w:hAnsi="Arial"/>
                <w:sz w:val="13"/>
                <w:szCs w:val="13"/>
                <w:color w:val="auto"/>
              </w:rPr>
              <w:t>5,258</w:t>
            </w:r>
          </w:p>
        </w:tc>
        <w:tc>
          <w:tcPr>
            <w:tcW w:w="980" w:type="dxa"/>
            <w:vAlign w:val="bottom"/>
          </w:tcPr>
          <w:p>
            <w:pPr>
              <w:jc w:val="right"/>
              <w:ind w:right="55"/>
              <w:spacing w:after="0" w:line="135" w:lineRule="exact"/>
              <w:rPr>
                <w:sz w:val="20"/>
                <w:szCs w:val="20"/>
                <w:color w:val="auto"/>
              </w:rPr>
            </w:pPr>
            <w:r>
              <w:rPr>
                <w:rFonts w:ascii="Arial" w:cs="Arial" w:eastAsia="Arial" w:hAnsi="Arial"/>
                <w:sz w:val="13"/>
                <w:szCs w:val="13"/>
                <w:color w:val="auto"/>
              </w:rPr>
              <w:t>5,806</w:t>
            </w: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5,456</w:t>
            </w:r>
          </w:p>
        </w:tc>
        <w:tc>
          <w:tcPr>
            <w:tcW w:w="1200" w:type="dxa"/>
            <w:vAlign w:val="bottom"/>
            <w:gridSpan w:val="2"/>
          </w:tcPr>
          <w:p>
            <w:pPr>
              <w:jc w:val="right"/>
              <w:ind w:right="56"/>
              <w:spacing w:after="0" w:line="135" w:lineRule="exact"/>
              <w:rPr>
                <w:sz w:val="20"/>
                <w:szCs w:val="20"/>
                <w:color w:val="auto"/>
              </w:rPr>
            </w:pPr>
            <w:r>
              <w:rPr>
                <w:rFonts w:ascii="Arial" w:cs="Arial" w:eastAsia="Arial" w:hAnsi="Arial"/>
                <w:sz w:val="13"/>
                <w:szCs w:val="13"/>
                <w:color w:val="auto"/>
              </w:rPr>
              <w:t>(6.0)%</w:t>
            </w:r>
          </w:p>
        </w:tc>
        <w:tc>
          <w:tcPr>
            <w:tcW w:w="10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3.8%</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4.9%</w:t>
            </w:r>
          </w:p>
        </w:tc>
        <w:tc>
          <w:tcPr>
            <w:tcW w:w="1080" w:type="dxa"/>
            <w:vAlign w:val="bottom"/>
          </w:tcPr>
          <w:p>
            <w:pPr>
              <w:jc w:val="right"/>
              <w:ind w:right="35"/>
              <w:spacing w:after="0" w:line="135" w:lineRule="exact"/>
              <w:rPr>
                <w:sz w:val="20"/>
                <w:szCs w:val="20"/>
                <w:color w:val="auto"/>
              </w:rPr>
            </w:pPr>
            <w:r>
              <w:rPr>
                <w:rFonts w:ascii="Arial" w:cs="Arial" w:eastAsia="Arial" w:hAnsi="Arial"/>
                <w:sz w:val="13"/>
                <w:szCs w:val="13"/>
                <w:color w:val="auto"/>
              </w:rPr>
              <w:t>5.1%</w:t>
            </w: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4.7%</w:t>
            </w:r>
          </w:p>
        </w:tc>
      </w:tr>
      <w:tr>
        <w:trPr>
          <w:trHeight w:val="135"/>
        </w:trPr>
        <w:tc>
          <w:tcPr>
            <w:tcW w:w="3200" w:type="dxa"/>
            <w:vAlign w:val="bottom"/>
            <w:shd w:val="clear" w:color="auto" w:fill="CCEEFF"/>
          </w:tcPr>
          <w:p>
            <w:pPr>
              <w:ind w:left="300"/>
              <w:spacing w:after="0" w:line="135" w:lineRule="exact"/>
              <w:rPr>
                <w:sz w:val="20"/>
                <w:szCs w:val="20"/>
                <w:color w:val="auto"/>
              </w:rPr>
            </w:pPr>
            <w:r>
              <w:rPr>
                <w:rFonts w:ascii="Arial" w:cs="Arial" w:eastAsia="Arial" w:hAnsi="Arial"/>
                <w:sz w:val="13"/>
                <w:szCs w:val="13"/>
                <w:color w:val="auto"/>
              </w:rPr>
              <w:t>SME – Pyme</w:t>
            </w:r>
          </w:p>
        </w:tc>
        <w:tc>
          <w:tcPr>
            <w:tcW w:w="920" w:type="dxa"/>
            <w:vAlign w:val="bottom"/>
            <w:shd w:val="clear" w:color="auto" w:fill="CCEEFF"/>
          </w:tcPr>
          <w:p>
            <w:pPr>
              <w:jc w:val="right"/>
              <w:ind w:right="75"/>
              <w:spacing w:after="0" w:line="135" w:lineRule="exact"/>
              <w:rPr>
                <w:sz w:val="20"/>
                <w:szCs w:val="20"/>
                <w:color w:val="auto"/>
              </w:rPr>
            </w:pPr>
            <w:r>
              <w:rPr>
                <w:rFonts w:ascii="Arial" w:cs="Arial" w:eastAsia="Arial" w:hAnsi="Arial"/>
                <w:sz w:val="13"/>
                <w:szCs w:val="13"/>
                <w:color w:val="auto"/>
              </w:rPr>
              <w:t>9,413</w:t>
            </w:r>
          </w:p>
        </w:tc>
        <w:tc>
          <w:tcPr>
            <w:tcW w:w="98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10,194</w:t>
            </w: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10,330</w:t>
            </w:r>
          </w:p>
        </w:tc>
        <w:tc>
          <w:tcPr>
            <w:tcW w:w="1200" w:type="dxa"/>
            <w:vAlign w:val="bottom"/>
            <w:gridSpan w:val="2"/>
            <w:shd w:val="clear" w:color="auto" w:fill="CCEEFF"/>
          </w:tcPr>
          <w:p>
            <w:pPr>
              <w:jc w:val="right"/>
              <w:ind w:right="96"/>
              <w:spacing w:after="0" w:line="135" w:lineRule="exact"/>
              <w:rPr>
                <w:sz w:val="20"/>
                <w:szCs w:val="20"/>
                <w:color w:val="auto"/>
              </w:rPr>
            </w:pPr>
            <w:r>
              <w:rPr>
                <w:rFonts w:ascii="Arial" w:cs="Arial" w:eastAsia="Arial" w:hAnsi="Arial"/>
                <w:sz w:val="13"/>
                <w:szCs w:val="13"/>
                <w:color w:val="auto"/>
              </w:rPr>
              <w:t>1.3%</w:t>
            </w:r>
          </w:p>
        </w:tc>
        <w:tc>
          <w:tcPr>
            <w:tcW w:w="10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9.7%</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w:t>
            </w:r>
          </w:p>
        </w:tc>
        <w:tc>
          <w:tcPr>
            <w:tcW w:w="1080" w:type="dxa"/>
            <w:vAlign w:val="bottom"/>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8.9%</w:t>
            </w: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w:t>
            </w:r>
          </w:p>
        </w:tc>
      </w:tr>
      <w:tr>
        <w:trPr>
          <w:trHeight w:val="135"/>
        </w:trPr>
        <w:tc>
          <w:tcPr>
            <w:tcW w:w="3200" w:type="dxa"/>
            <w:vAlign w:val="bottom"/>
          </w:tcPr>
          <w:p>
            <w:pPr>
              <w:ind w:left="300"/>
              <w:spacing w:after="0" w:line="135" w:lineRule="exact"/>
              <w:rPr>
                <w:sz w:val="20"/>
                <w:szCs w:val="20"/>
                <w:color w:val="auto"/>
              </w:rPr>
            </w:pPr>
            <w:r>
              <w:rPr>
                <w:rFonts w:ascii="Arial" w:cs="Arial" w:eastAsia="Arial" w:hAnsi="Arial"/>
                <w:sz w:val="13"/>
                <w:szCs w:val="13"/>
                <w:color w:val="auto"/>
              </w:rPr>
              <w:t>Mortgage</w:t>
            </w:r>
          </w:p>
        </w:tc>
        <w:tc>
          <w:tcPr>
            <w:tcW w:w="920" w:type="dxa"/>
            <w:vAlign w:val="bottom"/>
          </w:tcPr>
          <w:p>
            <w:pPr>
              <w:jc w:val="right"/>
              <w:ind w:right="75"/>
              <w:spacing w:after="0" w:line="135" w:lineRule="exact"/>
              <w:rPr>
                <w:sz w:val="20"/>
                <w:szCs w:val="20"/>
                <w:color w:val="auto"/>
              </w:rPr>
            </w:pPr>
            <w:r>
              <w:rPr>
                <w:rFonts w:ascii="Arial" w:cs="Arial" w:eastAsia="Arial" w:hAnsi="Arial"/>
                <w:sz w:val="13"/>
                <w:szCs w:val="13"/>
                <w:color w:val="auto"/>
              </w:rPr>
              <w:t>15,100</w:t>
            </w:r>
          </w:p>
        </w:tc>
        <w:tc>
          <w:tcPr>
            <w:tcW w:w="980" w:type="dxa"/>
            <w:vAlign w:val="bottom"/>
          </w:tcPr>
          <w:p>
            <w:pPr>
              <w:jc w:val="right"/>
              <w:ind w:right="55"/>
              <w:spacing w:after="0" w:line="135" w:lineRule="exact"/>
              <w:rPr>
                <w:sz w:val="20"/>
                <w:szCs w:val="20"/>
                <w:color w:val="auto"/>
              </w:rPr>
            </w:pPr>
            <w:r>
              <w:rPr>
                <w:rFonts w:ascii="Arial" w:cs="Arial" w:eastAsia="Arial" w:hAnsi="Arial"/>
                <w:sz w:val="13"/>
                <w:szCs w:val="13"/>
                <w:color w:val="auto"/>
              </w:rPr>
              <w:t>16,590</w:t>
            </w: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16,905</w:t>
            </w:r>
          </w:p>
        </w:tc>
        <w:tc>
          <w:tcPr>
            <w:tcW w:w="1200" w:type="dxa"/>
            <w:vAlign w:val="bottom"/>
            <w:gridSpan w:val="2"/>
          </w:tcPr>
          <w:p>
            <w:pPr>
              <w:jc w:val="right"/>
              <w:ind w:right="96"/>
              <w:spacing w:after="0" w:line="135" w:lineRule="exact"/>
              <w:rPr>
                <w:sz w:val="20"/>
                <w:szCs w:val="20"/>
                <w:color w:val="auto"/>
              </w:rPr>
            </w:pPr>
            <w:r>
              <w:rPr>
                <w:rFonts w:ascii="Arial" w:cs="Arial" w:eastAsia="Arial" w:hAnsi="Arial"/>
                <w:sz w:val="13"/>
                <w:szCs w:val="13"/>
                <w:color w:val="auto"/>
              </w:rPr>
              <w:t>1.9%</w:t>
            </w:r>
          </w:p>
        </w:tc>
        <w:tc>
          <w:tcPr>
            <w:tcW w:w="10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12.0%</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14.1%</w:t>
            </w:r>
          </w:p>
        </w:tc>
        <w:tc>
          <w:tcPr>
            <w:tcW w:w="1080" w:type="dxa"/>
            <w:vAlign w:val="bottom"/>
          </w:tcPr>
          <w:p>
            <w:pPr>
              <w:jc w:val="right"/>
              <w:ind w:right="35"/>
              <w:spacing w:after="0" w:line="135" w:lineRule="exact"/>
              <w:rPr>
                <w:sz w:val="20"/>
                <w:szCs w:val="20"/>
                <w:color w:val="auto"/>
              </w:rPr>
            </w:pPr>
            <w:r>
              <w:rPr>
                <w:rFonts w:ascii="Arial" w:cs="Arial" w:eastAsia="Arial" w:hAnsi="Arial"/>
                <w:sz w:val="13"/>
                <w:szCs w:val="13"/>
                <w:color w:val="auto"/>
              </w:rPr>
              <w:t>14.5%</w:t>
            </w: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14.6%</w:t>
            </w:r>
          </w:p>
        </w:tc>
      </w:tr>
      <w:tr>
        <w:trPr>
          <w:trHeight w:val="135"/>
        </w:trPr>
        <w:tc>
          <w:tcPr>
            <w:tcW w:w="3200" w:type="dxa"/>
            <w:vAlign w:val="bottom"/>
            <w:shd w:val="clear" w:color="auto" w:fill="CCEEFF"/>
          </w:tcPr>
          <w:p>
            <w:pPr>
              <w:ind w:left="300"/>
              <w:spacing w:after="0" w:line="135" w:lineRule="exact"/>
              <w:rPr>
                <w:sz w:val="20"/>
                <w:szCs w:val="20"/>
                <w:color w:val="auto"/>
              </w:rPr>
            </w:pPr>
            <w:r>
              <w:rPr>
                <w:rFonts w:ascii="Arial" w:cs="Arial" w:eastAsia="Arial" w:hAnsi="Arial"/>
                <w:sz w:val="13"/>
                <w:szCs w:val="13"/>
                <w:color w:val="auto"/>
              </w:rPr>
              <w:t>Consumer</w:t>
            </w:r>
          </w:p>
        </w:tc>
        <w:tc>
          <w:tcPr>
            <w:tcW w:w="920" w:type="dxa"/>
            <w:vAlign w:val="bottom"/>
            <w:shd w:val="clear" w:color="auto" w:fill="CCEEFF"/>
          </w:tcPr>
          <w:p>
            <w:pPr>
              <w:jc w:val="right"/>
              <w:ind w:right="75"/>
              <w:spacing w:after="0" w:line="135" w:lineRule="exact"/>
              <w:rPr>
                <w:sz w:val="20"/>
                <w:szCs w:val="20"/>
                <w:color w:val="auto"/>
              </w:rPr>
            </w:pPr>
            <w:r>
              <w:rPr>
                <w:rFonts w:ascii="Arial" w:cs="Arial" w:eastAsia="Arial" w:hAnsi="Arial"/>
                <w:sz w:val="13"/>
                <w:szCs w:val="13"/>
                <w:color w:val="auto"/>
              </w:rPr>
              <w:t>7,645</w:t>
            </w:r>
          </w:p>
        </w:tc>
        <w:tc>
          <w:tcPr>
            <w:tcW w:w="98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8,659</w:t>
            </w: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8,984</w:t>
            </w:r>
          </w:p>
        </w:tc>
        <w:tc>
          <w:tcPr>
            <w:tcW w:w="1200" w:type="dxa"/>
            <w:vAlign w:val="bottom"/>
            <w:gridSpan w:val="2"/>
            <w:shd w:val="clear" w:color="auto" w:fill="CCEEFF"/>
          </w:tcPr>
          <w:p>
            <w:pPr>
              <w:jc w:val="right"/>
              <w:ind w:right="96"/>
              <w:spacing w:after="0" w:line="135" w:lineRule="exact"/>
              <w:rPr>
                <w:sz w:val="20"/>
                <w:szCs w:val="20"/>
                <w:color w:val="auto"/>
              </w:rPr>
            </w:pPr>
            <w:r>
              <w:rPr>
                <w:rFonts w:ascii="Arial" w:cs="Arial" w:eastAsia="Arial" w:hAnsi="Arial"/>
                <w:sz w:val="13"/>
                <w:szCs w:val="13"/>
                <w:color w:val="auto"/>
              </w:rPr>
              <w:t>3.8%</w:t>
            </w:r>
          </w:p>
        </w:tc>
        <w:tc>
          <w:tcPr>
            <w:tcW w:w="10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17.5%</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w:t>
            </w:r>
          </w:p>
        </w:tc>
        <w:tc>
          <w:tcPr>
            <w:tcW w:w="1080" w:type="dxa"/>
            <w:vAlign w:val="bottom"/>
            <w:shd w:val="clear" w:color="auto" w:fill="CCEEFF"/>
          </w:tcPr>
          <w:p>
            <w:pPr>
              <w:jc w:val="right"/>
              <w:ind w:right="35"/>
              <w:spacing w:after="0" w:line="135" w:lineRule="exact"/>
              <w:rPr>
                <w:sz w:val="20"/>
                <w:szCs w:val="20"/>
                <w:color w:val="auto"/>
              </w:rPr>
            </w:pPr>
            <w:r>
              <w:rPr>
                <w:rFonts w:ascii="Arial" w:cs="Arial" w:eastAsia="Arial" w:hAnsi="Arial"/>
                <w:sz w:val="13"/>
                <w:szCs w:val="13"/>
                <w:color w:val="auto"/>
              </w:rPr>
              <w:t>7.6%</w:t>
            </w: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w:t>
            </w:r>
          </w:p>
        </w:tc>
      </w:tr>
      <w:tr>
        <w:trPr>
          <w:trHeight w:val="135"/>
        </w:trPr>
        <w:tc>
          <w:tcPr>
            <w:tcW w:w="3200" w:type="dxa"/>
            <w:vAlign w:val="bottom"/>
          </w:tcPr>
          <w:p>
            <w:pPr>
              <w:ind w:left="300"/>
              <w:spacing w:after="0" w:line="135" w:lineRule="exact"/>
              <w:rPr>
                <w:sz w:val="20"/>
                <w:szCs w:val="20"/>
                <w:color w:val="auto"/>
              </w:rPr>
            </w:pPr>
            <w:r>
              <w:rPr>
                <w:rFonts w:ascii="Arial" w:cs="Arial" w:eastAsia="Arial" w:hAnsi="Arial"/>
                <w:sz w:val="13"/>
                <w:szCs w:val="13"/>
                <w:color w:val="auto"/>
              </w:rPr>
              <w:t>Credit card</w:t>
            </w:r>
          </w:p>
        </w:tc>
        <w:tc>
          <w:tcPr>
            <w:tcW w:w="920" w:type="dxa"/>
            <w:vAlign w:val="bottom"/>
          </w:tcPr>
          <w:p>
            <w:pPr>
              <w:jc w:val="right"/>
              <w:ind w:right="75"/>
              <w:spacing w:after="0" w:line="135" w:lineRule="exact"/>
              <w:rPr>
                <w:sz w:val="20"/>
                <w:szCs w:val="20"/>
                <w:color w:val="auto"/>
              </w:rPr>
            </w:pPr>
            <w:r>
              <w:rPr>
                <w:rFonts w:ascii="Arial" w:cs="Arial" w:eastAsia="Arial" w:hAnsi="Arial"/>
                <w:sz w:val="13"/>
                <w:szCs w:val="13"/>
                <w:color w:val="auto"/>
              </w:rPr>
              <w:t>5,305</w:t>
            </w:r>
          </w:p>
        </w:tc>
        <w:tc>
          <w:tcPr>
            <w:tcW w:w="980" w:type="dxa"/>
            <w:vAlign w:val="bottom"/>
          </w:tcPr>
          <w:p>
            <w:pPr>
              <w:jc w:val="right"/>
              <w:ind w:right="55"/>
              <w:spacing w:after="0" w:line="135" w:lineRule="exact"/>
              <w:rPr>
                <w:sz w:val="20"/>
                <w:szCs w:val="20"/>
                <w:color w:val="auto"/>
              </w:rPr>
            </w:pPr>
            <w:r>
              <w:rPr>
                <w:rFonts w:ascii="Arial" w:cs="Arial" w:eastAsia="Arial" w:hAnsi="Arial"/>
                <w:sz w:val="13"/>
                <w:szCs w:val="13"/>
                <w:color w:val="auto"/>
              </w:rPr>
              <w:t>5,695</w:t>
            </w: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5,750</w:t>
            </w:r>
          </w:p>
        </w:tc>
        <w:tc>
          <w:tcPr>
            <w:tcW w:w="1200" w:type="dxa"/>
            <w:vAlign w:val="bottom"/>
            <w:gridSpan w:val="2"/>
          </w:tcPr>
          <w:p>
            <w:pPr>
              <w:jc w:val="right"/>
              <w:ind w:right="96"/>
              <w:spacing w:after="0" w:line="135" w:lineRule="exact"/>
              <w:rPr>
                <w:sz w:val="20"/>
                <w:szCs w:val="20"/>
                <w:color w:val="auto"/>
              </w:rPr>
            </w:pPr>
            <w:r>
              <w:rPr>
                <w:rFonts w:ascii="Arial" w:cs="Arial" w:eastAsia="Arial" w:hAnsi="Arial"/>
                <w:sz w:val="13"/>
                <w:szCs w:val="13"/>
                <w:color w:val="auto"/>
              </w:rPr>
              <w:t>1.0%</w:t>
            </w:r>
          </w:p>
        </w:tc>
        <w:tc>
          <w:tcPr>
            <w:tcW w:w="10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8.4%</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4.9%</w:t>
            </w:r>
          </w:p>
        </w:tc>
        <w:tc>
          <w:tcPr>
            <w:tcW w:w="1080" w:type="dxa"/>
            <w:vAlign w:val="bottom"/>
          </w:tcPr>
          <w:p>
            <w:pPr>
              <w:jc w:val="right"/>
              <w:ind w:right="35"/>
              <w:spacing w:after="0" w:line="135" w:lineRule="exact"/>
              <w:rPr>
                <w:sz w:val="20"/>
                <w:szCs w:val="20"/>
                <w:color w:val="auto"/>
              </w:rPr>
            </w:pPr>
            <w:r>
              <w:rPr>
                <w:rFonts w:ascii="Arial" w:cs="Arial" w:eastAsia="Arial" w:hAnsi="Arial"/>
                <w:sz w:val="13"/>
                <w:szCs w:val="13"/>
                <w:color w:val="auto"/>
              </w:rPr>
              <w:t>5.0%</w:t>
            </w: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5.0%</w:t>
            </w: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Mibanco</w:t>
            </w:r>
          </w:p>
        </w:tc>
        <w:tc>
          <w:tcPr>
            <w:tcW w:w="920" w:type="dxa"/>
            <w:vAlign w:val="bottom"/>
            <w:shd w:val="clear" w:color="auto" w:fill="CCEEFF"/>
          </w:tcPr>
          <w:p>
            <w:pPr>
              <w:jc w:val="right"/>
              <w:ind w:right="75"/>
              <w:spacing w:after="0" w:line="135" w:lineRule="exact"/>
              <w:rPr>
                <w:sz w:val="20"/>
                <w:szCs w:val="20"/>
                <w:color w:val="auto"/>
              </w:rPr>
            </w:pPr>
            <w:r>
              <w:rPr>
                <w:rFonts w:ascii="Arial" w:cs="Arial" w:eastAsia="Arial" w:hAnsi="Arial"/>
                <w:sz w:val="13"/>
                <w:szCs w:val="13"/>
                <w:b w:val="1"/>
                <w:bCs w:val="1"/>
                <w:color w:val="auto"/>
              </w:rPr>
              <w:t>9,910</w:t>
            </w:r>
          </w:p>
        </w:tc>
        <w:tc>
          <w:tcPr>
            <w:tcW w:w="98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b w:val="1"/>
                <w:bCs w:val="1"/>
                <w:color w:val="auto"/>
              </w:rPr>
              <w:t>10,310</w:t>
            </w: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10,629</w:t>
            </w:r>
          </w:p>
        </w:tc>
        <w:tc>
          <w:tcPr>
            <w:tcW w:w="1200" w:type="dxa"/>
            <w:vAlign w:val="bottom"/>
            <w:gridSpan w:val="2"/>
            <w:shd w:val="clear" w:color="auto" w:fill="CCEEFF"/>
          </w:tcPr>
          <w:p>
            <w:pPr>
              <w:jc w:val="right"/>
              <w:ind w:right="76"/>
              <w:spacing w:after="0" w:line="135" w:lineRule="exact"/>
              <w:rPr>
                <w:sz w:val="20"/>
                <w:szCs w:val="20"/>
                <w:color w:val="auto"/>
              </w:rPr>
            </w:pPr>
            <w:r>
              <w:rPr>
                <w:rFonts w:ascii="Arial" w:cs="Arial" w:eastAsia="Arial" w:hAnsi="Arial"/>
                <w:sz w:val="13"/>
                <w:szCs w:val="13"/>
                <w:b w:val="1"/>
                <w:bCs w:val="1"/>
                <w:color w:val="auto"/>
              </w:rPr>
              <w:t>3.1%</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7.3%</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9.2%</w:t>
            </w:r>
          </w:p>
        </w:tc>
        <w:tc>
          <w:tcPr>
            <w:tcW w:w="1080" w:type="dxa"/>
            <w:vAlign w:val="bottom"/>
            <w:shd w:val="clear" w:color="auto" w:fill="CCEEFF"/>
          </w:tcPr>
          <w:p>
            <w:pPr>
              <w:jc w:val="right"/>
              <w:ind w:right="15"/>
              <w:spacing w:after="0" w:line="135" w:lineRule="exact"/>
              <w:rPr>
                <w:sz w:val="20"/>
                <w:szCs w:val="20"/>
                <w:color w:val="auto"/>
              </w:rPr>
            </w:pPr>
            <w:r>
              <w:rPr>
                <w:rFonts w:ascii="Arial" w:cs="Arial" w:eastAsia="Arial" w:hAnsi="Arial"/>
                <w:sz w:val="13"/>
                <w:szCs w:val="13"/>
                <w:b w:val="1"/>
                <w:bCs w:val="1"/>
                <w:color w:val="auto"/>
              </w:rPr>
              <w:t>9.0%</w:t>
            </w: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9.2%</w:t>
            </w: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b w:val="1"/>
                <w:bCs w:val="1"/>
                <w:color w:val="auto"/>
              </w:rPr>
              <w:t>Bolivia</w:t>
            </w:r>
          </w:p>
        </w:tc>
        <w:tc>
          <w:tcPr>
            <w:tcW w:w="920" w:type="dxa"/>
            <w:vAlign w:val="bottom"/>
          </w:tcPr>
          <w:p>
            <w:pPr>
              <w:jc w:val="right"/>
              <w:ind w:right="75"/>
              <w:spacing w:after="0" w:line="135" w:lineRule="exact"/>
              <w:rPr>
                <w:sz w:val="20"/>
                <w:szCs w:val="20"/>
                <w:color w:val="auto"/>
              </w:rPr>
            </w:pPr>
            <w:r>
              <w:rPr>
                <w:rFonts w:ascii="Arial" w:cs="Arial" w:eastAsia="Arial" w:hAnsi="Arial"/>
                <w:sz w:val="13"/>
                <w:szCs w:val="13"/>
                <w:b w:val="1"/>
                <w:bCs w:val="1"/>
                <w:color w:val="auto"/>
              </w:rPr>
              <w:t>7,096</w:t>
            </w:r>
          </w:p>
        </w:tc>
        <w:tc>
          <w:tcPr>
            <w:tcW w:w="98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7,563</w:t>
            </w: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auto"/>
              </w:rPr>
              <w:t>7,686</w:t>
            </w:r>
          </w:p>
        </w:tc>
        <w:tc>
          <w:tcPr>
            <w:tcW w:w="1200" w:type="dxa"/>
            <w:vAlign w:val="bottom"/>
            <w:gridSpan w:val="2"/>
          </w:tcPr>
          <w:p>
            <w:pPr>
              <w:jc w:val="right"/>
              <w:ind w:right="76"/>
              <w:spacing w:after="0" w:line="135" w:lineRule="exact"/>
              <w:rPr>
                <w:sz w:val="20"/>
                <w:szCs w:val="20"/>
                <w:color w:val="auto"/>
              </w:rPr>
            </w:pPr>
            <w:r>
              <w:rPr>
                <w:rFonts w:ascii="Arial" w:cs="Arial" w:eastAsia="Arial" w:hAnsi="Arial"/>
                <w:sz w:val="13"/>
                <w:szCs w:val="13"/>
                <w:b w:val="1"/>
                <w:bCs w:val="1"/>
                <w:color w:val="auto"/>
              </w:rPr>
              <w:t>1.6%</w:t>
            </w:r>
          </w:p>
        </w:tc>
        <w:tc>
          <w:tcPr>
            <w:tcW w:w="106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rPr>
              <w:t>8.3%</w:t>
            </w: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6.6%</w:t>
            </w:r>
          </w:p>
        </w:tc>
        <w:tc>
          <w:tcPr>
            <w:tcW w:w="1080" w:type="dxa"/>
            <w:vAlign w:val="bottom"/>
          </w:tcPr>
          <w:p>
            <w:pPr>
              <w:jc w:val="right"/>
              <w:ind w:right="15"/>
              <w:spacing w:after="0" w:line="135" w:lineRule="exact"/>
              <w:rPr>
                <w:sz w:val="20"/>
                <w:szCs w:val="20"/>
                <w:color w:val="auto"/>
              </w:rPr>
            </w:pPr>
            <w:r>
              <w:rPr>
                <w:rFonts w:ascii="Arial" w:cs="Arial" w:eastAsia="Arial" w:hAnsi="Arial"/>
                <w:sz w:val="13"/>
                <w:szCs w:val="13"/>
                <w:b w:val="1"/>
                <w:bCs w:val="1"/>
                <w:color w:val="auto"/>
              </w:rPr>
              <w:t>6.6%</w:t>
            </w:r>
          </w:p>
        </w:tc>
        <w:tc>
          <w:tcPr>
            <w:tcW w:w="9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6.6%</w:t>
            </w: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Atlantic Security Bank</w:t>
            </w:r>
          </w:p>
        </w:tc>
        <w:tc>
          <w:tcPr>
            <w:tcW w:w="920" w:type="dxa"/>
            <w:vAlign w:val="bottom"/>
            <w:shd w:val="clear" w:color="auto" w:fill="CCEEFF"/>
          </w:tcPr>
          <w:p>
            <w:pPr>
              <w:jc w:val="right"/>
              <w:ind w:right="75"/>
              <w:spacing w:after="0" w:line="135" w:lineRule="exact"/>
              <w:rPr>
                <w:sz w:val="20"/>
                <w:szCs w:val="20"/>
                <w:color w:val="auto"/>
              </w:rPr>
            </w:pPr>
            <w:r>
              <w:rPr>
                <w:rFonts w:ascii="Arial" w:cs="Arial" w:eastAsia="Arial" w:hAnsi="Arial"/>
                <w:sz w:val="13"/>
                <w:szCs w:val="13"/>
                <w:b w:val="1"/>
                <w:bCs w:val="1"/>
                <w:color w:val="auto"/>
              </w:rPr>
              <w:t>2,442</w:t>
            </w:r>
          </w:p>
        </w:tc>
        <w:tc>
          <w:tcPr>
            <w:tcW w:w="98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b w:val="1"/>
                <w:bCs w:val="1"/>
                <w:color w:val="auto"/>
              </w:rPr>
              <w:t>2,368</w:t>
            </w: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2,415</w:t>
            </w:r>
          </w:p>
        </w:tc>
        <w:tc>
          <w:tcPr>
            <w:tcW w:w="1200" w:type="dxa"/>
            <w:vAlign w:val="bottom"/>
            <w:gridSpan w:val="2"/>
            <w:shd w:val="clear" w:color="auto" w:fill="CCEEFF"/>
          </w:tcPr>
          <w:p>
            <w:pPr>
              <w:jc w:val="right"/>
              <w:ind w:right="76"/>
              <w:spacing w:after="0" w:line="135" w:lineRule="exact"/>
              <w:rPr>
                <w:sz w:val="20"/>
                <w:szCs w:val="20"/>
                <w:color w:val="auto"/>
              </w:rPr>
            </w:pPr>
            <w:r>
              <w:rPr>
                <w:rFonts w:ascii="Arial" w:cs="Arial" w:eastAsia="Arial" w:hAnsi="Arial"/>
                <w:sz w:val="13"/>
                <w:szCs w:val="13"/>
                <w:b w:val="1"/>
                <w:bCs w:val="1"/>
                <w:color w:val="auto"/>
              </w:rPr>
              <w:t>2.0%</w:t>
            </w:r>
          </w:p>
        </w:tc>
        <w:tc>
          <w:tcPr>
            <w:tcW w:w="10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(1.1)%</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2.3%</w:t>
            </w:r>
          </w:p>
        </w:tc>
        <w:tc>
          <w:tcPr>
            <w:tcW w:w="1080" w:type="dxa"/>
            <w:vAlign w:val="bottom"/>
            <w:shd w:val="clear" w:color="auto" w:fill="CCEEFF"/>
          </w:tcPr>
          <w:p>
            <w:pPr>
              <w:jc w:val="right"/>
              <w:ind w:right="15"/>
              <w:spacing w:after="0" w:line="135" w:lineRule="exact"/>
              <w:rPr>
                <w:sz w:val="20"/>
                <w:szCs w:val="20"/>
                <w:color w:val="auto"/>
              </w:rPr>
            </w:pPr>
            <w:r>
              <w:rPr>
                <w:rFonts w:ascii="Arial" w:cs="Arial" w:eastAsia="Arial" w:hAnsi="Arial"/>
                <w:sz w:val="13"/>
                <w:szCs w:val="13"/>
                <w:b w:val="1"/>
                <w:bCs w:val="1"/>
                <w:color w:val="auto"/>
              </w:rPr>
              <w:t>2.1%</w:t>
            </w: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2.1%</w:t>
            </w:r>
          </w:p>
        </w:tc>
      </w:tr>
      <w:tr>
        <w:trPr>
          <w:trHeight w:val="169"/>
        </w:trPr>
        <w:tc>
          <w:tcPr>
            <w:tcW w:w="3200" w:type="dxa"/>
            <w:vAlign w:val="bottom"/>
          </w:tcPr>
          <w:p>
            <w:pPr>
              <w:spacing w:after="0"/>
              <w:rPr>
                <w:sz w:val="20"/>
                <w:szCs w:val="20"/>
                <w:color w:val="auto"/>
              </w:rPr>
            </w:pPr>
            <w:r>
              <w:rPr>
                <w:rFonts w:ascii="Arial" w:cs="Arial" w:eastAsia="Arial" w:hAnsi="Arial"/>
                <w:sz w:val="13"/>
                <w:szCs w:val="13"/>
                <w:b w:val="1"/>
                <w:bCs w:val="1"/>
                <w:color w:val="auto"/>
              </w:rPr>
              <w:t>BAP’s total loans</w:t>
            </w:r>
          </w:p>
        </w:tc>
        <w:tc>
          <w:tcPr>
            <w:tcW w:w="920" w:type="dxa"/>
            <w:vAlign w:val="bottom"/>
          </w:tcPr>
          <w:p>
            <w:pPr>
              <w:jc w:val="right"/>
              <w:ind w:right="75"/>
              <w:spacing w:after="0"/>
              <w:rPr>
                <w:sz w:val="20"/>
                <w:szCs w:val="20"/>
                <w:color w:val="auto"/>
              </w:rPr>
            </w:pPr>
            <w:r>
              <w:rPr>
                <w:rFonts w:ascii="Arial" w:cs="Arial" w:eastAsia="Arial" w:hAnsi="Arial"/>
                <w:sz w:val="13"/>
                <w:szCs w:val="13"/>
                <w:b w:val="1"/>
                <w:bCs w:val="1"/>
                <w:color w:val="auto"/>
              </w:rPr>
              <w:t>107,468</w:t>
            </w:r>
          </w:p>
        </w:tc>
        <w:tc>
          <w:tcPr>
            <w:tcW w:w="980" w:type="dxa"/>
            <w:vAlign w:val="bottom"/>
          </w:tcPr>
          <w:p>
            <w:pPr>
              <w:jc w:val="right"/>
              <w:ind w:right="55"/>
              <w:spacing w:after="0"/>
              <w:rPr>
                <w:sz w:val="20"/>
                <w:szCs w:val="20"/>
                <w:color w:val="auto"/>
              </w:rPr>
            </w:pPr>
            <w:r>
              <w:rPr>
                <w:rFonts w:ascii="Arial" w:cs="Arial" w:eastAsia="Arial" w:hAnsi="Arial"/>
                <w:sz w:val="13"/>
                <w:szCs w:val="13"/>
                <w:b w:val="1"/>
                <w:bCs w:val="1"/>
                <w:color w:val="auto"/>
              </w:rPr>
              <w:t>114,631</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115,813</w:t>
            </w:r>
          </w:p>
        </w:tc>
        <w:tc>
          <w:tcPr>
            <w:tcW w:w="120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1.0%</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7.8%</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100.0%</w:t>
            </w:r>
          </w:p>
        </w:tc>
        <w:tc>
          <w:tcPr>
            <w:tcW w:w="1080" w:type="dxa"/>
            <w:vAlign w:val="bottom"/>
          </w:tcPr>
          <w:p>
            <w:pPr>
              <w:jc w:val="right"/>
              <w:ind w:right="15"/>
              <w:spacing w:after="0"/>
              <w:rPr>
                <w:sz w:val="20"/>
                <w:szCs w:val="20"/>
                <w:color w:val="auto"/>
              </w:rPr>
            </w:pPr>
            <w:r>
              <w:rPr>
                <w:rFonts w:ascii="Arial" w:cs="Arial" w:eastAsia="Arial" w:hAnsi="Arial"/>
                <w:sz w:val="13"/>
                <w:szCs w:val="13"/>
                <w:b w:val="1"/>
                <w:bCs w:val="1"/>
                <w:color w:val="auto"/>
              </w:rPr>
              <w:t>100.0%</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134620</wp:posOffset>
            </wp:positionV>
            <wp:extent cx="178625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For consolidation purposes, loans generated in FC are converted to LC.</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(1)  Includes work out unit, and other banking.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Loan Growth in Average Daily Balances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Expressed in millions of 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Increase of 1.0% in the 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142875</wp:posOffset>
            </wp:positionV>
            <wp:extent cx="6630035" cy="24726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630035" cy="2472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60" w:firstLine="295"/>
        <w:spacing w:after="0" w:line="287" w:lineRule="auto"/>
        <w:rPr>
          <w:sz w:val="20"/>
          <w:szCs w:val="20"/>
          <w:color w:val="auto"/>
        </w:rPr>
      </w:pPr>
      <w:r>
        <w:rPr>
          <w:rFonts w:ascii="Arial" w:cs="Arial" w:eastAsia="Arial" w:hAnsi="Arial"/>
          <w:sz w:val="16"/>
          <w:szCs w:val="16"/>
          <w:color w:val="auto"/>
        </w:rPr>
        <w:t>During the three months ended March 31, 2020, growth in average daily balances by business segment reflected mixed results due to economic conditions arising as a result of the COVID-19 pandemic and by a seasonal effect that caused downward pressure on loan growth:</w:t>
      </w:r>
    </w:p>
    <w:p>
      <w:pPr>
        <w:spacing w:after="0" w:line="150" w:lineRule="exact"/>
        <w:rPr>
          <w:sz w:val="20"/>
          <w:szCs w:val="20"/>
          <w:color w:val="auto"/>
        </w:rPr>
      </w:pPr>
    </w:p>
    <w:p>
      <w:pPr>
        <w:ind w:left="580" w:right="60" w:hanging="287"/>
        <w:spacing w:after="0" w:line="266" w:lineRule="auto"/>
        <w:tabs>
          <w:tab w:leader="none" w:pos="5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 the retail banking portfolio, the consumer and mortgage segments recorded strong growth, followed by SME-Pyme and credit cards. This growth was offset by a decrease in average daily balances in the SME-Business due to the seasonal effect experienced in this part of the year due to less active lending to small and medium-sized businesses in the beginning of the year in comparison to the final months of each year in connection with increased business spending during the Christmas holiday seasons and year-end sales campaigns.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438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60" w:name="page161"/>
    <w:bookmarkEnd w:id="160"/>
    <w:p>
      <w:pPr>
        <w:ind w:left="287" w:hanging="287"/>
        <w:spacing w:after="0"/>
        <w:tabs>
          <w:tab w:leader="none" w:pos="28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Growth in the microfinance portfolio, and, to a lesser extent, expansion in loans at BCP Bolivia.</w:t>
      </w:r>
    </w:p>
    <w:p>
      <w:pPr>
        <w:spacing w:after="0" w:line="209" w:lineRule="exact"/>
        <w:rPr>
          <w:rFonts w:ascii="Arial" w:cs="Arial" w:eastAsia="Arial" w:hAnsi="Arial"/>
          <w:sz w:val="16"/>
          <w:szCs w:val="16"/>
          <w:color w:val="auto"/>
        </w:rPr>
      </w:pPr>
    </w:p>
    <w:p>
      <w:pPr>
        <w:jc w:val="both"/>
        <w:ind w:left="287" w:hanging="287"/>
        <w:spacing w:after="0" w:line="271" w:lineRule="auto"/>
        <w:tabs>
          <w:tab w:leader="none" w:pos="28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Within the wholesale banking portfolio, growth in corporate banking was attributable to an appreciation in the U.S. dollar given that FC loans account for 58% of total wholesale banking loans. The contraction in the middle market loan portfolio was even greater in real terms due to the translation effect given that 54% of all middle market loans are in FC.</w:t>
      </w:r>
    </w:p>
    <w:p>
      <w:pPr>
        <w:spacing w:after="0" w:line="159" w:lineRule="exact"/>
        <w:rPr>
          <w:sz w:val="20"/>
          <w:szCs w:val="20"/>
          <w:color w:val="auto"/>
        </w:rPr>
      </w:pPr>
    </w:p>
    <w:p>
      <w:pPr>
        <w:jc w:val="center"/>
        <w:ind w:right="253"/>
        <w:spacing w:after="0"/>
        <w:rPr>
          <w:sz w:val="20"/>
          <w:szCs w:val="20"/>
          <w:color w:val="auto"/>
        </w:rPr>
      </w:pPr>
      <w:r>
        <w:rPr>
          <w:rFonts w:ascii="Arial" w:cs="Arial" w:eastAsia="Arial" w:hAnsi="Arial"/>
          <w:sz w:val="16"/>
          <w:szCs w:val="16"/>
          <w:b w:val="1"/>
          <w:bCs w:val="1"/>
          <w:color w:val="auto"/>
        </w:rPr>
        <w:t>Loan Growth in Average Daily Balances</w:t>
      </w:r>
    </w:p>
    <w:p>
      <w:pPr>
        <w:spacing w:after="0" w:line="28" w:lineRule="exact"/>
        <w:rPr>
          <w:sz w:val="20"/>
          <w:szCs w:val="20"/>
          <w:color w:val="auto"/>
        </w:rPr>
      </w:pPr>
    </w:p>
    <w:p>
      <w:pPr>
        <w:jc w:val="center"/>
        <w:ind w:right="253"/>
        <w:spacing w:after="0"/>
        <w:rPr>
          <w:sz w:val="20"/>
          <w:szCs w:val="20"/>
          <w:color w:val="auto"/>
        </w:rPr>
      </w:pPr>
      <w:r>
        <w:rPr>
          <w:rFonts w:ascii="Arial" w:cs="Arial" w:eastAsia="Arial" w:hAnsi="Arial"/>
          <w:sz w:val="16"/>
          <w:szCs w:val="16"/>
          <w:color w:val="auto"/>
        </w:rPr>
        <w:t>Expressed in millions of S/</w:t>
      </w:r>
    </w:p>
    <w:p>
      <w:pPr>
        <w:spacing w:after="0" w:line="194" w:lineRule="exact"/>
        <w:rPr>
          <w:sz w:val="20"/>
          <w:szCs w:val="20"/>
          <w:color w:val="auto"/>
        </w:rPr>
      </w:pPr>
    </w:p>
    <w:p>
      <w:pPr>
        <w:jc w:val="center"/>
        <w:ind w:right="253"/>
        <w:spacing w:after="0"/>
        <w:rPr>
          <w:sz w:val="20"/>
          <w:szCs w:val="20"/>
          <w:color w:val="auto"/>
        </w:rPr>
      </w:pPr>
      <w:r>
        <w:rPr>
          <w:rFonts w:ascii="Arial" w:cs="Arial" w:eastAsia="Arial" w:hAnsi="Arial"/>
          <w:sz w:val="16"/>
          <w:szCs w:val="16"/>
          <w:b w:val="1"/>
          <w:bCs w:val="1"/>
          <w:color w:val="auto"/>
        </w:rPr>
        <w:t>Increase of 7.8% in the four quarters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18415</wp:posOffset>
            </wp:positionV>
            <wp:extent cx="6630035" cy="26130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630035" cy="261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analysis of our growth by segment in the four quarters ended March 31, 2020, measured in average daily balances, reveals:</w:t>
      </w:r>
    </w:p>
    <w:p>
      <w:pPr>
        <w:spacing w:after="0" w:line="209" w:lineRule="exact"/>
        <w:rPr>
          <w:sz w:val="20"/>
          <w:szCs w:val="20"/>
          <w:color w:val="auto"/>
        </w:rPr>
      </w:pPr>
    </w:p>
    <w:p>
      <w:pPr>
        <w:ind w:left="427" w:right="140" w:hanging="366"/>
        <w:spacing w:after="0" w:line="322" w:lineRule="auto"/>
        <w:tabs>
          <w:tab w:leader="none" w:pos="427" w:val="left"/>
        </w:tabs>
        <w:numPr>
          <w:ilvl w:val="0"/>
          <w:numId w:val="165"/>
        </w:numPr>
        <w:rPr>
          <w:rFonts w:ascii="Arial" w:cs="Arial" w:eastAsia="Arial" w:hAnsi="Arial"/>
          <w:sz w:val="15"/>
          <w:szCs w:val="15"/>
          <w:color w:val="auto"/>
        </w:rPr>
      </w:pPr>
      <w:r>
        <w:rPr>
          <w:rFonts w:ascii="Arial" w:cs="Arial" w:eastAsia="Arial" w:hAnsi="Arial"/>
          <w:sz w:val="15"/>
          <w:szCs w:val="15"/>
          <w:color w:val="auto"/>
        </w:rPr>
        <w:t>Growth in retail banking, led by expansion in the mortgage segment (an increase of S/1,806 million, or 12.0%), which continued the upward trend in line with recent quarters. Record growth for this segment was registered throughout 2019, fueled by favorable economic conditions and Mivivienda loans.</w:t>
      </w:r>
    </w:p>
    <w:p>
      <w:pPr>
        <w:spacing w:after="0" w:line="126" w:lineRule="exact"/>
        <w:rPr>
          <w:rFonts w:ascii="Arial" w:cs="Arial" w:eastAsia="Arial" w:hAnsi="Arial"/>
          <w:sz w:val="15"/>
          <w:szCs w:val="15"/>
          <w:color w:val="auto"/>
        </w:rPr>
      </w:pPr>
    </w:p>
    <w:p>
      <w:pPr>
        <w:ind w:left="427" w:right="340" w:hanging="366"/>
        <w:spacing w:after="0" w:line="281" w:lineRule="auto"/>
        <w:tabs>
          <w:tab w:leader="none" w:pos="427" w:val="left"/>
        </w:tabs>
        <w:numPr>
          <w:ilvl w:val="0"/>
          <w:numId w:val="165"/>
        </w:numPr>
        <w:rPr>
          <w:rFonts w:ascii="Arial" w:cs="Arial" w:eastAsia="Arial" w:hAnsi="Arial"/>
          <w:sz w:val="15"/>
          <w:szCs w:val="15"/>
          <w:color w:val="auto"/>
        </w:rPr>
      </w:pPr>
      <w:r>
        <w:rPr>
          <w:rFonts w:ascii="Arial" w:cs="Arial" w:eastAsia="Arial" w:hAnsi="Arial"/>
          <w:sz w:val="15"/>
          <w:szCs w:val="15"/>
          <w:color w:val="auto"/>
        </w:rPr>
        <w:t>Other significant variations, which were registered in the consumer segment (an increase of S/1,339 million, or 17.5%), SME-Pyme (an increase of S/917 million, or 9.7%) and credit cards (an increase of S/444 million, or 8.4%) within retail banking and in corporate banking (an increase of S/1,476 million, or</w:t>
      </w:r>
    </w:p>
    <w:p>
      <w:pPr>
        <w:ind w:left="427" w:right="20"/>
        <w:spacing w:after="0" w:line="264" w:lineRule="auto"/>
        <w:rPr>
          <w:rFonts w:ascii="Arial" w:cs="Arial" w:eastAsia="Arial" w:hAnsi="Arial"/>
          <w:sz w:val="15"/>
          <w:szCs w:val="15"/>
          <w:color w:val="auto"/>
        </w:rPr>
      </w:pPr>
      <w:r>
        <w:rPr>
          <w:rFonts w:ascii="Arial" w:cs="Arial" w:eastAsia="Arial" w:hAnsi="Arial"/>
          <w:sz w:val="16"/>
          <w:szCs w:val="16"/>
          <w:color w:val="auto"/>
        </w:rPr>
        <w:t>5.3%) and middle market banking (an increase of S/883 million, or 5.0%) within wholesale banking. Excluding the translation effect for foreign currency loans, Corporate Banking and Middle Market Banking would have grown 3.5% (S/971 million) and 3.3% (S/585 million), respectively, if we exclude the effect of year-over-year U.S. dollar appreciation of 3.6% in the four quarters ended March 31, 2020.</w:t>
      </w:r>
    </w:p>
    <w:p>
      <w:pPr>
        <w:spacing w:after="0" w:line="167" w:lineRule="exact"/>
        <w:rPr>
          <w:rFonts w:ascii="Arial" w:cs="Arial" w:eastAsia="Arial" w:hAnsi="Arial"/>
          <w:sz w:val="15"/>
          <w:szCs w:val="15"/>
          <w:color w:val="auto"/>
        </w:rPr>
      </w:pPr>
    </w:p>
    <w:p>
      <w:pPr>
        <w:ind w:left="427" w:right="60" w:hanging="366"/>
        <w:spacing w:after="0" w:line="271" w:lineRule="auto"/>
        <w:tabs>
          <w:tab w:leader="none" w:pos="42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Growth in Mibanco loans of 7.3%, which reflects the bank’s strategy to grow its portfolio and remain focused on financial inclusion (that is, attracting new clients to the financial system) while meeting the needs of existing clients, many of whom face adversity due to the global spread of COVID-19. The economic impact of the COVID-19 pandemic has been particularly acute for microbusinesses.</w:t>
      </w:r>
    </w:p>
    <w:p>
      <w:pPr>
        <w:spacing w:after="0" w:line="162" w:lineRule="exact"/>
        <w:rPr>
          <w:rFonts w:ascii="Arial" w:cs="Arial" w:eastAsia="Arial" w:hAnsi="Arial"/>
          <w:sz w:val="16"/>
          <w:szCs w:val="16"/>
          <w:color w:val="auto"/>
        </w:rPr>
      </w:pPr>
    </w:p>
    <w:p>
      <w:pPr>
        <w:ind w:left="427" w:right="160" w:hanging="366"/>
        <w:spacing w:after="0" w:line="271" w:lineRule="auto"/>
        <w:tabs>
          <w:tab w:leader="none" w:pos="42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Growth of 8.3% in loans at BCP Bolivia. This growth was primarily attributable to expansion in the retail portfolio, which was led by the mortgage segment followed by the consumer segment. Wholesale banking also contributed to growth to a lesser extent. Expansion in the wholesale banking portfolio was led by middle market banking, followed by corporate banking.</w:t>
      </w:r>
    </w:p>
    <w:p>
      <w:pPr>
        <w:spacing w:after="0" w:line="359" w:lineRule="exact"/>
        <w:rPr>
          <w:sz w:val="20"/>
          <w:szCs w:val="20"/>
          <w:color w:val="auto"/>
        </w:rPr>
      </w:pPr>
    </w:p>
    <w:p>
      <w:pPr>
        <w:jc w:val="center"/>
        <w:ind w:right="253"/>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15875</wp:posOffset>
            </wp:positionV>
            <wp:extent cx="714438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927"/>
          </w:cols>
          <w:pgMar w:left="613" w:top="324" w:right="359" w:bottom="1440" w:gutter="0" w:footer="0" w:header="0"/>
        </w:sectPr>
      </w:pPr>
    </w:p>
    <w:bookmarkStart w:id="161" w:name="page162"/>
    <w:bookmarkEnd w:id="161"/>
    <w:p>
      <w:pPr>
        <w:ind w:left="300"/>
        <w:spacing w:after="0"/>
        <w:rPr>
          <w:sz w:val="20"/>
          <w:szCs w:val="20"/>
          <w:color w:val="auto"/>
        </w:rPr>
      </w:pPr>
      <w:r>
        <w:rPr>
          <w:rFonts w:ascii="Arial" w:cs="Arial" w:eastAsia="Arial" w:hAnsi="Arial"/>
          <w:sz w:val="16"/>
          <w:szCs w:val="16"/>
          <w:i w:val="1"/>
          <w:iCs w:val="1"/>
          <w:color w:val="auto"/>
        </w:rPr>
        <w:t>Growth in the Level of Dollarization by Segment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Loan Growth by Currency - Average Daily Balances(1)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0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1"/>
                <w:szCs w:val="11"/>
                <w:b w:val="1"/>
                <w:bCs w:val="1"/>
                <w:color w:val="auto"/>
                <w:w w:val="93"/>
              </w:rPr>
              <w:t>Domestic Currency Loans</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1"/>
                <w:szCs w:val="11"/>
                <w:b w:val="1"/>
                <w:bCs w:val="1"/>
                <w:color w:val="auto"/>
                <w:w w:val="95"/>
              </w:rPr>
              <w:t>Foreign Currency Loans</w:t>
            </w:r>
          </w:p>
        </w:tc>
        <w:tc>
          <w:tcPr>
            <w:tcW w:w="6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jc w:val="right"/>
              <w:ind w:right="383"/>
              <w:spacing w:after="0"/>
              <w:rPr>
                <w:sz w:val="20"/>
                <w:szCs w:val="20"/>
                <w:color w:val="auto"/>
              </w:rPr>
            </w:pPr>
            <w:r>
              <w:rPr>
                <w:rFonts w:ascii="Arial" w:cs="Arial" w:eastAsia="Arial" w:hAnsi="Arial"/>
                <w:sz w:val="11"/>
                <w:szCs w:val="11"/>
                <w:b w:val="1"/>
                <w:bCs w:val="1"/>
                <w:color w:val="auto"/>
                <w:w w:val="97"/>
              </w:rPr>
              <w:t>% Part. by Currency</w:t>
            </w: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15"/>
        </w:trPr>
        <w:tc>
          <w:tcPr>
            <w:tcW w:w="30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center"/>
              <w:ind w:right="40"/>
              <w:spacing w:after="0" w:line="115" w:lineRule="exact"/>
              <w:rPr>
                <w:sz w:val="20"/>
                <w:szCs w:val="20"/>
                <w:color w:val="auto"/>
              </w:rPr>
            </w:pPr>
            <w:r>
              <w:rPr>
                <w:rFonts w:ascii="Arial" w:cs="Arial" w:eastAsia="Arial" w:hAnsi="Arial"/>
                <w:sz w:val="11"/>
                <w:szCs w:val="11"/>
                <w:b w:val="1"/>
                <w:bCs w:val="1"/>
                <w:color w:val="auto"/>
                <w:w w:val="89"/>
              </w:rPr>
              <w:t>Soles in millions</w:t>
            </w:r>
          </w:p>
        </w:tc>
        <w:tc>
          <w:tcPr>
            <w:tcW w:w="5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ind w:right="203"/>
              <w:spacing w:after="0" w:line="115" w:lineRule="exact"/>
              <w:rPr>
                <w:sz w:val="20"/>
                <w:szCs w:val="20"/>
                <w:color w:val="auto"/>
              </w:rPr>
            </w:pPr>
            <w:r>
              <w:rPr>
                <w:rFonts w:ascii="Arial" w:cs="Arial" w:eastAsia="Arial" w:hAnsi="Arial"/>
                <w:sz w:val="11"/>
                <w:szCs w:val="11"/>
                <w:b w:val="1"/>
                <w:bCs w:val="1"/>
                <w:color w:val="auto"/>
              </w:rPr>
              <w:t>U.S.$ in millions</w:t>
            </w:r>
          </w:p>
        </w:tc>
        <w:tc>
          <w:tcPr>
            <w:tcW w:w="6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40" w:type="dxa"/>
            <w:vAlign w:val="bottom"/>
            <w:tcBorders>
              <w:bottom w:val="single" w:sz="8" w:color="auto"/>
            </w:tcBorders>
            <w:gridSpan w:val="4"/>
          </w:tcPr>
          <w:p>
            <w:pPr>
              <w:jc w:val="right"/>
              <w:spacing w:after="0" w:line="115" w:lineRule="exact"/>
              <w:rPr>
                <w:sz w:val="20"/>
                <w:szCs w:val="20"/>
                <w:color w:val="auto"/>
              </w:rPr>
            </w:pPr>
            <w:r>
              <w:rPr>
                <w:rFonts w:ascii="Arial" w:cs="Arial" w:eastAsia="Arial" w:hAnsi="Arial"/>
                <w:sz w:val="11"/>
                <w:szCs w:val="11"/>
                <w:b w:val="1"/>
                <w:bCs w:val="1"/>
                <w:color w:val="auto"/>
              </w:rPr>
              <w:t>Three Months Ended March 31, 2020</w:t>
            </w:r>
          </w:p>
        </w:tc>
        <w:tc>
          <w:tcPr>
            <w:tcW w:w="3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9"/>
        </w:trPr>
        <w:tc>
          <w:tcPr>
            <w:tcW w:w="3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jc w:val="right"/>
              <w:ind w:right="43"/>
              <w:spacing w:after="0" w:line="100" w:lineRule="exact"/>
              <w:rPr>
                <w:sz w:val="20"/>
                <w:szCs w:val="20"/>
                <w:color w:val="auto"/>
              </w:rPr>
            </w:pPr>
            <w:r>
              <w:rPr>
                <w:rFonts w:ascii="Arial" w:cs="Arial" w:eastAsia="Arial" w:hAnsi="Arial"/>
                <w:sz w:val="11"/>
                <w:szCs w:val="11"/>
                <w:b w:val="1"/>
                <w:bCs w:val="1"/>
                <w:color w:val="auto"/>
              </w:rPr>
              <w:t>March</w:t>
            </w: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jc w:val="right"/>
              <w:ind w:right="360"/>
              <w:spacing w:after="0" w:line="100" w:lineRule="exact"/>
              <w:rPr>
                <w:sz w:val="20"/>
                <w:szCs w:val="20"/>
                <w:color w:val="auto"/>
              </w:rPr>
            </w:pPr>
            <w:r>
              <w:rPr>
                <w:rFonts w:ascii="Arial" w:cs="Arial" w:eastAsia="Arial" w:hAnsi="Arial"/>
                <w:sz w:val="11"/>
                <w:szCs w:val="11"/>
                <w:b w:val="1"/>
                <w:bCs w:val="1"/>
                <w:color w:val="auto"/>
              </w:rPr>
              <w:t>March</w:t>
            </w: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23"/>
        </w:trPr>
        <w:tc>
          <w:tcPr>
            <w:tcW w:w="3020" w:type="dxa"/>
            <w:vAlign w:val="bottom"/>
          </w:tcPr>
          <w:p>
            <w:pPr>
              <w:spacing w:after="0"/>
              <w:rPr>
                <w:sz w:val="10"/>
                <w:szCs w:val="10"/>
                <w:color w:val="auto"/>
              </w:rPr>
            </w:pPr>
          </w:p>
        </w:tc>
        <w:tc>
          <w:tcPr>
            <w:tcW w:w="540" w:type="dxa"/>
            <w:vAlign w:val="bottom"/>
          </w:tcPr>
          <w:p>
            <w:pPr>
              <w:jc w:val="center"/>
              <w:ind w:right="43"/>
              <w:spacing w:after="0" w:line="123" w:lineRule="exact"/>
              <w:rPr>
                <w:sz w:val="20"/>
                <w:szCs w:val="20"/>
                <w:color w:val="auto"/>
              </w:rPr>
            </w:pPr>
            <w:r>
              <w:rPr>
                <w:rFonts w:ascii="Arial" w:cs="Arial" w:eastAsia="Arial" w:hAnsi="Arial"/>
                <w:sz w:val="11"/>
                <w:szCs w:val="11"/>
                <w:b w:val="1"/>
                <w:bCs w:val="1"/>
                <w:color w:val="auto"/>
                <w:w w:val="87"/>
              </w:rPr>
              <w:t>As of</w:t>
            </w:r>
          </w:p>
        </w:tc>
        <w:tc>
          <w:tcPr>
            <w:tcW w:w="640" w:type="dxa"/>
            <w:vAlign w:val="bottom"/>
          </w:tcPr>
          <w:p>
            <w:pPr>
              <w:jc w:val="center"/>
              <w:ind w:left="43"/>
              <w:spacing w:after="0" w:line="123" w:lineRule="exact"/>
              <w:rPr>
                <w:sz w:val="20"/>
                <w:szCs w:val="20"/>
                <w:color w:val="auto"/>
              </w:rPr>
            </w:pPr>
            <w:r>
              <w:rPr>
                <w:rFonts w:ascii="Arial" w:cs="Arial" w:eastAsia="Arial" w:hAnsi="Arial"/>
                <w:sz w:val="11"/>
                <w:szCs w:val="11"/>
                <w:b w:val="1"/>
                <w:bCs w:val="1"/>
                <w:color w:val="auto"/>
                <w:w w:val="94"/>
              </w:rPr>
              <w:t>As of</w:t>
            </w:r>
          </w:p>
        </w:tc>
        <w:tc>
          <w:tcPr>
            <w:tcW w:w="860" w:type="dxa"/>
            <w:vAlign w:val="bottom"/>
            <w:gridSpan w:val="2"/>
          </w:tcPr>
          <w:p>
            <w:pPr>
              <w:jc w:val="center"/>
              <w:ind w:right="20"/>
              <w:spacing w:after="0" w:line="123" w:lineRule="exact"/>
              <w:rPr>
                <w:sz w:val="20"/>
                <w:szCs w:val="20"/>
                <w:color w:val="auto"/>
              </w:rPr>
            </w:pPr>
            <w:r>
              <w:rPr>
                <w:rFonts w:ascii="Arial" w:cs="Arial" w:eastAsia="Arial" w:hAnsi="Arial"/>
                <w:sz w:val="11"/>
                <w:szCs w:val="11"/>
                <w:b w:val="1"/>
                <w:bCs w:val="1"/>
                <w:color w:val="auto"/>
                <w:w w:val="87"/>
              </w:rPr>
              <w:t>As of</w:t>
            </w:r>
          </w:p>
        </w:tc>
        <w:tc>
          <w:tcPr>
            <w:tcW w:w="500" w:type="dxa"/>
            <w:vAlign w:val="bottom"/>
          </w:tcPr>
          <w:p>
            <w:pPr>
              <w:jc w:val="right"/>
              <w:spacing w:after="0" w:line="123" w:lineRule="exact"/>
              <w:rPr>
                <w:sz w:val="20"/>
                <w:szCs w:val="20"/>
                <w:color w:val="auto"/>
              </w:rPr>
            </w:pPr>
            <w:r>
              <w:rPr>
                <w:rFonts w:ascii="Arial" w:cs="Arial" w:eastAsia="Arial" w:hAnsi="Arial"/>
                <w:sz w:val="11"/>
                <w:szCs w:val="11"/>
                <w:b w:val="1"/>
                <w:bCs w:val="1"/>
                <w:color w:val="auto"/>
                <w:w w:val="93"/>
              </w:rPr>
              <w:t>31, 2020 /</w:t>
            </w:r>
          </w:p>
        </w:tc>
        <w:tc>
          <w:tcPr>
            <w:tcW w:w="260" w:type="dxa"/>
            <w:vAlign w:val="bottom"/>
          </w:tcPr>
          <w:p>
            <w:pPr>
              <w:spacing w:after="0"/>
              <w:rPr>
                <w:sz w:val="10"/>
                <w:szCs w:val="10"/>
                <w:color w:val="auto"/>
              </w:rPr>
            </w:pPr>
          </w:p>
        </w:tc>
        <w:tc>
          <w:tcPr>
            <w:tcW w:w="600" w:type="dxa"/>
            <w:vAlign w:val="bottom"/>
          </w:tcPr>
          <w:p>
            <w:pPr>
              <w:jc w:val="right"/>
              <w:ind w:right="163"/>
              <w:spacing w:after="0" w:line="123" w:lineRule="exact"/>
              <w:rPr>
                <w:sz w:val="20"/>
                <w:szCs w:val="20"/>
                <w:color w:val="auto"/>
              </w:rPr>
            </w:pPr>
            <w:r>
              <w:rPr>
                <w:rFonts w:ascii="Arial" w:cs="Arial" w:eastAsia="Arial" w:hAnsi="Arial"/>
                <w:sz w:val="11"/>
                <w:szCs w:val="11"/>
                <w:b w:val="1"/>
                <w:bCs w:val="1"/>
                <w:color w:val="auto"/>
              </w:rPr>
              <w:t>March</w:t>
            </w:r>
          </w:p>
        </w:tc>
        <w:tc>
          <w:tcPr>
            <w:tcW w:w="620" w:type="dxa"/>
            <w:vAlign w:val="bottom"/>
            <w:gridSpan w:val="2"/>
          </w:tcPr>
          <w:p>
            <w:pPr>
              <w:jc w:val="center"/>
              <w:ind w:right="20"/>
              <w:spacing w:after="0" w:line="123" w:lineRule="exact"/>
              <w:rPr>
                <w:sz w:val="20"/>
                <w:szCs w:val="20"/>
                <w:color w:val="auto"/>
              </w:rPr>
            </w:pPr>
            <w:r>
              <w:rPr>
                <w:rFonts w:ascii="Arial" w:cs="Arial" w:eastAsia="Arial" w:hAnsi="Arial"/>
                <w:sz w:val="11"/>
                <w:szCs w:val="11"/>
                <w:b w:val="1"/>
                <w:bCs w:val="1"/>
                <w:color w:val="auto"/>
                <w:w w:val="87"/>
              </w:rPr>
              <w:t>As of</w:t>
            </w:r>
          </w:p>
        </w:tc>
        <w:tc>
          <w:tcPr>
            <w:tcW w:w="120" w:type="dxa"/>
            <w:vAlign w:val="bottom"/>
          </w:tcPr>
          <w:p>
            <w:pPr>
              <w:spacing w:after="0"/>
              <w:rPr>
                <w:sz w:val="10"/>
                <w:szCs w:val="10"/>
                <w:color w:val="auto"/>
              </w:rPr>
            </w:pPr>
          </w:p>
        </w:tc>
        <w:tc>
          <w:tcPr>
            <w:tcW w:w="560" w:type="dxa"/>
            <w:vAlign w:val="bottom"/>
          </w:tcPr>
          <w:p>
            <w:pPr>
              <w:jc w:val="center"/>
              <w:ind w:right="3"/>
              <w:spacing w:after="0" w:line="123" w:lineRule="exact"/>
              <w:rPr>
                <w:sz w:val="20"/>
                <w:szCs w:val="20"/>
                <w:color w:val="auto"/>
              </w:rPr>
            </w:pPr>
            <w:r>
              <w:rPr>
                <w:rFonts w:ascii="Arial" w:cs="Arial" w:eastAsia="Arial" w:hAnsi="Arial"/>
                <w:sz w:val="11"/>
                <w:szCs w:val="11"/>
                <w:b w:val="1"/>
                <w:bCs w:val="1"/>
                <w:color w:val="auto"/>
                <w:w w:val="94"/>
              </w:rPr>
              <w:t>As of</w:t>
            </w:r>
          </w:p>
        </w:tc>
        <w:tc>
          <w:tcPr>
            <w:tcW w:w="82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w w:val="94"/>
              </w:rPr>
              <w:t>As of</w:t>
            </w:r>
          </w:p>
        </w:tc>
        <w:tc>
          <w:tcPr>
            <w:tcW w:w="480" w:type="dxa"/>
            <w:vAlign w:val="bottom"/>
          </w:tcPr>
          <w:p>
            <w:pPr>
              <w:jc w:val="right"/>
              <w:spacing w:after="0" w:line="123" w:lineRule="exact"/>
              <w:rPr>
                <w:sz w:val="20"/>
                <w:szCs w:val="20"/>
                <w:color w:val="auto"/>
              </w:rPr>
            </w:pPr>
            <w:r>
              <w:rPr>
                <w:rFonts w:ascii="Arial" w:cs="Arial" w:eastAsia="Arial" w:hAnsi="Arial"/>
                <w:sz w:val="11"/>
                <w:szCs w:val="11"/>
                <w:b w:val="1"/>
                <w:bCs w:val="1"/>
                <w:color w:val="auto"/>
                <w:w w:val="93"/>
              </w:rPr>
              <w:t>31, 2020 /</w:t>
            </w:r>
          </w:p>
        </w:tc>
        <w:tc>
          <w:tcPr>
            <w:tcW w:w="280" w:type="dxa"/>
            <w:vAlign w:val="bottom"/>
          </w:tcPr>
          <w:p>
            <w:pPr>
              <w:spacing w:after="0"/>
              <w:rPr>
                <w:sz w:val="10"/>
                <w:szCs w:val="10"/>
                <w:color w:val="auto"/>
              </w:rPr>
            </w:pPr>
          </w:p>
        </w:tc>
        <w:tc>
          <w:tcPr>
            <w:tcW w:w="720" w:type="dxa"/>
            <w:vAlign w:val="bottom"/>
          </w:tcPr>
          <w:p>
            <w:pPr>
              <w:jc w:val="right"/>
              <w:ind w:right="283"/>
              <w:spacing w:after="0" w:line="123" w:lineRule="exact"/>
              <w:rPr>
                <w:sz w:val="20"/>
                <w:szCs w:val="20"/>
                <w:color w:val="auto"/>
              </w:rPr>
            </w:pPr>
            <w:r>
              <w:rPr>
                <w:rFonts w:ascii="Arial" w:cs="Arial" w:eastAsia="Arial" w:hAnsi="Arial"/>
                <w:sz w:val="11"/>
                <w:szCs w:val="11"/>
                <w:b w:val="1"/>
                <w:bCs w:val="1"/>
                <w:color w:val="auto"/>
              </w:rPr>
              <w:t>March</w:t>
            </w: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3"/>
        </w:trPr>
        <w:tc>
          <w:tcPr>
            <w:tcW w:w="3020" w:type="dxa"/>
            <w:vAlign w:val="bottom"/>
          </w:tcPr>
          <w:p>
            <w:pPr>
              <w:spacing w:after="0"/>
              <w:rPr>
                <w:sz w:val="10"/>
                <w:szCs w:val="10"/>
                <w:color w:val="auto"/>
              </w:rPr>
            </w:pPr>
          </w:p>
        </w:tc>
        <w:tc>
          <w:tcPr>
            <w:tcW w:w="540" w:type="dxa"/>
            <w:vAlign w:val="bottom"/>
          </w:tcPr>
          <w:p>
            <w:pPr>
              <w:jc w:val="center"/>
              <w:ind w:right="43"/>
              <w:spacing w:after="0" w:line="123" w:lineRule="exact"/>
              <w:rPr>
                <w:sz w:val="20"/>
                <w:szCs w:val="20"/>
                <w:color w:val="auto"/>
              </w:rPr>
            </w:pPr>
            <w:r>
              <w:rPr>
                <w:rFonts w:ascii="Arial" w:cs="Arial" w:eastAsia="Arial" w:hAnsi="Arial"/>
                <w:sz w:val="11"/>
                <w:szCs w:val="11"/>
                <w:b w:val="1"/>
                <w:bCs w:val="1"/>
                <w:color w:val="auto"/>
                <w:w w:val="98"/>
              </w:rPr>
              <w:t>March</w:t>
            </w:r>
          </w:p>
        </w:tc>
        <w:tc>
          <w:tcPr>
            <w:tcW w:w="640" w:type="dxa"/>
            <w:vAlign w:val="bottom"/>
          </w:tcPr>
          <w:p>
            <w:pPr>
              <w:jc w:val="center"/>
              <w:ind w:left="43"/>
              <w:spacing w:after="0" w:line="123" w:lineRule="exact"/>
              <w:rPr>
                <w:sz w:val="20"/>
                <w:szCs w:val="20"/>
                <w:color w:val="auto"/>
              </w:rPr>
            </w:pPr>
            <w:r>
              <w:rPr>
                <w:rFonts w:ascii="Arial" w:cs="Arial" w:eastAsia="Arial" w:hAnsi="Arial"/>
                <w:sz w:val="11"/>
                <w:szCs w:val="11"/>
                <w:b w:val="1"/>
                <w:bCs w:val="1"/>
                <w:color w:val="auto"/>
                <w:w w:val="93"/>
              </w:rPr>
              <w:t>December</w:t>
            </w:r>
          </w:p>
        </w:tc>
        <w:tc>
          <w:tcPr>
            <w:tcW w:w="860" w:type="dxa"/>
            <w:vAlign w:val="bottom"/>
            <w:gridSpan w:val="2"/>
          </w:tcPr>
          <w:p>
            <w:pPr>
              <w:jc w:val="center"/>
              <w:ind w:right="20"/>
              <w:spacing w:after="0" w:line="123" w:lineRule="exact"/>
              <w:rPr>
                <w:sz w:val="20"/>
                <w:szCs w:val="20"/>
                <w:color w:val="auto"/>
              </w:rPr>
            </w:pPr>
            <w:r>
              <w:rPr>
                <w:rFonts w:ascii="Arial" w:cs="Arial" w:eastAsia="Arial" w:hAnsi="Arial"/>
                <w:sz w:val="11"/>
                <w:szCs w:val="11"/>
                <w:b w:val="1"/>
                <w:bCs w:val="1"/>
                <w:color w:val="auto"/>
                <w:w w:val="98"/>
              </w:rPr>
              <w:t>March</w:t>
            </w:r>
          </w:p>
        </w:tc>
        <w:tc>
          <w:tcPr>
            <w:tcW w:w="760" w:type="dxa"/>
            <w:vAlign w:val="bottom"/>
            <w:gridSpan w:val="2"/>
          </w:tcPr>
          <w:p>
            <w:pPr>
              <w:jc w:val="right"/>
              <w:ind w:right="260"/>
              <w:spacing w:after="0" w:line="123" w:lineRule="exact"/>
              <w:rPr>
                <w:sz w:val="20"/>
                <w:szCs w:val="20"/>
                <w:color w:val="auto"/>
              </w:rPr>
            </w:pPr>
            <w:r>
              <w:rPr>
                <w:rFonts w:ascii="Arial" w:cs="Arial" w:eastAsia="Arial" w:hAnsi="Arial"/>
                <w:sz w:val="11"/>
                <w:szCs w:val="11"/>
                <w:b w:val="1"/>
                <w:bCs w:val="1"/>
                <w:color w:val="auto"/>
                <w:w w:val="90"/>
              </w:rPr>
              <w:t>December</w:t>
            </w:r>
          </w:p>
        </w:tc>
        <w:tc>
          <w:tcPr>
            <w:tcW w:w="600" w:type="dxa"/>
            <w:vAlign w:val="bottom"/>
          </w:tcPr>
          <w:p>
            <w:pPr>
              <w:jc w:val="right"/>
              <w:ind w:right="123"/>
              <w:spacing w:after="0" w:line="123" w:lineRule="exact"/>
              <w:rPr>
                <w:sz w:val="20"/>
                <w:szCs w:val="20"/>
                <w:color w:val="auto"/>
              </w:rPr>
            </w:pPr>
            <w:r>
              <w:rPr>
                <w:rFonts w:ascii="Arial" w:cs="Arial" w:eastAsia="Arial" w:hAnsi="Arial"/>
                <w:sz w:val="11"/>
                <w:szCs w:val="11"/>
                <w:b w:val="1"/>
                <w:bCs w:val="1"/>
                <w:color w:val="auto"/>
                <w:w w:val="93"/>
              </w:rPr>
              <w:t>31, 2020</w:t>
            </w:r>
          </w:p>
        </w:tc>
        <w:tc>
          <w:tcPr>
            <w:tcW w:w="620" w:type="dxa"/>
            <w:vAlign w:val="bottom"/>
            <w:gridSpan w:val="2"/>
          </w:tcPr>
          <w:p>
            <w:pPr>
              <w:jc w:val="center"/>
              <w:ind w:right="20"/>
              <w:spacing w:after="0" w:line="123" w:lineRule="exact"/>
              <w:rPr>
                <w:sz w:val="20"/>
                <w:szCs w:val="20"/>
                <w:color w:val="auto"/>
              </w:rPr>
            </w:pPr>
            <w:r>
              <w:rPr>
                <w:rFonts w:ascii="Arial" w:cs="Arial" w:eastAsia="Arial" w:hAnsi="Arial"/>
                <w:sz w:val="11"/>
                <w:szCs w:val="11"/>
                <w:b w:val="1"/>
                <w:bCs w:val="1"/>
                <w:color w:val="auto"/>
                <w:w w:val="98"/>
              </w:rPr>
              <w:t>March</w:t>
            </w:r>
          </w:p>
        </w:tc>
        <w:tc>
          <w:tcPr>
            <w:tcW w:w="680" w:type="dxa"/>
            <w:vAlign w:val="bottom"/>
            <w:gridSpan w:val="2"/>
          </w:tcPr>
          <w:p>
            <w:pPr>
              <w:jc w:val="center"/>
              <w:ind w:left="3"/>
              <w:spacing w:after="0" w:line="123" w:lineRule="exact"/>
              <w:rPr>
                <w:sz w:val="20"/>
                <w:szCs w:val="20"/>
                <w:color w:val="auto"/>
              </w:rPr>
            </w:pPr>
            <w:r>
              <w:rPr>
                <w:rFonts w:ascii="Arial" w:cs="Arial" w:eastAsia="Arial" w:hAnsi="Arial"/>
                <w:sz w:val="11"/>
                <w:szCs w:val="11"/>
                <w:b w:val="1"/>
                <w:bCs w:val="1"/>
                <w:color w:val="auto"/>
                <w:w w:val="93"/>
              </w:rPr>
              <w:t>December</w:t>
            </w:r>
          </w:p>
        </w:tc>
        <w:tc>
          <w:tcPr>
            <w:tcW w:w="820" w:type="dxa"/>
            <w:vAlign w:val="bottom"/>
            <w:gridSpan w:val="2"/>
          </w:tcPr>
          <w:p>
            <w:pPr>
              <w:jc w:val="center"/>
              <w:ind w:right="80"/>
              <w:spacing w:after="0" w:line="123" w:lineRule="exact"/>
              <w:rPr>
                <w:sz w:val="20"/>
                <w:szCs w:val="20"/>
                <w:color w:val="auto"/>
              </w:rPr>
            </w:pPr>
            <w:r>
              <w:rPr>
                <w:rFonts w:ascii="Arial" w:cs="Arial" w:eastAsia="Arial" w:hAnsi="Arial"/>
                <w:sz w:val="11"/>
                <w:szCs w:val="11"/>
                <w:b w:val="1"/>
                <w:bCs w:val="1"/>
                <w:color w:val="auto"/>
              </w:rPr>
              <w:t>March</w:t>
            </w:r>
          </w:p>
        </w:tc>
        <w:tc>
          <w:tcPr>
            <w:tcW w:w="760" w:type="dxa"/>
            <w:vAlign w:val="bottom"/>
            <w:gridSpan w:val="2"/>
          </w:tcPr>
          <w:p>
            <w:pPr>
              <w:jc w:val="right"/>
              <w:ind w:right="260"/>
              <w:spacing w:after="0" w:line="123" w:lineRule="exact"/>
              <w:rPr>
                <w:sz w:val="20"/>
                <w:szCs w:val="20"/>
                <w:color w:val="auto"/>
              </w:rPr>
            </w:pPr>
            <w:r>
              <w:rPr>
                <w:rFonts w:ascii="Arial" w:cs="Arial" w:eastAsia="Arial" w:hAnsi="Arial"/>
                <w:sz w:val="11"/>
                <w:szCs w:val="11"/>
                <w:b w:val="1"/>
                <w:bCs w:val="1"/>
                <w:color w:val="auto"/>
                <w:w w:val="90"/>
              </w:rPr>
              <w:t>December</w:t>
            </w:r>
          </w:p>
        </w:tc>
        <w:tc>
          <w:tcPr>
            <w:tcW w:w="720" w:type="dxa"/>
            <w:vAlign w:val="bottom"/>
          </w:tcPr>
          <w:p>
            <w:pPr>
              <w:jc w:val="right"/>
              <w:ind w:right="243"/>
              <w:spacing w:after="0" w:line="123" w:lineRule="exact"/>
              <w:rPr>
                <w:sz w:val="20"/>
                <w:szCs w:val="20"/>
                <w:color w:val="auto"/>
              </w:rPr>
            </w:pPr>
            <w:r>
              <w:rPr>
                <w:rFonts w:ascii="Arial" w:cs="Arial" w:eastAsia="Arial" w:hAnsi="Arial"/>
                <w:sz w:val="11"/>
                <w:szCs w:val="11"/>
                <w:b w:val="1"/>
                <w:bCs w:val="1"/>
                <w:color w:val="auto"/>
                <w:w w:val="93"/>
              </w:rPr>
              <w:t>31, 2020</w:t>
            </w: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9"/>
        </w:trPr>
        <w:tc>
          <w:tcPr>
            <w:tcW w:w="3020" w:type="dxa"/>
            <w:vAlign w:val="bottom"/>
          </w:tcPr>
          <w:p>
            <w:pPr>
              <w:spacing w:after="0"/>
              <w:rPr>
                <w:sz w:val="12"/>
                <w:szCs w:val="12"/>
                <w:color w:val="auto"/>
              </w:rPr>
            </w:pPr>
          </w:p>
        </w:tc>
        <w:tc>
          <w:tcPr>
            <w:tcW w:w="540" w:type="dxa"/>
            <w:vAlign w:val="bottom"/>
          </w:tcPr>
          <w:p>
            <w:pPr>
              <w:jc w:val="center"/>
              <w:ind w:right="43"/>
              <w:spacing w:after="0"/>
              <w:rPr>
                <w:sz w:val="20"/>
                <w:szCs w:val="20"/>
                <w:color w:val="auto"/>
              </w:rPr>
            </w:pPr>
            <w:r>
              <w:rPr>
                <w:rFonts w:ascii="Arial" w:cs="Arial" w:eastAsia="Arial" w:hAnsi="Arial"/>
                <w:sz w:val="11"/>
                <w:szCs w:val="11"/>
                <w:b w:val="1"/>
                <w:bCs w:val="1"/>
                <w:color w:val="auto"/>
                <w:w w:val="93"/>
              </w:rPr>
              <w:t>31, 2019</w:t>
            </w:r>
          </w:p>
        </w:tc>
        <w:tc>
          <w:tcPr>
            <w:tcW w:w="640" w:type="dxa"/>
            <w:vAlign w:val="bottom"/>
          </w:tcPr>
          <w:p>
            <w:pPr>
              <w:jc w:val="center"/>
              <w:ind w:left="23"/>
              <w:spacing w:after="0"/>
              <w:rPr>
                <w:sz w:val="20"/>
                <w:szCs w:val="20"/>
                <w:color w:val="auto"/>
              </w:rPr>
            </w:pPr>
            <w:r>
              <w:rPr>
                <w:rFonts w:ascii="Arial" w:cs="Arial" w:eastAsia="Arial" w:hAnsi="Arial"/>
                <w:sz w:val="11"/>
                <w:szCs w:val="11"/>
                <w:b w:val="1"/>
                <w:bCs w:val="1"/>
                <w:color w:val="auto"/>
                <w:w w:val="93"/>
              </w:rPr>
              <w:t>31, 2019</w:t>
            </w:r>
          </w:p>
        </w:tc>
        <w:tc>
          <w:tcPr>
            <w:tcW w:w="640" w:type="dxa"/>
            <w:vAlign w:val="bottom"/>
          </w:tcPr>
          <w:p>
            <w:pPr>
              <w:jc w:val="center"/>
              <w:ind w:left="143"/>
              <w:spacing w:after="0"/>
              <w:rPr>
                <w:sz w:val="20"/>
                <w:szCs w:val="20"/>
                <w:color w:val="auto"/>
              </w:rPr>
            </w:pPr>
            <w:r>
              <w:rPr>
                <w:rFonts w:ascii="Arial" w:cs="Arial" w:eastAsia="Arial" w:hAnsi="Arial"/>
                <w:sz w:val="11"/>
                <w:szCs w:val="11"/>
                <w:b w:val="1"/>
                <w:bCs w:val="1"/>
                <w:color w:val="auto"/>
                <w:w w:val="93"/>
              </w:rPr>
              <w:t>31, 2020</w:t>
            </w:r>
          </w:p>
        </w:tc>
        <w:tc>
          <w:tcPr>
            <w:tcW w:w="220" w:type="dxa"/>
            <w:vAlign w:val="bottom"/>
          </w:tcPr>
          <w:p>
            <w:pPr>
              <w:spacing w:after="0"/>
              <w:rPr>
                <w:sz w:val="12"/>
                <w:szCs w:val="12"/>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b w:val="1"/>
                <w:bCs w:val="1"/>
                <w:color w:val="auto"/>
                <w:w w:val="97"/>
              </w:rPr>
              <w:t>31, 2019</w:t>
            </w:r>
          </w:p>
        </w:tc>
        <w:tc>
          <w:tcPr>
            <w:tcW w:w="260" w:type="dxa"/>
            <w:vAlign w:val="bottom"/>
          </w:tcPr>
          <w:p>
            <w:pPr>
              <w:spacing w:after="0"/>
              <w:rPr>
                <w:sz w:val="12"/>
                <w:szCs w:val="12"/>
                <w:color w:val="auto"/>
              </w:rPr>
            </w:pPr>
          </w:p>
        </w:tc>
        <w:tc>
          <w:tcPr>
            <w:tcW w:w="600" w:type="dxa"/>
            <w:vAlign w:val="bottom"/>
          </w:tcPr>
          <w:p>
            <w:pPr>
              <w:jc w:val="right"/>
              <w:ind w:right="183"/>
              <w:spacing w:after="0"/>
              <w:rPr>
                <w:sz w:val="20"/>
                <w:szCs w:val="20"/>
                <w:color w:val="auto"/>
              </w:rPr>
            </w:pPr>
            <w:r>
              <w:rPr>
                <w:rFonts w:ascii="Arial" w:cs="Arial" w:eastAsia="Arial" w:hAnsi="Arial"/>
                <w:sz w:val="11"/>
                <w:szCs w:val="11"/>
                <w:b w:val="1"/>
                <w:bCs w:val="1"/>
                <w:color w:val="auto"/>
              </w:rPr>
              <w:t>/ 2019</w:t>
            </w:r>
          </w:p>
        </w:tc>
        <w:tc>
          <w:tcPr>
            <w:tcW w:w="520" w:type="dxa"/>
            <w:vAlign w:val="bottom"/>
          </w:tcPr>
          <w:p>
            <w:pPr>
              <w:jc w:val="center"/>
              <w:ind w:left="23"/>
              <w:spacing w:after="0"/>
              <w:rPr>
                <w:sz w:val="20"/>
                <w:szCs w:val="20"/>
                <w:color w:val="auto"/>
              </w:rPr>
            </w:pPr>
            <w:r>
              <w:rPr>
                <w:rFonts w:ascii="Arial" w:cs="Arial" w:eastAsia="Arial" w:hAnsi="Arial"/>
                <w:sz w:val="11"/>
                <w:szCs w:val="11"/>
                <w:b w:val="1"/>
                <w:bCs w:val="1"/>
                <w:color w:val="auto"/>
                <w:w w:val="93"/>
              </w:rPr>
              <w:t>31, 2019</w:t>
            </w:r>
          </w:p>
        </w:tc>
        <w:tc>
          <w:tcPr>
            <w:tcW w:w="10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3"/>
              </w:rPr>
              <w:t>31, 2019</w:t>
            </w:r>
          </w:p>
        </w:tc>
        <w:tc>
          <w:tcPr>
            <w:tcW w:w="600" w:type="dxa"/>
            <w:vAlign w:val="bottom"/>
          </w:tcPr>
          <w:p>
            <w:pPr>
              <w:jc w:val="center"/>
              <w:ind w:left="103"/>
              <w:spacing w:after="0"/>
              <w:rPr>
                <w:sz w:val="20"/>
                <w:szCs w:val="20"/>
                <w:color w:val="auto"/>
              </w:rPr>
            </w:pPr>
            <w:r>
              <w:rPr>
                <w:rFonts w:ascii="Arial" w:cs="Arial" w:eastAsia="Arial" w:hAnsi="Arial"/>
                <w:sz w:val="11"/>
                <w:szCs w:val="11"/>
                <w:b w:val="1"/>
                <w:bCs w:val="1"/>
                <w:color w:val="auto"/>
                <w:w w:val="93"/>
              </w:rPr>
              <w:t>31, 2020</w:t>
            </w: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w w:val="97"/>
              </w:rPr>
              <w:t>31, 2019</w:t>
            </w:r>
          </w:p>
        </w:tc>
        <w:tc>
          <w:tcPr>
            <w:tcW w:w="280" w:type="dxa"/>
            <w:vAlign w:val="bottom"/>
          </w:tcPr>
          <w:p>
            <w:pPr>
              <w:spacing w:after="0"/>
              <w:rPr>
                <w:sz w:val="12"/>
                <w:szCs w:val="12"/>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 2019</w:t>
            </w:r>
          </w:p>
        </w:tc>
        <w:tc>
          <w:tcPr>
            <w:tcW w:w="760" w:type="dxa"/>
            <w:vAlign w:val="bottom"/>
          </w:tcPr>
          <w:p>
            <w:pPr>
              <w:jc w:val="right"/>
              <w:ind w:right="423"/>
              <w:spacing w:after="0"/>
              <w:rPr>
                <w:sz w:val="20"/>
                <w:szCs w:val="20"/>
                <w:color w:val="auto"/>
              </w:rPr>
            </w:pPr>
            <w:r>
              <w:rPr>
                <w:rFonts w:ascii="Arial" w:cs="Arial" w:eastAsia="Arial" w:hAnsi="Arial"/>
                <w:sz w:val="11"/>
                <w:szCs w:val="11"/>
                <w:b w:val="1"/>
                <w:bCs w:val="1"/>
                <w:color w:val="auto"/>
              </w:rPr>
              <w:t>LC</w:t>
            </w:r>
          </w:p>
        </w:tc>
        <w:tc>
          <w:tcPr>
            <w:tcW w:w="4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FC</w:t>
            </w:r>
          </w:p>
        </w:tc>
      </w:tr>
      <w:tr>
        <w:trPr>
          <w:trHeight w:val="99"/>
        </w:trPr>
        <w:tc>
          <w:tcPr>
            <w:tcW w:w="30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gridSpan w:val="2"/>
          </w:tcPr>
          <w:p>
            <w:pPr>
              <w:jc w:val="right"/>
              <w:spacing w:after="0" w:line="100" w:lineRule="exact"/>
              <w:rPr>
                <w:sz w:val="20"/>
                <w:szCs w:val="20"/>
                <w:color w:val="auto"/>
              </w:rPr>
            </w:pPr>
            <w:r>
              <w:rPr>
                <w:rFonts w:ascii="Arial" w:cs="Arial" w:eastAsia="Arial" w:hAnsi="Arial"/>
                <w:sz w:val="11"/>
                <w:szCs w:val="11"/>
                <w:b w:val="1"/>
                <w:bCs w:val="1"/>
                <w:color w:val="auto"/>
                <w:w w:val="95"/>
              </w:rPr>
              <w:t>(Soles in millions, except</w:t>
            </w:r>
          </w:p>
        </w:tc>
        <w:tc>
          <w:tcPr>
            <w:tcW w:w="2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60" w:type="dxa"/>
            <w:vAlign w:val="bottom"/>
            <w:tcBorders>
              <w:top w:val="single" w:sz="8" w:color="auto"/>
            </w:tcBorders>
            <w:gridSpan w:val="4"/>
          </w:tcPr>
          <w:p>
            <w:pPr>
              <w:jc w:val="center"/>
              <w:spacing w:after="0" w:line="100" w:lineRule="exact"/>
              <w:rPr>
                <w:sz w:val="20"/>
                <w:szCs w:val="20"/>
                <w:color w:val="auto"/>
              </w:rPr>
            </w:pPr>
            <w:r>
              <w:rPr>
                <w:rFonts w:ascii="Arial" w:cs="Arial" w:eastAsia="Arial" w:hAnsi="Arial"/>
                <w:sz w:val="11"/>
                <w:szCs w:val="11"/>
                <w:b w:val="1"/>
                <w:bCs w:val="1"/>
                <w:color w:val="auto"/>
                <w:w w:val="93"/>
              </w:rPr>
              <w:t>(U.S. Dollars in millions, except</w:t>
            </w:r>
          </w:p>
        </w:tc>
        <w:tc>
          <w:tcPr>
            <w:tcW w:w="28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39"/>
        </w:trPr>
        <w:tc>
          <w:tcPr>
            <w:tcW w:w="3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0"/>
              </w:rPr>
              <w:t>percentages)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percentages)</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3"/>
        </w:trPr>
        <w:tc>
          <w:tcPr>
            <w:tcW w:w="302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BCP Stand-alone</w:t>
            </w:r>
          </w:p>
        </w:tc>
        <w:tc>
          <w:tcPr>
            <w:tcW w:w="540" w:type="dxa"/>
            <w:vAlign w:val="bottom"/>
            <w:shd w:val="clear" w:color="auto" w:fill="CCEEFF"/>
          </w:tcPr>
          <w:p>
            <w:pPr>
              <w:jc w:val="right"/>
              <w:ind w:right="43"/>
              <w:spacing w:after="0" w:line="123" w:lineRule="exact"/>
              <w:rPr>
                <w:sz w:val="20"/>
                <w:szCs w:val="20"/>
                <w:color w:val="auto"/>
              </w:rPr>
            </w:pPr>
            <w:r>
              <w:rPr>
                <w:rFonts w:ascii="Arial" w:cs="Arial" w:eastAsia="Arial" w:hAnsi="Arial"/>
                <w:sz w:val="11"/>
                <w:szCs w:val="11"/>
                <w:b w:val="1"/>
                <w:bCs w:val="1"/>
                <w:color w:val="auto"/>
              </w:rPr>
              <w:t>54,956</w:t>
            </w: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60,870</w:t>
            </w:r>
          </w:p>
        </w:tc>
        <w:tc>
          <w:tcPr>
            <w:tcW w:w="86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b w:val="1"/>
                <w:bCs w:val="1"/>
                <w:color w:val="auto"/>
              </w:rPr>
              <w:t>60,854</w:t>
            </w:r>
          </w:p>
        </w:tc>
        <w:tc>
          <w:tcPr>
            <w:tcW w:w="76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b w:val="1"/>
                <w:bCs w:val="1"/>
                <w:color w:val="auto"/>
              </w:rPr>
              <w:t>0.0%</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10.7%</w:t>
            </w:r>
          </w:p>
        </w:tc>
        <w:tc>
          <w:tcPr>
            <w:tcW w:w="620" w:type="dxa"/>
            <w:vAlign w:val="bottom"/>
            <w:gridSpan w:val="2"/>
            <w:shd w:val="clear" w:color="auto" w:fill="CCEEFF"/>
          </w:tcPr>
          <w:p>
            <w:pPr>
              <w:jc w:val="right"/>
              <w:ind w:right="100"/>
              <w:spacing w:after="0" w:line="123" w:lineRule="exact"/>
              <w:rPr>
                <w:sz w:val="20"/>
                <w:szCs w:val="20"/>
                <w:color w:val="auto"/>
              </w:rPr>
            </w:pPr>
            <w:r>
              <w:rPr>
                <w:rFonts w:ascii="Arial" w:cs="Arial" w:eastAsia="Arial" w:hAnsi="Arial"/>
                <w:sz w:val="11"/>
                <w:szCs w:val="11"/>
                <w:b w:val="1"/>
                <w:bCs w:val="1"/>
                <w:color w:val="auto"/>
              </w:rPr>
              <w:t>9,963</w:t>
            </w:r>
          </w:p>
        </w:tc>
        <w:tc>
          <w:tcPr>
            <w:tcW w:w="680" w:type="dxa"/>
            <w:vAlign w:val="bottom"/>
            <w:gridSpan w:val="2"/>
            <w:shd w:val="clear" w:color="auto" w:fill="CCEEFF"/>
          </w:tcPr>
          <w:p>
            <w:pPr>
              <w:jc w:val="right"/>
              <w:ind w:right="3"/>
              <w:spacing w:after="0" w:line="123" w:lineRule="exact"/>
              <w:rPr>
                <w:sz w:val="20"/>
                <w:szCs w:val="20"/>
                <w:color w:val="auto"/>
              </w:rPr>
            </w:pPr>
            <w:r>
              <w:rPr>
                <w:rFonts w:ascii="Arial" w:cs="Arial" w:eastAsia="Arial" w:hAnsi="Arial"/>
                <w:sz w:val="11"/>
                <w:szCs w:val="11"/>
                <w:b w:val="1"/>
                <w:bCs w:val="1"/>
                <w:color w:val="auto"/>
              </w:rPr>
              <w:t>10,000</w:t>
            </w:r>
          </w:p>
        </w:tc>
        <w:tc>
          <w:tcPr>
            <w:tcW w:w="82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b w:val="1"/>
                <w:bCs w:val="1"/>
                <w:color w:val="auto"/>
              </w:rPr>
              <w:t>10,009</w:t>
            </w:r>
          </w:p>
        </w:tc>
        <w:tc>
          <w:tcPr>
            <w:tcW w:w="76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b w:val="1"/>
                <w:bCs w:val="1"/>
                <w:color w:val="auto"/>
              </w:rPr>
              <w:t>0.1%</w:t>
            </w:r>
          </w:p>
        </w:tc>
        <w:tc>
          <w:tcPr>
            <w:tcW w:w="720" w:type="dxa"/>
            <w:vAlign w:val="bottom"/>
            <w:shd w:val="clear" w:color="auto" w:fill="CCEEFF"/>
          </w:tcPr>
          <w:p>
            <w:pPr>
              <w:jc w:val="right"/>
              <w:ind w:right="103"/>
              <w:spacing w:after="0" w:line="123" w:lineRule="exact"/>
              <w:rPr>
                <w:sz w:val="20"/>
                <w:szCs w:val="20"/>
                <w:color w:val="auto"/>
              </w:rPr>
            </w:pPr>
            <w:r>
              <w:rPr>
                <w:rFonts w:ascii="Arial" w:cs="Arial" w:eastAsia="Arial" w:hAnsi="Arial"/>
                <w:sz w:val="11"/>
                <w:szCs w:val="11"/>
                <w:b w:val="1"/>
                <w:bCs w:val="1"/>
                <w:color w:val="auto"/>
              </w:rPr>
              <w:t>0.5%</w:t>
            </w:r>
          </w:p>
        </w:tc>
        <w:tc>
          <w:tcPr>
            <w:tcW w:w="760" w:type="dxa"/>
            <w:vAlign w:val="bottom"/>
            <w:shd w:val="clear" w:color="auto" w:fill="CCEEFF"/>
          </w:tcPr>
          <w:p>
            <w:pPr>
              <w:jc w:val="right"/>
              <w:ind w:right="163"/>
              <w:spacing w:after="0" w:line="123" w:lineRule="exact"/>
              <w:rPr>
                <w:sz w:val="20"/>
                <w:szCs w:val="20"/>
                <w:color w:val="auto"/>
              </w:rPr>
            </w:pPr>
            <w:r>
              <w:rPr>
                <w:rFonts w:ascii="Arial" w:cs="Arial" w:eastAsia="Arial" w:hAnsi="Arial"/>
                <w:sz w:val="11"/>
                <w:szCs w:val="11"/>
                <w:b w:val="1"/>
                <w:bCs w:val="1"/>
                <w:color w:val="auto"/>
              </w:rPr>
              <w:t>64.0%</w:t>
            </w:r>
          </w:p>
        </w:tc>
        <w:tc>
          <w:tcPr>
            <w:tcW w:w="46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36.0%</w:t>
            </w:r>
          </w:p>
        </w:tc>
      </w:tr>
      <w:tr>
        <w:trPr>
          <w:trHeight w:val="123"/>
        </w:trPr>
        <w:tc>
          <w:tcPr>
            <w:tcW w:w="302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Wholesale Banking</w:t>
            </w:r>
          </w:p>
        </w:tc>
        <w:tc>
          <w:tcPr>
            <w:tcW w:w="54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auto"/>
              </w:rPr>
              <w:t>19,753</w:t>
            </w:r>
          </w:p>
        </w:tc>
        <w:tc>
          <w:tcPr>
            <w:tcW w:w="64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21,614</w:t>
            </w:r>
          </w:p>
        </w:tc>
        <w:tc>
          <w:tcPr>
            <w:tcW w:w="860" w:type="dxa"/>
            <w:vAlign w:val="bottom"/>
            <w:gridSpan w:val="2"/>
          </w:tcPr>
          <w:p>
            <w:pPr>
              <w:jc w:val="right"/>
              <w:ind w:right="220"/>
              <w:spacing w:after="0" w:line="123" w:lineRule="exact"/>
              <w:rPr>
                <w:sz w:val="20"/>
                <w:szCs w:val="20"/>
                <w:color w:val="auto"/>
              </w:rPr>
            </w:pPr>
            <w:r>
              <w:rPr>
                <w:rFonts w:ascii="Arial" w:cs="Arial" w:eastAsia="Arial" w:hAnsi="Arial"/>
                <w:sz w:val="11"/>
                <w:szCs w:val="11"/>
                <w:b w:val="1"/>
                <w:bCs w:val="1"/>
                <w:color w:val="auto"/>
              </w:rPr>
              <w:t>20,733</w:t>
            </w:r>
          </w:p>
        </w:tc>
        <w:tc>
          <w:tcPr>
            <w:tcW w:w="760" w:type="dxa"/>
            <w:vAlign w:val="bottom"/>
            <w:gridSpan w:val="2"/>
          </w:tcPr>
          <w:p>
            <w:pPr>
              <w:jc w:val="right"/>
              <w:ind w:right="120"/>
              <w:spacing w:after="0" w:line="123" w:lineRule="exact"/>
              <w:rPr>
                <w:sz w:val="20"/>
                <w:szCs w:val="20"/>
                <w:color w:val="auto"/>
              </w:rPr>
            </w:pPr>
            <w:r>
              <w:rPr>
                <w:rFonts w:ascii="Arial" w:cs="Arial" w:eastAsia="Arial" w:hAnsi="Arial"/>
                <w:sz w:val="11"/>
                <w:szCs w:val="11"/>
                <w:b w:val="1"/>
                <w:bCs w:val="1"/>
                <w:color w:val="auto"/>
              </w:rPr>
              <w:t>(4.1)%</w:t>
            </w:r>
          </w:p>
        </w:tc>
        <w:tc>
          <w:tcPr>
            <w:tcW w:w="60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5.0%</w:t>
            </w:r>
          </w:p>
        </w:tc>
        <w:tc>
          <w:tcPr>
            <w:tcW w:w="620" w:type="dxa"/>
            <w:vAlign w:val="bottom"/>
            <w:gridSpan w:val="2"/>
          </w:tcPr>
          <w:p>
            <w:pPr>
              <w:jc w:val="right"/>
              <w:ind w:right="100"/>
              <w:spacing w:after="0" w:line="123" w:lineRule="exact"/>
              <w:rPr>
                <w:sz w:val="20"/>
                <w:szCs w:val="20"/>
                <w:color w:val="auto"/>
              </w:rPr>
            </w:pPr>
            <w:r>
              <w:rPr>
                <w:rFonts w:ascii="Arial" w:cs="Arial" w:eastAsia="Arial" w:hAnsi="Arial"/>
                <w:sz w:val="11"/>
                <w:szCs w:val="11"/>
                <w:b w:val="1"/>
                <w:bCs w:val="1"/>
                <w:color w:val="auto"/>
              </w:rPr>
              <w:t>7,698</w:t>
            </w:r>
          </w:p>
        </w:tc>
        <w:tc>
          <w:tcPr>
            <w:tcW w:w="680" w:type="dxa"/>
            <w:vAlign w:val="bottom"/>
            <w:gridSpan w:val="2"/>
          </w:tcPr>
          <w:p>
            <w:pPr>
              <w:jc w:val="right"/>
              <w:ind w:right="3"/>
              <w:spacing w:after="0" w:line="123" w:lineRule="exact"/>
              <w:rPr>
                <w:sz w:val="20"/>
                <w:szCs w:val="20"/>
                <w:color w:val="auto"/>
              </w:rPr>
            </w:pPr>
            <w:r>
              <w:rPr>
                <w:rFonts w:ascii="Arial" w:cs="Arial" w:eastAsia="Arial" w:hAnsi="Arial"/>
                <w:sz w:val="11"/>
                <w:szCs w:val="11"/>
                <w:b w:val="1"/>
                <w:bCs w:val="1"/>
                <w:color w:val="auto"/>
              </w:rPr>
              <w:t>7,707</w:t>
            </w:r>
          </w:p>
        </w:tc>
        <w:tc>
          <w:tcPr>
            <w:tcW w:w="60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7,873</w:t>
            </w:r>
          </w:p>
        </w:tc>
        <w:tc>
          <w:tcPr>
            <w:tcW w:w="220" w:type="dxa"/>
            <w:vAlign w:val="bottom"/>
          </w:tcPr>
          <w:p>
            <w:pPr>
              <w:spacing w:after="0"/>
              <w:rPr>
                <w:sz w:val="10"/>
                <w:szCs w:val="10"/>
                <w:color w:val="auto"/>
              </w:rPr>
            </w:pPr>
          </w:p>
        </w:tc>
        <w:tc>
          <w:tcPr>
            <w:tcW w:w="760" w:type="dxa"/>
            <w:vAlign w:val="bottom"/>
            <w:gridSpan w:val="2"/>
          </w:tcPr>
          <w:p>
            <w:pPr>
              <w:jc w:val="right"/>
              <w:ind w:right="160"/>
              <w:spacing w:after="0" w:line="123" w:lineRule="exact"/>
              <w:rPr>
                <w:sz w:val="20"/>
                <w:szCs w:val="20"/>
                <w:color w:val="auto"/>
              </w:rPr>
            </w:pPr>
            <w:r>
              <w:rPr>
                <w:rFonts w:ascii="Arial" w:cs="Arial" w:eastAsia="Arial" w:hAnsi="Arial"/>
                <w:sz w:val="11"/>
                <w:szCs w:val="11"/>
                <w:b w:val="1"/>
                <w:bCs w:val="1"/>
                <w:color w:val="auto"/>
              </w:rPr>
              <w:t>2.2%</w:t>
            </w:r>
          </w:p>
        </w:tc>
        <w:tc>
          <w:tcPr>
            <w:tcW w:w="720" w:type="dxa"/>
            <w:vAlign w:val="bottom"/>
          </w:tcPr>
          <w:p>
            <w:pPr>
              <w:jc w:val="right"/>
              <w:ind w:right="103"/>
              <w:spacing w:after="0" w:line="123" w:lineRule="exact"/>
              <w:rPr>
                <w:sz w:val="20"/>
                <w:szCs w:val="20"/>
                <w:color w:val="auto"/>
              </w:rPr>
            </w:pPr>
            <w:r>
              <w:rPr>
                <w:rFonts w:ascii="Arial" w:cs="Arial" w:eastAsia="Arial" w:hAnsi="Arial"/>
                <w:sz w:val="11"/>
                <w:szCs w:val="11"/>
                <w:b w:val="1"/>
                <w:bCs w:val="1"/>
                <w:color w:val="auto"/>
              </w:rPr>
              <w:t>2.3%</w:t>
            </w:r>
          </w:p>
        </w:tc>
        <w:tc>
          <w:tcPr>
            <w:tcW w:w="760" w:type="dxa"/>
            <w:vAlign w:val="bottom"/>
          </w:tcPr>
          <w:p>
            <w:pPr>
              <w:jc w:val="right"/>
              <w:ind w:right="163"/>
              <w:spacing w:after="0" w:line="123" w:lineRule="exact"/>
              <w:rPr>
                <w:sz w:val="20"/>
                <w:szCs w:val="20"/>
                <w:color w:val="auto"/>
              </w:rPr>
            </w:pPr>
            <w:r>
              <w:rPr>
                <w:rFonts w:ascii="Arial" w:cs="Arial" w:eastAsia="Arial" w:hAnsi="Arial"/>
                <w:sz w:val="11"/>
                <w:szCs w:val="11"/>
                <w:b w:val="1"/>
                <w:bCs w:val="1"/>
                <w:color w:val="auto"/>
              </w:rPr>
              <w:t>43.5%</w:t>
            </w:r>
          </w:p>
        </w:tc>
        <w:tc>
          <w:tcPr>
            <w:tcW w:w="460" w:type="dxa"/>
            <w:vAlign w:val="bottom"/>
            <w:gridSpan w:val="2"/>
          </w:tcPr>
          <w:p>
            <w:pPr>
              <w:jc w:val="right"/>
              <w:spacing w:after="0" w:line="123" w:lineRule="exact"/>
              <w:rPr>
                <w:sz w:val="20"/>
                <w:szCs w:val="20"/>
                <w:color w:val="auto"/>
              </w:rPr>
            </w:pPr>
            <w:r>
              <w:rPr>
                <w:rFonts w:ascii="Arial" w:cs="Arial" w:eastAsia="Arial" w:hAnsi="Arial"/>
                <w:sz w:val="11"/>
                <w:szCs w:val="11"/>
                <w:b w:val="1"/>
                <w:bCs w:val="1"/>
                <w:color w:val="auto"/>
              </w:rPr>
              <w:t>56.5%</w:t>
            </w:r>
          </w:p>
        </w:tc>
      </w:tr>
      <w:tr>
        <w:trPr>
          <w:trHeight w:val="123"/>
        </w:trPr>
        <w:tc>
          <w:tcPr>
            <w:tcW w:w="3020" w:type="dxa"/>
            <w:vAlign w:val="bottom"/>
            <w:shd w:val="clear" w:color="auto" w:fill="CCEEFF"/>
          </w:tcPr>
          <w:p>
            <w:pPr>
              <w:ind w:left="300"/>
              <w:spacing w:after="0" w:line="123" w:lineRule="exact"/>
              <w:rPr>
                <w:sz w:val="20"/>
                <w:szCs w:val="20"/>
                <w:color w:val="auto"/>
              </w:rPr>
            </w:pPr>
            <w:r>
              <w:rPr>
                <w:rFonts w:ascii="Arial" w:cs="Arial" w:eastAsia="Arial" w:hAnsi="Arial"/>
                <w:sz w:val="11"/>
                <w:szCs w:val="11"/>
                <w:color w:val="auto"/>
              </w:rPr>
              <w:t>Corporate</w:t>
            </w:r>
          </w:p>
        </w:tc>
        <w:tc>
          <w:tcPr>
            <w:tcW w:w="540" w:type="dxa"/>
            <w:vAlign w:val="bottom"/>
            <w:shd w:val="clear" w:color="auto" w:fill="CCEEFF"/>
          </w:tcPr>
          <w:p>
            <w:pPr>
              <w:jc w:val="right"/>
              <w:ind w:right="43"/>
              <w:spacing w:after="0" w:line="123" w:lineRule="exact"/>
              <w:rPr>
                <w:sz w:val="20"/>
                <w:szCs w:val="20"/>
                <w:color w:val="auto"/>
              </w:rPr>
            </w:pPr>
            <w:r>
              <w:rPr>
                <w:rFonts w:ascii="Arial" w:cs="Arial" w:eastAsia="Arial" w:hAnsi="Arial"/>
                <w:sz w:val="11"/>
                <w:szCs w:val="11"/>
                <w:color w:val="auto"/>
              </w:rPr>
              <w:t>11,551</w:t>
            </w: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12,854</w:t>
            </w:r>
          </w:p>
        </w:tc>
        <w:tc>
          <w:tcPr>
            <w:tcW w:w="86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12,186</w:t>
            </w:r>
          </w:p>
        </w:tc>
        <w:tc>
          <w:tcPr>
            <w:tcW w:w="76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(5.2)%</w:t>
            </w:r>
          </w:p>
        </w:tc>
        <w:tc>
          <w:tcPr>
            <w:tcW w:w="600" w:type="dxa"/>
            <w:vAlign w:val="bottom"/>
            <w:shd w:val="clear" w:color="auto" w:fill="CCEEFF"/>
          </w:tcPr>
          <w:p>
            <w:pPr>
              <w:jc w:val="right"/>
              <w:ind w:right="3"/>
              <w:spacing w:after="0" w:line="123" w:lineRule="exact"/>
              <w:rPr>
                <w:sz w:val="20"/>
                <w:szCs w:val="20"/>
                <w:color w:val="auto"/>
              </w:rPr>
            </w:pPr>
            <w:r>
              <w:rPr>
                <w:rFonts w:ascii="Arial" w:cs="Arial" w:eastAsia="Arial" w:hAnsi="Arial"/>
                <w:sz w:val="11"/>
                <w:szCs w:val="11"/>
                <w:color w:val="auto"/>
              </w:rPr>
              <w:t>5.5%</w:t>
            </w:r>
          </w:p>
        </w:tc>
        <w:tc>
          <w:tcPr>
            <w:tcW w:w="620" w:type="dxa"/>
            <w:vAlign w:val="bottom"/>
            <w:gridSpan w:val="2"/>
            <w:shd w:val="clear" w:color="auto" w:fill="CCEEFF"/>
          </w:tcPr>
          <w:p>
            <w:pPr>
              <w:jc w:val="right"/>
              <w:ind w:right="100"/>
              <w:spacing w:after="0" w:line="123" w:lineRule="exact"/>
              <w:rPr>
                <w:sz w:val="20"/>
                <w:szCs w:val="20"/>
                <w:color w:val="auto"/>
              </w:rPr>
            </w:pPr>
            <w:r>
              <w:rPr>
                <w:rFonts w:ascii="Arial" w:cs="Arial" w:eastAsia="Arial" w:hAnsi="Arial"/>
                <w:sz w:val="11"/>
                <w:szCs w:val="11"/>
                <w:color w:val="auto"/>
              </w:rPr>
              <w:t>4,857</w:t>
            </w:r>
          </w:p>
        </w:tc>
        <w:tc>
          <w:tcPr>
            <w:tcW w:w="680" w:type="dxa"/>
            <w:vAlign w:val="bottom"/>
            <w:gridSpan w:val="2"/>
            <w:shd w:val="clear" w:color="auto" w:fill="CCEEFF"/>
          </w:tcPr>
          <w:p>
            <w:pPr>
              <w:jc w:val="right"/>
              <w:ind w:right="3"/>
              <w:spacing w:after="0" w:line="123" w:lineRule="exact"/>
              <w:rPr>
                <w:sz w:val="20"/>
                <w:szCs w:val="20"/>
                <w:color w:val="auto"/>
              </w:rPr>
            </w:pPr>
            <w:r>
              <w:rPr>
                <w:rFonts w:ascii="Arial" w:cs="Arial" w:eastAsia="Arial" w:hAnsi="Arial"/>
                <w:sz w:val="11"/>
                <w:szCs w:val="11"/>
                <w:color w:val="auto"/>
              </w:rPr>
              <w:t>4,775</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4,959</w:t>
            </w:r>
          </w:p>
        </w:tc>
        <w:tc>
          <w:tcPr>
            <w:tcW w:w="2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3.9%</w:t>
            </w:r>
          </w:p>
        </w:tc>
        <w:tc>
          <w:tcPr>
            <w:tcW w:w="720" w:type="dxa"/>
            <w:vAlign w:val="bottom"/>
            <w:shd w:val="clear" w:color="auto" w:fill="CCEEFF"/>
          </w:tcPr>
          <w:p>
            <w:pPr>
              <w:jc w:val="right"/>
              <w:ind w:right="123"/>
              <w:spacing w:after="0" w:line="123" w:lineRule="exact"/>
              <w:rPr>
                <w:sz w:val="20"/>
                <w:szCs w:val="20"/>
                <w:color w:val="auto"/>
              </w:rPr>
            </w:pPr>
            <w:r>
              <w:rPr>
                <w:rFonts w:ascii="Arial" w:cs="Arial" w:eastAsia="Arial" w:hAnsi="Arial"/>
                <w:sz w:val="11"/>
                <w:szCs w:val="11"/>
                <w:color w:val="auto"/>
              </w:rPr>
              <w:t>2.1%</w:t>
            </w:r>
          </w:p>
        </w:tc>
        <w:tc>
          <w:tcPr>
            <w:tcW w:w="760" w:type="dxa"/>
            <w:vAlign w:val="bottom"/>
            <w:shd w:val="clear" w:color="auto" w:fill="CCEEFF"/>
          </w:tcPr>
          <w:p>
            <w:pPr>
              <w:jc w:val="right"/>
              <w:ind w:right="183"/>
              <w:spacing w:after="0" w:line="123" w:lineRule="exact"/>
              <w:rPr>
                <w:sz w:val="20"/>
                <w:szCs w:val="20"/>
                <w:color w:val="auto"/>
              </w:rPr>
            </w:pPr>
            <w:r>
              <w:rPr>
                <w:rFonts w:ascii="Arial" w:cs="Arial" w:eastAsia="Arial" w:hAnsi="Arial"/>
                <w:sz w:val="11"/>
                <w:szCs w:val="11"/>
                <w:color w:val="auto"/>
              </w:rPr>
              <w:t>41.8%</w:t>
            </w:r>
          </w:p>
        </w:tc>
        <w:tc>
          <w:tcPr>
            <w:tcW w:w="46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58.2%</w:t>
            </w:r>
          </w:p>
        </w:tc>
      </w:tr>
      <w:tr>
        <w:trPr>
          <w:trHeight w:val="123"/>
        </w:trPr>
        <w:tc>
          <w:tcPr>
            <w:tcW w:w="3020" w:type="dxa"/>
            <w:vAlign w:val="bottom"/>
          </w:tcPr>
          <w:p>
            <w:pPr>
              <w:ind w:left="300"/>
              <w:spacing w:after="0" w:line="123" w:lineRule="exact"/>
              <w:rPr>
                <w:sz w:val="20"/>
                <w:szCs w:val="20"/>
                <w:color w:val="auto"/>
              </w:rPr>
            </w:pPr>
            <w:r>
              <w:rPr>
                <w:rFonts w:ascii="Arial" w:cs="Arial" w:eastAsia="Arial" w:hAnsi="Arial"/>
                <w:sz w:val="11"/>
                <w:szCs w:val="11"/>
                <w:color w:val="auto"/>
              </w:rPr>
              <w:t>Middle-Market</w:t>
            </w:r>
          </w:p>
        </w:tc>
        <w:tc>
          <w:tcPr>
            <w:tcW w:w="540" w:type="dxa"/>
            <w:vAlign w:val="bottom"/>
          </w:tcPr>
          <w:p>
            <w:pPr>
              <w:jc w:val="right"/>
              <w:ind w:right="43"/>
              <w:spacing w:after="0" w:line="123" w:lineRule="exact"/>
              <w:rPr>
                <w:sz w:val="20"/>
                <w:szCs w:val="20"/>
                <w:color w:val="auto"/>
              </w:rPr>
            </w:pPr>
            <w:r>
              <w:rPr>
                <w:rFonts w:ascii="Arial" w:cs="Arial" w:eastAsia="Arial" w:hAnsi="Arial"/>
                <w:sz w:val="11"/>
                <w:szCs w:val="11"/>
                <w:color w:val="auto"/>
              </w:rPr>
              <w:t>8,202</w:t>
            </w: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8,760</w:t>
            </w:r>
          </w:p>
        </w:tc>
        <w:tc>
          <w:tcPr>
            <w:tcW w:w="86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8,546</w:t>
            </w:r>
          </w:p>
        </w:tc>
        <w:tc>
          <w:tcPr>
            <w:tcW w:w="7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(2.4)%</w:t>
            </w:r>
          </w:p>
        </w:tc>
        <w:tc>
          <w:tcPr>
            <w:tcW w:w="600" w:type="dxa"/>
            <w:vAlign w:val="bottom"/>
          </w:tcPr>
          <w:p>
            <w:pPr>
              <w:jc w:val="right"/>
              <w:ind w:right="3"/>
              <w:spacing w:after="0" w:line="123" w:lineRule="exact"/>
              <w:rPr>
                <w:sz w:val="20"/>
                <w:szCs w:val="20"/>
                <w:color w:val="auto"/>
              </w:rPr>
            </w:pPr>
            <w:r>
              <w:rPr>
                <w:rFonts w:ascii="Arial" w:cs="Arial" w:eastAsia="Arial" w:hAnsi="Arial"/>
                <w:sz w:val="11"/>
                <w:szCs w:val="11"/>
                <w:color w:val="auto"/>
              </w:rPr>
              <w:t>4.2%</w:t>
            </w:r>
          </w:p>
        </w:tc>
        <w:tc>
          <w:tcPr>
            <w:tcW w:w="620" w:type="dxa"/>
            <w:vAlign w:val="bottom"/>
            <w:gridSpan w:val="2"/>
          </w:tcPr>
          <w:p>
            <w:pPr>
              <w:jc w:val="right"/>
              <w:ind w:right="100"/>
              <w:spacing w:after="0" w:line="123" w:lineRule="exact"/>
              <w:rPr>
                <w:sz w:val="20"/>
                <w:szCs w:val="20"/>
                <w:color w:val="auto"/>
              </w:rPr>
            </w:pPr>
            <w:r>
              <w:rPr>
                <w:rFonts w:ascii="Arial" w:cs="Arial" w:eastAsia="Arial" w:hAnsi="Arial"/>
                <w:sz w:val="11"/>
                <w:szCs w:val="11"/>
                <w:color w:val="auto"/>
              </w:rPr>
              <w:t>2,841</w:t>
            </w:r>
          </w:p>
        </w:tc>
        <w:tc>
          <w:tcPr>
            <w:tcW w:w="680" w:type="dxa"/>
            <w:vAlign w:val="bottom"/>
            <w:gridSpan w:val="2"/>
          </w:tcPr>
          <w:p>
            <w:pPr>
              <w:jc w:val="right"/>
              <w:ind w:right="3"/>
              <w:spacing w:after="0" w:line="123" w:lineRule="exact"/>
              <w:rPr>
                <w:sz w:val="20"/>
                <w:szCs w:val="20"/>
                <w:color w:val="auto"/>
              </w:rPr>
            </w:pPr>
            <w:r>
              <w:rPr>
                <w:rFonts w:ascii="Arial" w:cs="Arial" w:eastAsia="Arial" w:hAnsi="Arial"/>
                <w:sz w:val="11"/>
                <w:szCs w:val="11"/>
                <w:color w:val="auto"/>
              </w:rPr>
              <w:t>2,931</w:t>
            </w: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2,914</w:t>
            </w:r>
          </w:p>
        </w:tc>
        <w:tc>
          <w:tcPr>
            <w:tcW w:w="220" w:type="dxa"/>
            <w:vAlign w:val="bottom"/>
          </w:tcPr>
          <w:p>
            <w:pPr>
              <w:spacing w:after="0"/>
              <w:rPr>
                <w:sz w:val="10"/>
                <w:szCs w:val="10"/>
                <w:color w:val="auto"/>
              </w:rPr>
            </w:pPr>
          </w:p>
        </w:tc>
        <w:tc>
          <w:tcPr>
            <w:tcW w:w="7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(0.6)%</w:t>
            </w:r>
          </w:p>
        </w:tc>
        <w:tc>
          <w:tcPr>
            <w:tcW w:w="720" w:type="dxa"/>
            <w:vAlign w:val="bottom"/>
          </w:tcPr>
          <w:p>
            <w:pPr>
              <w:jc w:val="right"/>
              <w:ind w:right="123"/>
              <w:spacing w:after="0" w:line="123" w:lineRule="exact"/>
              <w:rPr>
                <w:sz w:val="20"/>
                <w:szCs w:val="20"/>
                <w:color w:val="auto"/>
              </w:rPr>
            </w:pPr>
            <w:r>
              <w:rPr>
                <w:rFonts w:ascii="Arial" w:cs="Arial" w:eastAsia="Arial" w:hAnsi="Arial"/>
                <w:sz w:val="11"/>
                <w:szCs w:val="11"/>
                <w:color w:val="auto"/>
              </w:rPr>
              <w:t>2.6%</w:t>
            </w:r>
          </w:p>
        </w:tc>
        <w:tc>
          <w:tcPr>
            <w:tcW w:w="760" w:type="dxa"/>
            <w:vAlign w:val="bottom"/>
          </w:tcPr>
          <w:p>
            <w:pPr>
              <w:jc w:val="right"/>
              <w:ind w:right="183"/>
              <w:spacing w:after="0" w:line="123" w:lineRule="exact"/>
              <w:rPr>
                <w:sz w:val="20"/>
                <w:szCs w:val="20"/>
                <w:color w:val="auto"/>
              </w:rPr>
            </w:pPr>
            <w:r>
              <w:rPr>
                <w:rFonts w:ascii="Arial" w:cs="Arial" w:eastAsia="Arial" w:hAnsi="Arial"/>
                <w:sz w:val="11"/>
                <w:szCs w:val="11"/>
                <w:color w:val="auto"/>
              </w:rPr>
              <w:t>46.2%</w:t>
            </w:r>
          </w:p>
        </w:tc>
        <w:tc>
          <w:tcPr>
            <w:tcW w:w="46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53.8%</w:t>
            </w:r>
          </w:p>
        </w:tc>
      </w:tr>
      <w:tr>
        <w:trPr>
          <w:trHeight w:val="123"/>
        </w:trPr>
        <w:tc>
          <w:tcPr>
            <w:tcW w:w="3020" w:type="dxa"/>
            <w:vAlign w:val="bottom"/>
            <w:shd w:val="clear" w:color="auto" w:fill="CCEEFF"/>
          </w:tcPr>
          <w:p>
            <w:pPr>
              <w:ind w:left="140"/>
              <w:spacing w:after="0" w:line="123" w:lineRule="exact"/>
              <w:rPr>
                <w:sz w:val="20"/>
                <w:szCs w:val="20"/>
                <w:color w:val="auto"/>
              </w:rPr>
            </w:pPr>
            <w:r>
              <w:rPr>
                <w:rFonts w:ascii="Arial" w:cs="Arial" w:eastAsia="Arial" w:hAnsi="Arial"/>
                <w:sz w:val="11"/>
                <w:szCs w:val="11"/>
                <w:b w:val="1"/>
                <w:bCs w:val="1"/>
                <w:color w:val="auto"/>
              </w:rPr>
              <w:t>Retail Banking</w:t>
            </w:r>
          </w:p>
        </w:tc>
        <w:tc>
          <w:tcPr>
            <w:tcW w:w="540" w:type="dxa"/>
            <w:vAlign w:val="bottom"/>
            <w:shd w:val="clear" w:color="auto" w:fill="CCEEFF"/>
          </w:tcPr>
          <w:p>
            <w:pPr>
              <w:jc w:val="right"/>
              <w:ind w:right="43"/>
              <w:spacing w:after="0" w:line="123" w:lineRule="exact"/>
              <w:rPr>
                <w:sz w:val="20"/>
                <w:szCs w:val="20"/>
                <w:color w:val="auto"/>
              </w:rPr>
            </w:pPr>
            <w:r>
              <w:rPr>
                <w:rFonts w:ascii="Arial" w:cs="Arial" w:eastAsia="Arial" w:hAnsi="Arial"/>
                <w:sz w:val="11"/>
                <w:szCs w:val="11"/>
                <w:b w:val="1"/>
                <w:bCs w:val="1"/>
                <w:color w:val="auto"/>
              </w:rPr>
              <w:t>35,203</w:t>
            </w: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39,257</w:t>
            </w:r>
          </w:p>
        </w:tc>
        <w:tc>
          <w:tcPr>
            <w:tcW w:w="86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b w:val="1"/>
                <w:bCs w:val="1"/>
                <w:color w:val="auto"/>
              </w:rPr>
              <w:t>40,122</w:t>
            </w:r>
          </w:p>
        </w:tc>
        <w:tc>
          <w:tcPr>
            <w:tcW w:w="76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b w:val="1"/>
                <w:bCs w:val="1"/>
                <w:color w:val="auto"/>
              </w:rPr>
              <w:t>2.2%</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14.0%</w:t>
            </w:r>
          </w:p>
        </w:tc>
        <w:tc>
          <w:tcPr>
            <w:tcW w:w="620" w:type="dxa"/>
            <w:vAlign w:val="bottom"/>
            <w:gridSpan w:val="2"/>
            <w:shd w:val="clear" w:color="auto" w:fill="CCEEFF"/>
          </w:tcPr>
          <w:p>
            <w:pPr>
              <w:jc w:val="right"/>
              <w:ind w:right="100"/>
              <w:spacing w:after="0" w:line="123" w:lineRule="exact"/>
              <w:rPr>
                <w:sz w:val="20"/>
                <w:szCs w:val="20"/>
                <w:color w:val="auto"/>
              </w:rPr>
            </w:pPr>
            <w:r>
              <w:rPr>
                <w:rFonts w:ascii="Arial" w:cs="Arial" w:eastAsia="Arial" w:hAnsi="Arial"/>
                <w:sz w:val="11"/>
                <w:szCs w:val="11"/>
                <w:b w:val="1"/>
                <w:bCs w:val="1"/>
                <w:color w:val="auto"/>
              </w:rPr>
              <w:t>2,265</w:t>
            </w:r>
          </w:p>
        </w:tc>
        <w:tc>
          <w:tcPr>
            <w:tcW w:w="680" w:type="dxa"/>
            <w:vAlign w:val="bottom"/>
            <w:gridSpan w:val="2"/>
            <w:shd w:val="clear" w:color="auto" w:fill="CCEEFF"/>
          </w:tcPr>
          <w:p>
            <w:pPr>
              <w:jc w:val="right"/>
              <w:ind w:right="3"/>
              <w:spacing w:after="0" w:line="123" w:lineRule="exact"/>
              <w:rPr>
                <w:sz w:val="20"/>
                <w:szCs w:val="20"/>
                <w:color w:val="auto"/>
              </w:rPr>
            </w:pPr>
            <w:r>
              <w:rPr>
                <w:rFonts w:ascii="Arial" w:cs="Arial" w:eastAsia="Arial" w:hAnsi="Arial"/>
                <w:sz w:val="11"/>
                <w:szCs w:val="11"/>
                <w:b w:val="1"/>
                <w:bCs w:val="1"/>
                <w:color w:val="auto"/>
              </w:rPr>
              <w:t>2,293</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2,136</w:t>
            </w:r>
          </w:p>
        </w:tc>
        <w:tc>
          <w:tcPr>
            <w:tcW w:w="2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b w:val="1"/>
                <w:bCs w:val="1"/>
                <w:color w:val="auto"/>
              </w:rPr>
              <w:t>(6.9)%</w:t>
            </w:r>
          </w:p>
        </w:tc>
        <w:tc>
          <w:tcPr>
            <w:tcW w:w="720" w:type="dxa"/>
            <w:vAlign w:val="bottom"/>
            <w:shd w:val="clear" w:color="auto" w:fill="CCEEFF"/>
          </w:tcPr>
          <w:p>
            <w:pPr>
              <w:jc w:val="right"/>
              <w:ind w:right="63"/>
              <w:spacing w:after="0" w:line="123" w:lineRule="exact"/>
              <w:rPr>
                <w:sz w:val="20"/>
                <w:szCs w:val="20"/>
                <w:color w:val="auto"/>
              </w:rPr>
            </w:pPr>
            <w:r>
              <w:rPr>
                <w:rFonts w:ascii="Arial" w:cs="Arial" w:eastAsia="Arial" w:hAnsi="Arial"/>
                <w:sz w:val="11"/>
                <w:szCs w:val="11"/>
                <w:b w:val="1"/>
                <w:bCs w:val="1"/>
                <w:color w:val="auto"/>
              </w:rPr>
              <w:t>(5.7)%</w:t>
            </w:r>
          </w:p>
        </w:tc>
        <w:tc>
          <w:tcPr>
            <w:tcW w:w="760" w:type="dxa"/>
            <w:vAlign w:val="bottom"/>
            <w:shd w:val="clear" w:color="auto" w:fill="CCEEFF"/>
          </w:tcPr>
          <w:p>
            <w:pPr>
              <w:jc w:val="right"/>
              <w:ind w:right="163"/>
              <w:spacing w:after="0" w:line="123" w:lineRule="exact"/>
              <w:rPr>
                <w:sz w:val="20"/>
                <w:szCs w:val="20"/>
                <w:color w:val="auto"/>
              </w:rPr>
            </w:pPr>
            <w:r>
              <w:rPr>
                <w:rFonts w:ascii="Arial" w:cs="Arial" w:eastAsia="Arial" w:hAnsi="Arial"/>
                <w:sz w:val="11"/>
                <w:szCs w:val="11"/>
                <w:b w:val="1"/>
                <w:bCs w:val="1"/>
                <w:color w:val="auto"/>
              </w:rPr>
              <w:t>84.6%</w:t>
            </w:r>
          </w:p>
        </w:tc>
        <w:tc>
          <w:tcPr>
            <w:tcW w:w="46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15.4%</w:t>
            </w:r>
          </w:p>
        </w:tc>
      </w:tr>
      <w:tr>
        <w:trPr>
          <w:trHeight w:val="123"/>
        </w:trPr>
        <w:tc>
          <w:tcPr>
            <w:tcW w:w="3020" w:type="dxa"/>
            <w:vAlign w:val="bottom"/>
          </w:tcPr>
          <w:p>
            <w:pPr>
              <w:ind w:left="300"/>
              <w:spacing w:after="0" w:line="123" w:lineRule="exact"/>
              <w:rPr>
                <w:sz w:val="20"/>
                <w:szCs w:val="20"/>
                <w:color w:val="auto"/>
              </w:rPr>
            </w:pPr>
            <w:r>
              <w:rPr>
                <w:rFonts w:ascii="Arial" w:cs="Arial" w:eastAsia="Arial" w:hAnsi="Arial"/>
                <w:sz w:val="11"/>
                <w:szCs w:val="11"/>
                <w:color w:val="auto"/>
              </w:rPr>
              <w:t>SME – Business</w:t>
            </w:r>
          </w:p>
        </w:tc>
        <w:tc>
          <w:tcPr>
            <w:tcW w:w="540" w:type="dxa"/>
            <w:vAlign w:val="bottom"/>
          </w:tcPr>
          <w:p>
            <w:pPr>
              <w:jc w:val="right"/>
              <w:ind w:right="43"/>
              <w:spacing w:after="0" w:line="123" w:lineRule="exact"/>
              <w:rPr>
                <w:sz w:val="20"/>
                <w:szCs w:val="20"/>
                <w:color w:val="auto"/>
              </w:rPr>
            </w:pPr>
            <w:r>
              <w:rPr>
                <w:rFonts w:ascii="Arial" w:cs="Arial" w:eastAsia="Arial" w:hAnsi="Arial"/>
                <w:sz w:val="11"/>
                <w:szCs w:val="11"/>
                <w:color w:val="auto"/>
              </w:rPr>
              <w:t>2,490</w:t>
            </w: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2,695</w:t>
            </w:r>
          </w:p>
        </w:tc>
        <w:tc>
          <w:tcPr>
            <w:tcW w:w="86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2,624</w:t>
            </w:r>
          </w:p>
        </w:tc>
        <w:tc>
          <w:tcPr>
            <w:tcW w:w="7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(2.6)%</w:t>
            </w:r>
          </w:p>
        </w:tc>
        <w:tc>
          <w:tcPr>
            <w:tcW w:w="600" w:type="dxa"/>
            <w:vAlign w:val="bottom"/>
          </w:tcPr>
          <w:p>
            <w:pPr>
              <w:jc w:val="right"/>
              <w:ind w:right="3"/>
              <w:spacing w:after="0" w:line="123" w:lineRule="exact"/>
              <w:rPr>
                <w:sz w:val="20"/>
                <w:szCs w:val="20"/>
                <w:color w:val="auto"/>
              </w:rPr>
            </w:pPr>
            <w:r>
              <w:rPr>
                <w:rFonts w:ascii="Arial" w:cs="Arial" w:eastAsia="Arial" w:hAnsi="Arial"/>
                <w:sz w:val="11"/>
                <w:szCs w:val="11"/>
                <w:color w:val="auto"/>
              </w:rPr>
              <w:t>5.4%</w:t>
            </w:r>
          </w:p>
        </w:tc>
        <w:tc>
          <w:tcPr>
            <w:tcW w:w="620" w:type="dxa"/>
            <w:vAlign w:val="bottom"/>
            <w:gridSpan w:val="2"/>
          </w:tcPr>
          <w:p>
            <w:pPr>
              <w:jc w:val="right"/>
              <w:ind w:right="100"/>
              <w:spacing w:after="0" w:line="123" w:lineRule="exact"/>
              <w:rPr>
                <w:sz w:val="20"/>
                <w:szCs w:val="20"/>
                <w:color w:val="auto"/>
              </w:rPr>
            </w:pPr>
            <w:r>
              <w:rPr>
                <w:rFonts w:ascii="Arial" w:cs="Arial" w:eastAsia="Arial" w:hAnsi="Arial"/>
                <w:sz w:val="11"/>
                <w:szCs w:val="11"/>
                <w:color w:val="auto"/>
              </w:rPr>
              <w:t>834</w:t>
            </w:r>
          </w:p>
        </w:tc>
        <w:tc>
          <w:tcPr>
            <w:tcW w:w="680" w:type="dxa"/>
            <w:vAlign w:val="bottom"/>
            <w:gridSpan w:val="2"/>
          </w:tcPr>
          <w:p>
            <w:pPr>
              <w:jc w:val="right"/>
              <w:ind w:right="3"/>
              <w:spacing w:after="0" w:line="123" w:lineRule="exact"/>
              <w:rPr>
                <w:sz w:val="20"/>
                <w:szCs w:val="20"/>
                <w:color w:val="auto"/>
              </w:rPr>
            </w:pPr>
            <w:r>
              <w:rPr>
                <w:rFonts w:ascii="Arial" w:cs="Arial" w:eastAsia="Arial" w:hAnsi="Arial"/>
                <w:sz w:val="11"/>
                <w:szCs w:val="11"/>
                <w:color w:val="auto"/>
              </w:rPr>
              <w:t>928</w:t>
            </w:r>
          </w:p>
        </w:tc>
        <w:tc>
          <w:tcPr>
            <w:tcW w:w="82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828</w:t>
            </w:r>
          </w:p>
        </w:tc>
        <w:tc>
          <w:tcPr>
            <w:tcW w:w="7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(10.8)%</w:t>
            </w:r>
          </w:p>
        </w:tc>
        <w:tc>
          <w:tcPr>
            <w:tcW w:w="720" w:type="dxa"/>
            <w:vAlign w:val="bottom"/>
          </w:tcPr>
          <w:p>
            <w:pPr>
              <w:jc w:val="right"/>
              <w:ind w:right="83"/>
              <w:spacing w:after="0" w:line="123" w:lineRule="exact"/>
              <w:rPr>
                <w:sz w:val="20"/>
                <w:szCs w:val="20"/>
                <w:color w:val="auto"/>
              </w:rPr>
            </w:pPr>
            <w:r>
              <w:rPr>
                <w:rFonts w:ascii="Arial" w:cs="Arial" w:eastAsia="Arial" w:hAnsi="Arial"/>
                <w:sz w:val="11"/>
                <w:szCs w:val="11"/>
                <w:color w:val="auto"/>
              </w:rPr>
              <w:t>(0.7)%</w:t>
            </w:r>
          </w:p>
        </w:tc>
        <w:tc>
          <w:tcPr>
            <w:tcW w:w="760" w:type="dxa"/>
            <w:vAlign w:val="bottom"/>
          </w:tcPr>
          <w:p>
            <w:pPr>
              <w:jc w:val="right"/>
              <w:ind w:right="183"/>
              <w:spacing w:after="0" w:line="123" w:lineRule="exact"/>
              <w:rPr>
                <w:sz w:val="20"/>
                <w:szCs w:val="20"/>
                <w:color w:val="auto"/>
              </w:rPr>
            </w:pPr>
            <w:r>
              <w:rPr>
                <w:rFonts w:ascii="Arial" w:cs="Arial" w:eastAsia="Arial" w:hAnsi="Arial"/>
                <w:sz w:val="11"/>
                <w:szCs w:val="11"/>
                <w:color w:val="auto"/>
              </w:rPr>
              <w:t>48.1%</w:t>
            </w:r>
          </w:p>
        </w:tc>
        <w:tc>
          <w:tcPr>
            <w:tcW w:w="46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51.9%</w:t>
            </w:r>
          </w:p>
        </w:tc>
      </w:tr>
      <w:tr>
        <w:trPr>
          <w:trHeight w:val="123"/>
        </w:trPr>
        <w:tc>
          <w:tcPr>
            <w:tcW w:w="3020" w:type="dxa"/>
            <w:vAlign w:val="bottom"/>
            <w:shd w:val="clear" w:color="auto" w:fill="CCEEFF"/>
          </w:tcPr>
          <w:p>
            <w:pPr>
              <w:ind w:left="300"/>
              <w:spacing w:after="0" w:line="123" w:lineRule="exact"/>
              <w:rPr>
                <w:sz w:val="20"/>
                <w:szCs w:val="20"/>
                <w:color w:val="auto"/>
              </w:rPr>
            </w:pPr>
            <w:r>
              <w:rPr>
                <w:rFonts w:ascii="Arial" w:cs="Arial" w:eastAsia="Arial" w:hAnsi="Arial"/>
                <w:sz w:val="11"/>
                <w:szCs w:val="11"/>
                <w:color w:val="auto"/>
              </w:rPr>
              <w:t>SME – Pyme</w:t>
            </w:r>
          </w:p>
        </w:tc>
        <w:tc>
          <w:tcPr>
            <w:tcW w:w="540" w:type="dxa"/>
            <w:vAlign w:val="bottom"/>
            <w:shd w:val="clear" w:color="auto" w:fill="CCEEFF"/>
          </w:tcPr>
          <w:p>
            <w:pPr>
              <w:jc w:val="right"/>
              <w:ind w:right="43"/>
              <w:spacing w:after="0" w:line="123" w:lineRule="exact"/>
              <w:rPr>
                <w:sz w:val="20"/>
                <w:szCs w:val="20"/>
                <w:color w:val="auto"/>
              </w:rPr>
            </w:pPr>
            <w:r>
              <w:rPr>
                <w:rFonts w:ascii="Arial" w:cs="Arial" w:eastAsia="Arial" w:hAnsi="Arial"/>
                <w:sz w:val="11"/>
                <w:szCs w:val="11"/>
                <w:color w:val="auto"/>
              </w:rPr>
              <w:t>9,161</w:t>
            </w: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9,982</w:t>
            </w:r>
          </w:p>
        </w:tc>
        <w:tc>
          <w:tcPr>
            <w:tcW w:w="86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10,104</w:t>
            </w:r>
          </w:p>
        </w:tc>
        <w:tc>
          <w:tcPr>
            <w:tcW w:w="76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1.2%</w:t>
            </w:r>
          </w:p>
        </w:tc>
        <w:tc>
          <w:tcPr>
            <w:tcW w:w="600" w:type="dxa"/>
            <w:vAlign w:val="bottom"/>
            <w:shd w:val="clear" w:color="auto" w:fill="CCEEFF"/>
          </w:tcPr>
          <w:p>
            <w:pPr>
              <w:jc w:val="right"/>
              <w:ind w:right="3"/>
              <w:spacing w:after="0" w:line="123" w:lineRule="exact"/>
              <w:rPr>
                <w:sz w:val="20"/>
                <w:szCs w:val="20"/>
                <w:color w:val="auto"/>
              </w:rPr>
            </w:pPr>
            <w:r>
              <w:rPr>
                <w:rFonts w:ascii="Arial" w:cs="Arial" w:eastAsia="Arial" w:hAnsi="Arial"/>
                <w:sz w:val="11"/>
                <w:szCs w:val="11"/>
                <w:color w:val="auto"/>
              </w:rPr>
              <w:t>10.3%</w:t>
            </w:r>
          </w:p>
        </w:tc>
        <w:tc>
          <w:tcPr>
            <w:tcW w:w="620" w:type="dxa"/>
            <w:vAlign w:val="bottom"/>
            <w:gridSpan w:val="2"/>
            <w:shd w:val="clear" w:color="auto" w:fill="CCEEFF"/>
          </w:tcPr>
          <w:p>
            <w:pPr>
              <w:jc w:val="right"/>
              <w:ind w:right="100"/>
              <w:spacing w:after="0" w:line="123" w:lineRule="exact"/>
              <w:rPr>
                <w:sz w:val="20"/>
                <w:szCs w:val="20"/>
                <w:color w:val="auto"/>
              </w:rPr>
            </w:pPr>
            <w:r>
              <w:rPr>
                <w:rFonts w:ascii="Arial" w:cs="Arial" w:eastAsia="Arial" w:hAnsi="Arial"/>
                <w:sz w:val="11"/>
                <w:szCs w:val="11"/>
                <w:color w:val="auto"/>
              </w:rPr>
              <w:t>76</w:t>
            </w:r>
          </w:p>
        </w:tc>
        <w:tc>
          <w:tcPr>
            <w:tcW w:w="680" w:type="dxa"/>
            <w:vAlign w:val="bottom"/>
            <w:gridSpan w:val="2"/>
            <w:shd w:val="clear" w:color="auto" w:fill="CCEEFF"/>
          </w:tcPr>
          <w:p>
            <w:pPr>
              <w:jc w:val="right"/>
              <w:ind w:right="3"/>
              <w:spacing w:after="0" w:line="123" w:lineRule="exact"/>
              <w:rPr>
                <w:sz w:val="20"/>
                <w:szCs w:val="20"/>
                <w:color w:val="auto"/>
              </w:rPr>
            </w:pPr>
            <w:r>
              <w:rPr>
                <w:rFonts w:ascii="Arial" w:cs="Arial" w:eastAsia="Arial" w:hAnsi="Arial"/>
                <w:sz w:val="11"/>
                <w:szCs w:val="11"/>
                <w:color w:val="auto"/>
              </w:rPr>
              <w:t>63</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66</w:t>
            </w:r>
          </w:p>
        </w:tc>
        <w:tc>
          <w:tcPr>
            <w:tcW w:w="2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4.2%</w:t>
            </w:r>
          </w:p>
        </w:tc>
        <w:tc>
          <w:tcPr>
            <w:tcW w:w="720" w:type="dxa"/>
            <w:vAlign w:val="bottom"/>
            <w:shd w:val="clear" w:color="auto" w:fill="CCEEFF"/>
          </w:tcPr>
          <w:p>
            <w:pPr>
              <w:jc w:val="right"/>
              <w:ind w:right="83"/>
              <w:spacing w:after="0" w:line="123" w:lineRule="exact"/>
              <w:rPr>
                <w:sz w:val="20"/>
                <w:szCs w:val="20"/>
                <w:color w:val="auto"/>
              </w:rPr>
            </w:pPr>
            <w:r>
              <w:rPr>
                <w:rFonts w:ascii="Arial" w:cs="Arial" w:eastAsia="Arial" w:hAnsi="Arial"/>
                <w:sz w:val="11"/>
                <w:szCs w:val="11"/>
                <w:color w:val="auto"/>
              </w:rPr>
              <w:t>(13.3)%</w:t>
            </w:r>
          </w:p>
        </w:tc>
        <w:tc>
          <w:tcPr>
            <w:tcW w:w="760" w:type="dxa"/>
            <w:vAlign w:val="bottom"/>
            <w:shd w:val="clear" w:color="auto" w:fill="CCEEFF"/>
          </w:tcPr>
          <w:p>
            <w:pPr>
              <w:jc w:val="right"/>
              <w:ind w:right="183"/>
              <w:spacing w:after="0" w:line="123" w:lineRule="exact"/>
              <w:rPr>
                <w:sz w:val="20"/>
                <w:szCs w:val="20"/>
                <w:color w:val="auto"/>
              </w:rPr>
            </w:pPr>
            <w:r>
              <w:rPr>
                <w:rFonts w:ascii="Arial" w:cs="Arial" w:eastAsia="Arial" w:hAnsi="Arial"/>
                <w:sz w:val="11"/>
                <w:szCs w:val="11"/>
                <w:color w:val="auto"/>
              </w:rPr>
              <w:t>97.8%</w:t>
            </w:r>
          </w:p>
        </w:tc>
        <w:tc>
          <w:tcPr>
            <w:tcW w:w="46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2.2%</w:t>
            </w:r>
          </w:p>
        </w:tc>
      </w:tr>
      <w:tr>
        <w:trPr>
          <w:trHeight w:val="123"/>
        </w:trPr>
        <w:tc>
          <w:tcPr>
            <w:tcW w:w="3020" w:type="dxa"/>
            <w:vAlign w:val="bottom"/>
          </w:tcPr>
          <w:p>
            <w:pPr>
              <w:ind w:left="300"/>
              <w:spacing w:after="0" w:line="123" w:lineRule="exact"/>
              <w:rPr>
                <w:sz w:val="20"/>
                <w:szCs w:val="20"/>
                <w:color w:val="auto"/>
              </w:rPr>
            </w:pPr>
            <w:r>
              <w:rPr>
                <w:rFonts w:ascii="Arial" w:cs="Arial" w:eastAsia="Arial" w:hAnsi="Arial"/>
                <w:sz w:val="11"/>
                <w:szCs w:val="11"/>
                <w:color w:val="auto"/>
              </w:rPr>
              <w:t>Mortgage</w:t>
            </w:r>
          </w:p>
        </w:tc>
        <w:tc>
          <w:tcPr>
            <w:tcW w:w="540" w:type="dxa"/>
            <w:vAlign w:val="bottom"/>
          </w:tcPr>
          <w:p>
            <w:pPr>
              <w:jc w:val="right"/>
              <w:ind w:right="43"/>
              <w:spacing w:after="0" w:line="123" w:lineRule="exact"/>
              <w:rPr>
                <w:sz w:val="20"/>
                <w:szCs w:val="20"/>
                <w:color w:val="auto"/>
              </w:rPr>
            </w:pPr>
            <w:r>
              <w:rPr>
                <w:rFonts w:ascii="Arial" w:cs="Arial" w:eastAsia="Arial" w:hAnsi="Arial"/>
                <w:sz w:val="11"/>
                <w:szCs w:val="11"/>
                <w:color w:val="auto"/>
              </w:rPr>
              <w:t>12,477</w:t>
            </w: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14,249</w:t>
            </w:r>
          </w:p>
        </w:tc>
        <w:tc>
          <w:tcPr>
            <w:tcW w:w="86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14,698</w:t>
            </w:r>
          </w:p>
        </w:tc>
        <w:tc>
          <w:tcPr>
            <w:tcW w:w="76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3.1%</w:t>
            </w:r>
          </w:p>
        </w:tc>
        <w:tc>
          <w:tcPr>
            <w:tcW w:w="600" w:type="dxa"/>
            <w:vAlign w:val="bottom"/>
          </w:tcPr>
          <w:p>
            <w:pPr>
              <w:jc w:val="right"/>
              <w:ind w:right="3"/>
              <w:spacing w:after="0" w:line="123" w:lineRule="exact"/>
              <w:rPr>
                <w:sz w:val="20"/>
                <w:szCs w:val="20"/>
                <w:color w:val="auto"/>
              </w:rPr>
            </w:pPr>
            <w:r>
              <w:rPr>
                <w:rFonts w:ascii="Arial" w:cs="Arial" w:eastAsia="Arial" w:hAnsi="Arial"/>
                <w:sz w:val="11"/>
                <w:szCs w:val="11"/>
                <w:color w:val="auto"/>
              </w:rPr>
              <w:t>17.8%</w:t>
            </w:r>
          </w:p>
        </w:tc>
        <w:tc>
          <w:tcPr>
            <w:tcW w:w="620" w:type="dxa"/>
            <w:vAlign w:val="bottom"/>
            <w:gridSpan w:val="2"/>
          </w:tcPr>
          <w:p>
            <w:pPr>
              <w:jc w:val="right"/>
              <w:ind w:right="100"/>
              <w:spacing w:after="0" w:line="123" w:lineRule="exact"/>
              <w:rPr>
                <w:sz w:val="20"/>
                <w:szCs w:val="20"/>
                <w:color w:val="auto"/>
              </w:rPr>
            </w:pPr>
            <w:r>
              <w:rPr>
                <w:rFonts w:ascii="Arial" w:cs="Arial" w:eastAsia="Arial" w:hAnsi="Arial"/>
                <w:sz w:val="11"/>
                <w:szCs w:val="11"/>
                <w:color w:val="auto"/>
              </w:rPr>
              <w:t>790</w:t>
            </w:r>
          </w:p>
        </w:tc>
        <w:tc>
          <w:tcPr>
            <w:tcW w:w="680" w:type="dxa"/>
            <w:vAlign w:val="bottom"/>
            <w:gridSpan w:val="2"/>
          </w:tcPr>
          <w:p>
            <w:pPr>
              <w:jc w:val="right"/>
              <w:ind w:right="3"/>
              <w:spacing w:after="0" w:line="123" w:lineRule="exact"/>
              <w:rPr>
                <w:sz w:val="20"/>
                <w:szCs w:val="20"/>
                <w:color w:val="auto"/>
              </w:rPr>
            </w:pPr>
            <w:r>
              <w:rPr>
                <w:rFonts w:ascii="Arial" w:cs="Arial" w:eastAsia="Arial" w:hAnsi="Arial"/>
                <w:sz w:val="11"/>
                <w:szCs w:val="11"/>
                <w:color w:val="auto"/>
              </w:rPr>
              <w:t>698</w:t>
            </w:r>
          </w:p>
        </w:tc>
        <w:tc>
          <w:tcPr>
            <w:tcW w:w="82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646</w:t>
            </w:r>
          </w:p>
        </w:tc>
        <w:tc>
          <w:tcPr>
            <w:tcW w:w="7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(7.5)%</w:t>
            </w:r>
          </w:p>
        </w:tc>
        <w:tc>
          <w:tcPr>
            <w:tcW w:w="720" w:type="dxa"/>
            <w:vAlign w:val="bottom"/>
          </w:tcPr>
          <w:p>
            <w:pPr>
              <w:jc w:val="right"/>
              <w:ind w:right="83"/>
              <w:spacing w:after="0" w:line="123" w:lineRule="exact"/>
              <w:rPr>
                <w:sz w:val="20"/>
                <w:szCs w:val="20"/>
                <w:color w:val="auto"/>
              </w:rPr>
            </w:pPr>
            <w:r>
              <w:rPr>
                <w:rFonts w:ascii="Arial" w:cs="Arial" w:eastAsia="Arial" w:hAnsi="Arial"/>
                <w:sz w:val="11"/>
                <w:szCs w:val="11"/>
                <w:color w:val="auto"/>
              </w:rPr>
              <w:t>(18.3)%</w:t>
            </w:r>
          </w:p>
        </w:tc>
        <w:tc>
          <w:tcPr>
            <w:tcW w:w="760" w:type="dxa"/>
            <w:vAlign w:val="bottom"/>
          </w:tcPr>
          <w:p>
            <w:pPr>
              <w:jc w:val="right"/>
              <w:ind w:right="183"/>
              <w:spacing w:after="0" w:line="123" w:lineRule="exact"/>
              <w:rPr>
                <w:sz w:val="20"/>
                <w:szCs w:val="20"/>
                <w:color w:val="auto"/>
              </w:rPr>
            </w:pPr>
            <w:r>
              <w:rPr>
                <w:rFonts w:ascii="Arial" w:cs="Arial" w:eastAsia="Arial" w:hAnsi="Arial"/>
                <w:sz w:val="11"/>
                <w:szCs w:val="11"/>
                <w:color w:val="auto"/>
              </w:rPr>
              <w:t>86.9%</w:t>
            </w:r>
          </w:p>
        </w:tc>
        <w:tc>
          <w:tcPr>
            <w:tcW w:w="46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13.1%</w:t>
            </w:r>
          </w:p>
        </w:tc>
      </w:tr>
      <w:tr>
        <w:trPr>
          <w:trHeight w:val="123"/>
        </w:trPr>
        <w:tc>
          <w:tcPr>
            <w:tcW w:w="3020" w:type="dxa"/>
            <w:vAlign w:val="bottom"/>
            <w:shd w:val="clear" w:color="auto" w:fill="CCEEFF"/>
          </w:tcPr>
          <w:p>
            <w:pPr>
              <w:ind w:left="300"/>
              <w:spacing w:after="0" w:line="123" w:lineRule="exact"/>
              <w:rPr>
                <w:sz w:val="20"/>
                <w:szCs w:val="20"/>
                <w:color w:val="auto"/>
              </w:rPr>
            </w:pPr>
            <w:r>
              <w:rPr>
                <w:rFonts w:ascii="Arial" w:cs="Arial" w:eastAsia="Arial" w:hAnsi="Arial"/>
                <w:sz w:val="11"/>
                <w:szCs w:val="11"/>
                <w:color w:val="auto"/>
              </w:rPr>
              <w:t>Consumer</w:t>
            </w:r>
          </w:p>
        </w:tc>
        <w:tc>
          <w:tcPr>
            <w:tcW w:w="540" w:type="dxa"/>
            <w:vAlign w:val="bottom"/>
            <w:shd w:val="clear" w:color="auto" w:fill="CCEEFF"/>
          </w:tcPr>
          <w:p>
            <w:pPr>
              <w:jc w:val="right"/>
              <w:ind w:right="43"/>
              <w:spacing w:after="0" w:line="123" w:lineRule="exact"/>
              <w:rPr>
                <w:sz w:val="20"/>
                <w:szCs w:val="20"/>
                <w:color w:val="auto"/>
              </w:rPr>
            </w:pPr>
            <w:r>
              <w:rPr>
                <w:rFonts w:ascii="Arial" w:cs="Arial" w:eastAsia="Arial" w:hAnsi="Arial"/>
                <w:sz w:val="11"/>
                <w:szCs w:val="11"/>
                <w:color w:val="auto"/>
              </w:rPr>
              <w:t>6,478</w:t>
            </w: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7,465</w:t>
            </w:r>
          </w:p>
        </w:tc>
        <w:tc>
          <w:tcPr>
            <w:tcW w:w="86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7,763</w:t>
            </w:r>
          </w:p>
        </w:tc>
        <w:tc>
          <w:tcPr>
            <w:tcW w:w="76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4.0%</w:t>
            </w:r>
          </w:p>
        </w:tc>
        <w:tc>
          <w:tcPr>
            <w:tcW w:w="600" w:type="dxa"/>
            <w:vAlign w:val="bottom"/>
            <w:shd w:val="clear" w:color="auto" w:fill="CCEEFF"/>
          </w:tcPr>
          <w:p>
            <w:pPr>
              <w:jc w:val="right"/>
              <w:ind w:right="3"/>
              <w:spacing w:after="0" w:line="123" w:lineRule="exact"/>
              <w:rPr>
                <w:sz w:val="20"/>
                <w:szCs w:val="20"/>
                <w:color w:val="auto"/>
              </w:rPr>
            </w:pPr>
            <w:r>
              <w:rPr>
                <w:rFonts w:ascii="Arial" w:cs="Arial" w:eastAsia="Arial" w:hAnsi="Arial"/>
                <w:sz w:val="11"/>
                <w:szCs w:val="11"/>
                <w:color w:val="auto"/>
              </w:rPr>
              <w:t>19.9%</w:t>
            </w:r>
          </w:p>
        </w:tc>
        <w:tc>
          <w:tcPr>
            <w:tcW w:w="620" w:type="dxa"/>
            <w:vAlign w:val="bottom"/>
            <w:gridSpan w:val="2"/>
            <w:shd w:val="clear" w:color="auto" w:fill="CCEEFF"/>
          </w:tcPr>
          <w:p>
            <w:pPr>
              <w:jc w:val="right"/>
              <w:ind w:right="100"/>
              <w:spacing w:after="0" w:line="123" w:lineRule="exact"/>
              <w:rPr>
                <w:sz w:val="20"/>
                <w:szCs w:val="20"/>
                <w:color w:val="auto"/>
              </w:rPr>
            </w:pPr>
            <w:r>
              <w:rPr>
                <w:rFonts w:ascii="Arial" w:cs="Arial" w:eastAsia="Arial" w:hAnsi="Arial"/>
                <w:sz w:val="11"/>
                <w:szCs w:val="11"/>
                <w:color w:val="auto"/>
              </w:rPr>
              <w:t>352</w:t>
            </w:r>
          </w:p>
        </w:tc>
        <w:tc>
          <w:tcPr>
            <w:tcW w:w="680" w:type="dxa"/>
            <w:vAlign w:val="bottom"/>
            <w:gridSpan w:val="2"/>
            <w:shd w:val="clear" w:color="auto" w:fill="CCEEFF"/>
          </w:tcPr>
          <w:p>
            <w:pPr>
              <w:jc w:val="right"/>
              <w:ind w:right="3"/>
              <w:spacing w:after="0" w:line="123" w:lineRule="exact"/>
              <w:rPr>
                <w:sz w:val="20"/>
                <w:szCs w:val="20"/>
                <w:color w:val="auto"/>
              </w:rPr>
            </w:pPr>
            <w:r>
              <w:rPr>
                <w:rFonts w:ascii="Arial" w:cs="Arial" w:eastAsia="Arial" w:hAnsi="Arial"/>
                <w:sz w:val="11"/>
                <w:szCs w:val="11"/>
                <w:color w:val="auto"/>
              </w:rPr>
              <w:t>356</w:t>
            </w:r>
          </w:p>
        </w:tc>
        <w:tc>
          <w:tcPr>
            <w:tcW w:w="82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357</w:t>
            </w:r>
          </w:p>
        </w:tc>
        <w:tc>
          <w:tcPr>
            <w:tcW w:w="760" w:type="dxa"/>
            <w:vAlign w:val="bottom"/>
            <w:gridSpan w:val="2"/>
            <w:shd w:val="clear" w:color="auto" w:fill="CCEEFF"/>
          </w:tcPr>
          <w:p>
            <w:pPr>
              <w:jc w:val="right"/>
              <w:ind w:right="180"/>
              <w:spacing w:after="0" w:line="123" w:lineRule="exact"/>
              <w:rPr>
                <w:sz w:val="20"/>
                <w:szCs w:val="20"/>
                <w:color w:val="auto"/>
              </w:rPr>
            </w:pPr>
            <w:r>
              <w:rPr>
                <w:rFonts w:ascii="Arial" w:cs="Arial" w:eastAsia="Arial" w:hAnsi="Arial"/>
                <w:sz w:val="11"/>
                <w:szCs w:val="11"/>
                <w:color w:val="auto"/>
              </w:rPr>
              <w:t>0.2%</w:t>
            </w:r>
          </w:p>
        </w:tc>
        <w:tc>
          <w:tcPr>
            <w:tcW w:w="720" w:type="dxa"/>
            <w:vAlign w:val="bottom"/>
            <w:shd w:val="clear" w:color="auto" w:fill="CCEEFF"/>
          </w:tcPr>
          <w:p>
            <w:pPr>
              <w:jc w:val="right"/>
              <w:ind w:right="123"/>
              <w:spacing w:after="0" w:line="123" w:lineRule="exact"/>
              <w:rPr>
                <w:sz w:val="20"/>
                <w:szCs w:val="20"/>
                <w:color w:val="auto"/>
              </w:rPr>
            </w:pPr>
            <w:r>
              <w:rPr>
                <w:rFonts w:ascii="Arial" w:cs="Arial" w:eastAsia="Arial" w:hAnsi="Arial"/>
                <w:sz w:val="11"/>
                <w:szCs w:val="11"/>
                <w:color w:val="auto"/>
              </w:rPr>
              <w:t>1.5%</w:t>
            </w:r>
          </w:p>
        </w:tc>
        <w:tc>
          <w:tcPr>
            <w:tcW w:w="760" w:type="dxa"/>
            <w:vAlign w:val="bottom"/>
            <w:shd w:val="clear" w:color="auto" w:fill="CCEEFF"/>
          </w:tcPr>
          <w:p>
            <w:pPr>
              <w:jc w:val="right"/>
              <w:ind w:right="183"/>
              <w:spacing w:after="0" w:line="123" w:lineRule="exact"/>
              <w:rPr>
                <w:sz w:val="20"/>
                <w:szCs w:val="20"/>
                <w:color w:val="auto"/>
              </w:rPr>
            </w:pPr>
            <w:r>
              <w:rPr>
                <w:rFonts w:ascii="Arial" w:cs="Arial" w:eastAsia="Arial" w:hAnsi="Arial"/>
                <w:sz w:val="11"/>
                <w:szCs w:val="11"/>
                <w:color w:val="auto"/>
              </w:rPr>
              <w:t>86.4%</w:t>
            </w:r>
          </w:p>
        </w:tc>
        <w:tc>
          <w:tcPr>
            <w:tcW w:w="46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13.6%</w:t>
            </w:r>
          </w:p>
        </w:tc>
      </w:tr>
      <w:tr>
        <w:trPr>
          <w:trHeight w:val="123"/>
        </w:trPr>
        <w:tc>
          <w:tcPr>
            <w:tcW w:w="3020" w:type="dxa"/>
            <w:vAlign w:val="bottom"/>
          </w:tcPr>
          <w:p>
            <w:pPr>
              <w:ind w:left="300"/>
              <w:spacing w:after="0" w:line="123" w:lineRule="exact"/>
              <w:rPr>
                <w:sz w:val="20"/>
                <w:szCs w:val="20"/>
                <w:color w:val="auto"/>
              </w:rPr>
            </w:pPr>
            <w:r>
              <w:rPr>
                <w:rFonts w:ascii="Arial" w:cs="Arial" w:eastAsia="Arial" w:hAnsi="Arial"/>
                <w:sz w:val="11"/>
                <w:szCs w:val="11"/>
                <w:color w:val="auto"/>
              </w:rPr>
              <w:t>Credit Card</w:t>
            </w:r>
          </w:p>
        </w:tc>
        <w:tc>
          <w:tcPr>
            <w:tcW w:w="540" w:type="dxa"/>
            <w:vAlign w:val="bottom"/>
          </w:tcPr>
          <w:p>
            <w:pPr>
              <w:jc w:val="right"/>
              <w:ind w:right="43"/>
              <w:spacing w:after="0" w:line="123" w:lineRule="exact"/>
              <w:rPr>
                <w:sz w:val="20"/>
                <w:szCs w:val="20"/>
                <w:color w:val="auto"/>
              </w:rPr>
            </w:pPr>
            <w:r>
              <w:rPr>
                <w:rFonts w:ascii="Arial" w:cs="Arial" w:eastAsia="Arial" w:hAnsi="Arial"/>
                <w:sz w:val="11"/>
                <w:szCs w:val="11"/>
                <w:color w:val="auto"/>
              </w:rPr>
              <w:t>4,598</w:t>
            </w:r>
          </w:p>
        </w:tc>
        <w:tc>
          <w:tcPr>
            <w:tcW w:w="640" w:type="dxa"/>
            <w:vAlign w:val="bottom"/>
          </w:tcPr>
          <w:p>
            <w:pPr>
              <w:jc w:val="right"/>
              <w:spacing w:after="0" w:line="123" w:lineRule="exact"/>
              <w:rPr>
                <w:sz w:val="20"/>
                <w:szCs w:val="20"/>
                <w:color w:val="auto"/>
              </w:rPr>
            </w:pPr>
            <w:r>
              <w:rPr>
                <w:rFonts w:ascii="Arial" w:cs="Arial" w:eastAsia="Arial" w:hAnsi="Arial"/>
                <w:sz w:val="11"/>
                <w:szCs w:val="11"/>
                <w:color w:val="auto"/>
              </w:rPr>
              <w:t>4,865</w:t>
            </w:r>
          </w:p>
        </w:tc>
        <w:tc>
          <w:tcPr>
            <w:tcW w:w="86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4,932</w:t>
            </w:r>
          </w:p>
        </w:tc>
        <w:tc>
          <w:tcPr>
            <w:tcW w:w="760" w:type="dxa"/>
            <w:vAlign w:val="bottom"/>
            <w:gridSpan w:val="2"/>
          </w:tcPr>
          <w:p>
            <w:pPr>
              <w:jc w:val="right"/>
              <w:ind w:right="180"/>
              <w:spacing w:after="0" w:line="123" w:lineRule="exact"/>
              <w:rPr>
                <w:sz w:val="20"/>
                <w:szCs w:val="20"/>
                <w:color w:val="auto"/>
              </w:rPr>
            </w:pPr>
            <w:r>
              <w:rPr>
                <w:rFonts w:ascii="Arial" w:cs="Arial" w:eastAsia="Arial" w:hAnsi="Arial"/>
                <w:sz w:val="11"/>
                <w:szCs w:val="11"/>
                <w:color w:val="auto"/>
              </w:rPr>
              <w:t>1.4%</w:t>
            </w:r>
          </w:p>
        </w:tc>
        <w:tc>
          <w:tcPr>
            <w:tcW w:w="600" w:type="dxa"/>
            <w:vAlign w:val="bottom"/>
          </w:tcPr>
          <w:p>
            <w:pPr>
              <w:jc w:val="right"/>
              <w:ind w:right="3"/>
              <w:spacing w:after="0" w:line="123" w:lineRule="exact"/>
              <w:rPr>
                <w:sz w:val="20"/>
                <w:szCs w:val="20"/>
                <w:color w:val="auto"/>
              </w:rPr>
            </w:pPr>
            <w:r>
              <w:rPr>
                <w:rFonts w:ascii="Arial" w:cs="Arial" w:eastAsia="Arial" w:hAnsi="Arial"/>
                <w:sz w:val="11"/>
                <w:szCs w:val="11"/>
                <w:color w:val="auto"/>
              </w:rPr>
              <w:t>7.2%</w:t>
            </w:r>
          </w:p>
        </w:tc>
        <w:tc>
          <w:tcPr>
            <w:tcW w:w="620" w:type="dxa"/>
            <w:vAlign w:val="bottom"/>
            <w:gridSpan w:val="2"/>
          </w:tcPr>
          <w:p>
            <w:pPr>
              <w:jc w:val="right"/>
              <w:ind w:right="100"/>
              <w:spacing w:after="0" w:line="123" w:lineRule="exact"/>
              <w:rPr>
                <w:sz w:val="20"/>
                <w:szCs w:val="20"/>
                <w:color w:val="auto"/>
              </w:rPr>
            </w:pPr>
            <w:r>
              <w:rPr>
                <w:rFonts w:ascii="Arial" w:cs="Arial" w:eastAsia="Arial" w:hAnsi="Arial"/>
                <w:sz w:val="11"/>
                <w:szCs w:val="11"/>
                <w:color w:val="auto"/>
              </w:rPr>
              <w:t>213</w:t>
            </w:r>
          </w:p>
        </w:tc>
        <w:tc>
          <w:tcPr>
            <w:tcW w:w="680" w:type="dxa"/>
            <w:vAlign w:val="bottom"/>
            <w:gridSpan w:val="2"/>
          </w:tcPr>
          <w:p>
            <w:pPr>
              <w:jc w:val="right"/>
              <w:ind w:right="3"/>
              <w:spacing w:after="0" w:line="123" w:lineRule="exact"/>
              <w:rPr>
                <w:sz w:val="20"/>
                <w:szCs w:val="20"/>
                <w:color w:val="auto"/>
              </w:rPr>
            </w:pPr>
            <w:r>
              <w:rPr>
                <w:rFonts w:ascii="Arial" w:cs="Arial" w:eastAsia="Arial" w:hAnsi="Arial"/>
                <w:sz w:val="11"/>
                <w:szCs w:val="11"/>
                <w:color w:val="auto"/>
              </w:rPr>
              <w:t>248</w:t>
            </w:r>
          </w:p>
        </w:tc>
        <w:tc>
          <w:tcPr>
            <w:tcW w:w="82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239</w:t>
            </w:r>
          </w:p>
        </w:tc>
        <w:tc>
          <w:tcPr>
            <w:tcW w:w="76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(3.4)%</w:t>
            </w:r>
          </w:p>
        </w:tc>
        <w:tc>
          <w:tcPr>
            <w:tcW w:w="720" w:type="dxa"/>
            <w:vAlign w:val="bottom"/>
          </w:tcPr>
          <w:p>
            <w:pPr>
              <w:jc w:val="right"/>
              <w:ind w:right="123"/>
              <w:spacing w:after="0" w:line="123" w:lineRule="exact"/>
              <w:rPr>
                <w:sz w:val="20"/>
                <w:szCs w:val="20"/>
                <w:color w:val="auto"/>
              </w:rPr>
            </w:pPr>
            <w:r>
              <w:rPr>
                <w:rFonts w:ascii="Arial" w:cs="Arial" w:eastAsia="Arial" w:hAnsi="Arial"/>
                <w:sz w:val="11"/>
                <w:szCs w:val="11"/>
                <w:color w:val="auto"/>
              </w:rPr>
              <w:t>12.3%</w:t>
            </w:r>
          </w:p>
        </w:tc>
        <w:tc>
          <w:tcPr>
            <w:tcW w:w="760" w:type="dxa"/>
            <w:vAlign w:val="bottom"/>
          </w:tcPr>
          <w:p>
            <w:pPr>
              <w:jc w:val="right"/>
              <w:ind w:right="183"/>
              <w:spacing w:after="0" w:line="123" w:lineRule="exact"/>
              <w:rPr>
                <w:sz w:val="20"/>
                <w:szCs w:val="20"/>
                <w:color w:val="auto"/>
              </w:rPr>
            </w:pPr>
            <w:r>
              <w:rPr>
                <w:rFonts w:ascii="Arial" w:cs="Arial" w:eastAsia="Arial" w:hAnsi="Arial"/>
                <w:sz w:val="11"/>
                <w:szCs w:val="11"/>
                <w:color w:val="auto"/>
              </w:rPr>
              <w:t>85.8%</w:t>
            </w:r>
          </w:p>
        </w:tc>
        <w:tc>
          <w:tcPr>
            <w:tcW w:w="460" w:type="dxa"/>
            <w:vAlign w:val="bottom"/>
            <w:gridSpan w:val="2"/>
          </w:tcPr>
          <w:p>
            <w:pPr>
              <w:jc w:val="right"/>
              <w:ind w:right="20"/>
              <w:spacing w:after="0" w:line="123" w:lineRule="exact"/>
              <w:rPr>
                <w:sz w:val="20"/>
                <w:szCs w:val="20"/>
                <w:color w:val="auto"/>
              </w:rPr>
            </w:pPr>
            <w:r>
              <w:rPr>
                <w:rFonts w:ascii="Arial" w:cs="Arial" w:eastAsia="Arial" w:hAnsi="Arial"/>
                <w:sz w:val="11"/>
                <w:szCs w:val="11"/>
                <w:color w:val="auto"/>
              </w:rPr>
              <w:t>14.2%</w:t>
            </w:r>
          </w:p>
        </w:tc>
      </w:tr>
      <w:tr>
        <w:trPr>
          <w:trHeight w:val="123"/>
        </w:trPr>
        <w:tc>
          <w:tcPr>
            <w:tcW w:w="302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Mibanco</w:t>
            </w:r>
          </w:p>
        </w:tc>
        <w:tc>
          <w:tcPr>
            <w:tcW w:w="540" w:type="dxa"/>
            <w:vAlign w:val="bottom"/>
            <w:shd w:val="clear" w:color="auto" w:fill="CCEEFF"/>
          </w:tcPr>
          <w:p>
            <w:pPr>
              <w:jc w:val="right"/>
              <w:ind w:right="43"/>
              <w:spacing w:after="0" w:line="123" w:lineRule="exact"/>
              <w:rPr>
                <w:sz w:val="20"/>
                <w:szCs w:val="20"/>
                <w:color w:val="auto"/>
              </w:rPr>
            </w:pPr>
            <w:r>
              <w:rPr>
                <w:rFonts w:ascii="Arial" w:cs="Arial" w:eastAsia="Arial" w:hAnsi="Arial"/>
                <w:sz w:val="11"/>
                <w:szCs w:val="11"/>
                <w:b w:val="1"/>
                <w:bCs w:val="1"/>
                <w:color w:val="auto"/>
              </w:rPr>
              <w:t>9,364</w:t>
            </w: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9,785</w:t>
            </w:r>
          </w:p>
        </w:tc>
        <w:tc>
          <w:tcPr>
            <w:tcW w:w="86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b w:val="1"/>
                <w:bCs w:val="1"/>
                <w:color w:val="auto"/>
              </w:rPr>
              <w:t>10,064</w:t>
            </w:r>
          </w:p>
        </w:tc>
        <w:tc>
          <w:tcPr>
            <w:tcW w:w="76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b w:val="1"/>
                <w:bCs w:val="1"/>
                <w:color w:val="auto"/>
              </w:rPr>
              <w:t>2.9%</w:t>
            </w: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7.5%</w:t>
            </w:r>
          </w:p>
        </w:tc>
        <w:tc>
          <w:tcPr>
            <w:tcW w:w="620" w:type="dxa"/>
            <w:vAlign w:val="bottom"/>
            <w:gridSpan w:val="2"/>
            <w:shd w:val="clear" w:color="auto" w:fill="CCEEFF"/>
          </w:tcPr>
          <w:p>
            <w:pPr>
              <w:jc w:val="right"/>
              <w:ind w:right="100"/>
              <w:spacing w:after="0" w:line="123" w:lineRule="exact"/>
              <w:rPr>
                <w:sz w:val="20"/>
                <w:szCs w:val="20"/>
                <w:color w:val="auto"/>
              </w:rPr>
            </w:pPr>
            <w:r>
              <w:rPr>
                <w:rFonts w:ascii="Arial" w:cs="Arial" w:eastAsia="Arial" w:hAnsi="Arial"/>
                <w:sz w:val="11"/>
                <w:szCs w:val="11"/>
                <w:b w:val="1"/>
                <w:bCs w:val="1"/>
                <w:color w:val="auto"/>
              </w:rPr>
              <w:t>164</w:t>
            </w:r>
          </w:p>
        </w:tc>
        <w:tc>
          <w:tcPr>
            <w:tcW w:w="680" w:type="dxa"/>
            <w:vAlign w:val="bottom"/>
            <w:gridSpan w:val="2"/>
            <w:shd w:val="clear" w:color="auto" w:fill="CCEEFF"/>
          </w:tcPr>
          <w:p>
            <w:pPr>
              <w:jc w:val="right"/>
              <w:ind w:right="3"/>
              <w:spacing w:after="0" w:line="123" w:lineRule="exact"/>
              <w:rPr>
                <w:sz w:val="20"/>
                <w:szCs w:val="20"/>
                <w:color w:val="auto"/>
              </w:rPr>
            </w:pPr>
            <w:r>
              <w:rPr>
                <w:rFonts w:ascii="Arial" w:cs="Arial" w:eastAsia="Arial" w:hAnsi="Arial"/>
                <w:sz w:val="11"/>
                <w:szCs w:val="11"/>
                <w:b w:val="1"/>
                <w:bCs w:val="1"/>
                <w:color w:val="auto"/>
              </w:rPr>
              <w:t>157</w:t>
            </w:r>
          </w:p>
        </w:tc>
        <w:tc>
          <w:tcPr>
            <w:tcW w:w="82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b w:val="1"/>
                <w:bCs w:val="1"/>
                <w:color w:val="auto"/>
              </w:rPr>
              <w:t>165</w:t>
            </w:r>
          </w:p>
        </w:tc>
        <w:tc>
          <w:tcPr>
            <w:tcW w:w="76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b w:val="1"/>
                <w:bCs w:val="1"/>
                <w:color w:val="auto"/>
              </w:rPr>
              <w:t>5.4%</w:t>
            </w:r>
          </w:p>
        </w:tc>
        <w:tc>
          <w:tcPr>
            <w:tcW w:w="720" w:type="dxa"/>
            <w:vAlign w:val="bottom"/>
            <w:shd w:val="clear" w:color="auto" w:fill="CCEEFF"/>
          </w:tcPr>
          <w:p>
            <w:pPr>
              <w:jc w:val="right"/>
              <w:ind w:right="103"/>
              <w:spacing w:after="0" w:line="123" w:lineRule="exact"/>
              <w:rPr>
                <w:sz w:val="20"/>
                <w:szCs w:val="20"/>
                <w:color w:val="auto"/>
              </w:rPr>
            </w:pPr>
            <w:r>
              <w:rPr>
                <w:rFonts w:ascii="Arial" w:cs="Arial" w:eastAsia="Arial" w:hAnsi="Arial"/>
                <w:sz w:val="11"/>
                <w:szCs w:val="11"/>
                <w:b w:val="1"/>
                <w:bCs w:val="1"/>
                <w:color w:val="auto"/>
              </w:rPr>
              <w:t>0.4%</w:t>
            </w:r>
          </w:p>
        </w:tc>
        <w:tc>
          <w:tcPr>
            <w:tcW w:w="760" w:type="dxa"/>
            <w:vAlign w:val="bottom"/>
            <w:shd w:val="clear" w:color="auto" w:fill="CCEEFF"/>
          </w:tcPr>
          <w:p>
            <w:pPr>
              <w:jc w:val="right"/>
              <w:ind w:right="163"/>
              <w:spacing w:after="0" w:line="123" w:lineRule="exact"/>
              <w:rPr>
                <w:sz w:val="20"/>
                <w:szCs w:val="20"/>
                <w:color w:val="auto"/>
              </w:rPr>
            </w:pPr>
            <w:r>
              <w:rPr>
                <w:rFonts w:ascii="Arial" w:cs="Arial" w:eastAsia="Arial" w:hAnsi="Arial"/>
                <w:sz w:val="11"/>
                <w:szCs w:val="11"/>
                <w:b w:val="1"/>
                <w:bCs w:val="1"/>
                <w:color w:val="auto"/>
              </w:rPr>
              <w:t>94.7%</w:t>
            </w:r>
          </w:p>
        </w:tc>
        <w:tc>
          <w:tcPr>
            <w:tcW w:w="46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5.3%</w:t>
            </w:r>
          </w:p>
        </w:tc>
      </w:tr>
      <w:tr>
        <w:trPr>
          <w:trHeight w:val="123"/>
        </w:trPr>
        <w:tc>
          <w:tcPr>
            <w:tcW w:w="3020" w:type="dxa"/>
            <w:vAlign w:val="bottom"/>
          </w:tcPr>
          <w:p>
            <w:pPr>
              <w:spacing w:after="0" w:line="123" w:lineRule="exact"/>
              <w:rPr>
                <w:sz w:val="20"/>
                <w:szCs w:val="20"/>
                <w:color w:val="auto"/>
              </w:rPr>
            </w:pPr>
            <w:r>
              <w:rPr>
                <w:rFonts w:ascii="Arial" w:cs="Arial" w:eastAsia="Arial" w:hAnsi="Arial"/>
                <w:sz w:val="11"/>
                <w:szCs w:val="11"/>
                <w:b w:val="1"/>
                <w:bCs w:val="1"/>
                <w:color w:val="auto"/>
              </w:rPr>
              <w:t>Bolivia</w:t>
            </w:r>
          </w:p>
        </w:tc>
        <w:tc>
          <w:tcPr>
            <w:tcW w:w="54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auto"/>
              </w:rPr>
              <w:t>¾</w:t>
            </w:r>
          </w:p>
        </w:tc>
        <w:tc>
          <w:tcPr>
            <w:tcW w:w="64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¾</w:t>
            </w:r>
          </w:p>
        </w:tc>
        <w:tc>
          <w:tcPr>
            <w:tcW w:w="860" w:type="dxa"/>
            <w:vAlign w:val="bottom"/>
            <w:gridSpan w:val="2"/>
          </w:tcPr>
          <w:p>
            <w:pPr>
              <w:jc w:val="right"/>
              <w:ind w:right="220"/>
              <w:spacing w:after="0" w:line="123" w:lineRule="exact"/>
              <w:rPr>
                <w:sz w:val="20"/>
                <w:szCs w:val="20"/>
                <w:color w:val="auto"/>
              </w:rPr>
            </w:pPr>
            <w:r>
              <w:rPr>
                <w:rFonts w:ascii="Arial" w:cs="Arial" w:eastAsia="Arial" w:hAnsi="Arial"/>
                <w:sz w:val="11"/>
                <w:szCs w:val="11"/>
                <w:b w:val="1"/>
                <w:bCs w:val="1"/>
                <w:color w:val="auto"/>
              </w:rPr>
              <w:t>¾</w:t>
            </w:r>
          </w:p>
        </w:tc>
        <w:tc>
          <w:tcPr>
            <w:tcW w:w="760" w:type="dxa"/>
            <w:vAlign w:val="bottom"/>
            <w:gridSpan w:val="2"/>
          </w:tcPr>
          <w:p>
            <w:pPr>
              <w:jc w:val="right"/>
              <w:ind w:right="260"/>
              <w:spacing w:after="0" w:line="123" w:lineRule="exact"/>
              <w:rPr>
                <w:sz w:val="20"/>
                <w:szCs w:val="20"/>
                <w:color w:val="auto"/>
              </w:rPr>
            </w:pPr>
            <w:r>
              <w:rPr>
                <w:rFonts w:ascii="Arial" w:cs="Arial" w:eastAsia="Arial" w:hAnsi="Arial"/>
                <w:sz w:val="11"/>
                <w:szCs w:val="11"/>
                <w:b w:val="1"/>
                <w:bCs w:val="1"/>
                <w:color w:val="auto"/>
              </w:rPr>
              <w:t>¾</w:t>
            </w:r>
          </w:p>
        </w:tc>
        <w:tc>
          <w:tcPr>
            <w:tcW w:w="600" w:type="dxa"/>
            <w:vAlign w:val="bottom"/>
          </w:tcPr>
          <w:p>
            <w:pPr>
              <w:jc w:val="right"/>
              <w:ind w:right="103"/>
              <w:spacing w:after="0" w:line="123" w:lineRule="exact"/>
              <w:rPr>
                <w:sz w:val="20"/>
                <w:szCs w:val="20"/>
                <w:color w:val="auto"/>
              </w:rPr>
            </w:pPr>
            <w:r>
              <w:rPr>
                <w:rFonts w:ascii="Arial" w:cs="Arial" w:eastAsia="Arial" w:hAnsi="Arial"/>
                <w:sz w:val="11"/>
                <w:szCs w:val="11"/>
                <w:b w:val="1"/>
                <w:bCs w:val="1"/>
                <w:color w:val="auto"/>
              </w:rPr>
              <w:t>¾</w:t>
            </w:r>
          </w:p>
        </w:tc>
        <w:tc>
          <w:tcPr>
            <w:tcW w:w="620" w:type="dxa"/>
            <w:vAlign w:val="bottom"/>
            <w:gridSpan w:val="2"/>
          </w:tcPr>
          <w:p>
            <w:pPr>
              <w:jc w:val="right"/>
              <w:ind w:right="100"/>
              <w:spacing w:after="0" w:line="123" w:lineRule="exact"/>
              <w:rPr>
                <w:sz w:val="20"/>
                <w:szCs w:val="20"/>
                <w:color w:val="auto"/>
              </w:rPr>
            </w:pPr>
            <w:r>
              <w:rPr>
                <w:rFonts w:ascii="Arial" w:cs="Arial" w:eastAsia="Arial" w:hAnsi="Arial"/>
                <w:sz w:val="11"/>
                <w:szCs w:val="11"/>
                <w:b w:val="1"/>
                <w:bCs w:val="1"/>
                <w:color w:val="auto"/>
              </w:rPr>
              <w:t>2,139</w:t>
            </w:r>
          </w:p>
        </w:tc>
        <w:tc>
          <w:tcPr>
            <w:tcW w:w="680" w:type="dxa"/>
            <w:vAlign w:val="bottom"/>
            <w:gridSpan w:val="2"/>
          </w:tcPr>
          <w:p>
            <w:pPr>
              <w:jc w:val="right"/>
              <w:ind w:right="3"/>
              <w:spacing w:after="0" w:line="123" w:lineRule="exact"/>
              <w:rPr>
                <w:sz w:val="20"/>
                <w:szCs w:val="20"/>
                <w:color w:val="auto"/>
              </w:rPr>
            </w:pPr>
            <w:r>
              <w:rPr>
                <w:rFonts w:ascii="Arial" w:cs="Arial" w:eastAsia="Arial" w:hAnsi="Arial"/>
                <w:sz w:val="11"/>
                <w:szCs w:val="11"/>
                <w:b w:val="1"/>
                <w:bCs w:val="1"/>
                <w:color w:val="auto"/>
              </w:rPr>
              <w:t>2,256</w:t>
            </w:r>
          </w:p>
        </w:tc>
        <w:tc>
          <w:tcPr>
            <w:tcW w:w="60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2,247</w:t>
            </w:r>
          </w:p>
        </w:tc>
        <w:tc>
          <w:tcPr>
            <w:tcW w:w="220" w:type="dxa"/>
            <w:vAlign w:val="bottom"/>
          </w:tcPr>
          <w:p>
            <w:pPr>
              <w:spacing w:after="0"/>
              <w:rPr>
                <w:sz w:val="10"/>
                <w:szCs w:val="10"/>
                <w:color w:val="auto"/>
              </w:rPr>
            </w:pPr>
          </w:p>
        </w:tc>
        <w:tc>
          <w:tcPr>
            <w:tcW w:w="760" w:type="dxa"/>
            <w:vAlign w:val="bottom"/>
            <w:gridSpan w:val="2"/>
          </w:tcPr>
          <w:p>
            <w:pPr>
              <w:jc w:val="right"/>
              <w:ind w:right="120"/>
              <w:spacing w:after="0" w:line="123" w:lineRule="exact"/>
              <w:rPr>
                <w:sz w:val="20"/>
                <w:szCs w:val="20"/>
                <w:color w:val="auto"/>
              </w:rPr>
            </w:pPr>
            <w:r>
              <w:rPr>
                <w:rFonts w:ascii="Arial" w:cs="Arial" w:eastAsia="Arial" w:hAnsi="Arial"/>
                <w:sz w:val="11"/>
                <w:szCs w:val="11"/>
                <w:b w:val="1"/>
                <w:bCs w:val="1"/>
                <w:color w:val="auto"/>
              </w:rPr>
              <w:t>(0.4)%</w:t>
            </w:r>
          </w:p>
        </w:tc>
        <w:tc>
          <w:tcPr>
            <w:tcW w:w="720" w:type="dxa"/>
            <w:vAlign w:val="bottom"/>
          </w:tcPr>
          <w:p>
            <w:pPr>
              <w:jc w:val="right"/>
              <w:ind w:right="103"/>
              <w:spacing w:after="0" w:line="123" w:lineRule="exact"/>
              <w:rPr>
                <w:sz w:val="20"/>
                <w:szCs w:val="20"/>
                <w:color w:val="auto"/>
              </w:rPr>
            </w:pPr>
            <w:r>
              <w:rPr>
                <w:rFonts w:ascii="Arial" w:cs="Arial" w:eastAsia="Arial" w:hAnsi="Arial"/>
                <w:sz w:val="11"/>
                <w:szCs w:val="11"/>
                <w:b w:val="1"/>
                <w:bCs w:val="1"/>
                <w:color w:val="auto"/>
              </w:rPr>
              <w:t>5.1%</w:t>
            </w:r>
          </w:p>
        </w:tc>
        <w:tc>
          <w:tcPr>
            <w:tcW w:w="760" w:type="dxa"/>
            <w:vAlign w:val="bottom"/>
          </w:tcPr>
          <w:p>
            <w:pPr>
              <w:jc w:val="right"/>
              <w:ind w:right="263"/>
              <w:spacing w:after="0" w:line="123" w:lineRule="exact"/>
              <w:rPr>
                <w:sz w:val="20"/>
                <w:szCs w:val="20"/>
                <w:color w:val="auto"/>
              </w:rPr>
            </w:pPr>
            <w:r>
              <w:rPr>
                <w:rFonts w:ascii="Arial" w:cs="Arial" w:eastAsia="Arial" w:hAnsi="Arial"/>
                <w:sz w:val="11"/>
                <w:szCs w:val="11"/>
                <w:b w:val="1"/>
                <w:bCs w:val="1"/>
                <w:color w:val="auto"/>
              </w:rPr>
              <w:t>¾</w:t>
            </w:r>
          </w:p>
        </w:tc>
        <w:tc>
          <w:tcPr>
            <w:tcW w:w="460" w:type="dxa"/>
            <w:vAlign w:val="bottom"/>
            <w:gridSpan w:val="2"/>
          </w:tcPr>
          <w:p>
            <w:pPr>
              <w:jc w:val="right"/>
              <w:spacing w:after="0" w:line="123" w:lineRule="exact"/>
              <w:rPr>
                <w:sz w:val="20"/>
                <w:szCs w:val="20"/>
                <w:color w:val="auto"/>
              </w:rPr>
            </w:pPr>
            <w:r>
              <w:rPr>
                <w:rFonts w:ascii="Arial" w:cs="Arial" w:eastAsia="Arial" w:hAnsi="Arial"/>
                <w:sz w:val="11"/>
                <w:szCs w:val="11"/>
                <w:b w:val="1"/>
                <w:bCs w:val="1"/>
                <w:color w:val="auto"/>
              </w:rPr>
              <w:t>100.0%</w:t>
            </w:r>
          </w:p>
        </w:tc>
      </w:tr>
      <w:tr>
        <w:trPr>
          <w:trHeight w:val="123"/>
        </w:trPr>
        <w:tc>
          <w:tcPr>
            <w:tcW w:w="302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Atlantic Security Bank</w:t>
            </w:r>
          </w:p>
        </w:tc>
        <w:tc>
          <w:tcPr>
            <w:tcW w:w="540" w:type="dxa"/>
            <w:vAlign w:val="bottom"/>
            <w:shd w:val="clear" w:color="auto" w:fill="CCEEFF"/>
          </w:tcPr>
          <w:p>
            <w:pPr>
              <w:jc w:val="right"/>
              <w:ind w:right="43"/>
              <w:spacing w:after="0" w:line="123" w:lineRule="exact"/>
              <w:rPr>
                <w:sz w:val="20"/>
                <w:szCs w:val="20"/>
                <w:color w:val="auto"/>
              </w:rPr>
            </w:pPr>
            <w:r>
              <w:rPr>
                <w:rFonts w:ascii="Arial" w:cs="Arial" w:eastAsia="Arial" w:hAnsi="Arial"/>
                <w:sz w:val="11"/>
                <w:szCs w:val="11"/>
                <w:b w:val="1"/>
                <w:bCs w:val="1"/>
                <w:color w:val="auto"/>
              </w:rPr>
              <w:t>¾</w:t>
            </w:r>
          </w:p>
        </w:tc>
        <w:tc>
          <w:tcPr>
            <w:tcW w:w="6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¾</w:t>
            </w:r>
          </w:p>
        </w:tc>
        <w:tc>
          <w:tcPr>
            <w:tcW w:w="86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b w:val="1"/>
                <w:bCs w:val="1"/>
                <w:color w:val="auto"/>
              </w:rPr>
              <w:t>¾</w:t>
            </w:r>
          </w:p>
        </w:tc>
        <w:tc>
          <w:tcPr>
            <w:tcW w:w="760" w:type="dxa"/>
            <w:vAlign w:val="bottom"/>
            <w:gridSpan w:val="2"/>
            <w:shd w:val="clear" w:color="auto" w:fill="CCEEFF"/>
          </w:tcPr>
          <w:p>
            <w:pPr>
              <w:jc w:val="right"/>
              <w:ind w:right="260"/>
              <w:spacing w:after="0" w:line="123" w:lineRule="exact"/>
              <w:rPr>
                <w:sz w:val="20"/>
                <w:szCs w:val="20"/>
                <w:color w:val="auto"/>
              </w:rPr>
            </w:pPr>
            <w:r>
              <w:rPr>
                <w:rFonts w:ascii="Arial" w:cs="Arial" w:eastAsia="Arial" w:hAnsi="Arial"/>
                <w:sz w:val="11"/>
                <w:szCs w:val="11"/>
                <w:b w:val="1"/>
                <w:bCs w:val="1"/>
                <w:color w:val="auto"/>
              </w:rPr>
              <w:t>¾</w:t>
            </w:r>
          </w:p>
        </w:tc>
        <w:tc>
          <w:tcPr>
            <w:tcW w:w="600" w:type="dxa"/>
            <w:vAlign w:val="bottom"/>
            <w:shd w:val="clear" w:color="auto" w:fill="CCEEFF"/>
          </w:tcPr>
          <w:p>
            <w:pPr>
              <w:jc w:val="right"/>
              <w:ind w:right="103"/>
              <w:spacing w:after="0" w:line="123" w:lineRule="exact"/>
              <w:rPr>
                <w:sz w:val="20"/>
                <w:szCs w:val="20"/>
                <w:color w:val="auto"/>
              </w:rPr>
            </w:pPr>
            <w:r>
              <w:rPr>
                <w:rFonts w:ascii="Arial" w:cs="Arial" w:eastAsia="Arial" w:hAnsi="Arial"/>
                <w:sz w:val="11"/>
                <w:szCs w:val="11"/>
                <w:b w:val="1"/>
                <w:bCs w:val="1"/>
                <w:color w:val="auto"/>
              </w:rPr>
              <w:t>¾</w:t>
            </w:r>
          </w:p>
        </w:tc>
        <w:tc>
          <w:tcPr>
            <w:tcW w:w="620" w:type="dxa"/>
            <w:vAlign w:val="bottom"/>
            <w:gridSpan w:val="2"/>
            <w:shd w:val="clear" w:color="auto" w:fill="CCEEFF"/>
          </w:tcPr>
          <w:p>
            <w:pPr>
              <w:jc w:val="right"/>
              <w:ind w:right="100"/>
              <w:spacing w:after="0" w:line="123" w:lineRule="exact"/>
              <w:rPr>
                <w:sz w:val="20"/>
                <w:szCs w:val="20"/>
                <w:color w:val="auto"/>
              </w:rPr>
            </w:pPr>
            <w:r>
              <w:rPr>
                <w:rFonts w:ascii="Arial" w:cs="Arial" w:eastAsia="Arial" w:hAnsi="Arial"/>
                <w:sz w:val="11"/>
                <w:szCs w:val="11"/>
                <w:b w:val="1"/>
                <w:bCs w:val="1"/>
                <w:color w:val="auto"/>
              </w:rPr>
              <w:t>736</w:t>
            </w:r>
          </w:p>
        </w:tc>
        <w:tc>
          <w:tcPr>
            <w:tcW w:w="680" w:type="dxa"/>
            <w:vAlign w:val="bottom"/>
            <w:gridSpan w:val="2"/>
            <w:shd w:val="clear" w:color="auto" w:fill="CCEEFF"/>
          </w:tcPr>
          <w:p>
            <w:pPr>
              <w:jc w:val="right"/>
              <w:ind w:right="3"/>
              <w:spacing w:after="0" w:line="123" w:lineRule="exact"/>
              <w:rPr>
                <w:sz w:val="20"/>
                <w:szCs w:val="20"/>
                <w:color w:val="auto"/>
              </w:rPr>
            </w:pPr>
            <w:r>
              <w:rPr>
                <w:rFonts w:ascii="Arial" w:cs="Arial" w:eastAsia="Arial" w:hAnsi="Arial"/>
                <w:sz w:val="11"/>
                <w:szCs w:val="11"/>
                <w:b w:val="1"/>
                <w:bCs w:val="1"/>
                <w:color w:val="auto"/>
              </w:rPr>
              <w:t>706</w:t>
            </w:r>
          </w:p>
        </w:tc>
        <w:tc>
          <w:tcPr>
            <w:tcW w:w="82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b w:val="1"/>
                <w:bCs w:val="1"/>
                <w:color w:val="auto"/>
              </w:rPr>
              <w:t>706</w:t>
            </w:r>
          </w:p>
        </w:tc>
        <w:tc>
          <w:tcPr>
            <w:tcW w:w="760" w:type="dxa"/>
            <w:vAlign w:val="bottom"/>
            <w:gridSpan w:val="2"/>
            <w:shd w:val="clear" w:color="auto" w:fill="CCEEFF"/>
          </w:tcPr>
          <w:p>
            <w:pPr>
              <w:jc w:val="right"/>
              <w:ind w:right="160"/>
              <w:spacing w:after="0" w:line="123" w:lineRule="exact"/>
              <w:rPr>
                <w:sz w:val="20"/>
                <w:szCs w:val="20"/>
                <w:color w:val="auto"/>
              </w:rPr>
            </w:pPr>
            <w:r>
              <w:rPr>
                <w:rFonts w:ascii="Arial" w:cs="Arial" w:eastAsia="Arial" w:hAnsi="Arial"/>
                <w:sz w:val="11"/>
                <w:szCs w:val="11"/>
                <w:b w:val="1"/>
                <w:bCs w:val="1"/>
                <w:color w:val="auto"/>
              </w:rPr>
              <w:t>0.0%</w:t>
            </w:r>
          </w:p>
        </w:tc>
        <w:tc>
          <w:tcPr>
            <w:tcW w:w="720" w:type="dxa"/>
            <w:vAlign w:val="bottom"/>
            <w:shd w:val="clear" w:color="auto" w:fill="CCEEFF"/>
          </w:tcPr>
          <w:p>
            <w:pPr>
              <w:jc w:val="right"/>
              <w:ind w:right="63"/>
              <w:spacing w:after="0" w:line="123" w:lineRule="exact"/>
              <w:rPr>
                <w:sz w:val="20"/>
                <w:szCs w:val="20"/>
                <w:color w:val="auto"/>
              </w:rPr>
            </w:pPr>
            <w:r>
              <w:rPr>
                <w:rFonts w:ascii="Arial" w:cs="Arial" w:eastAsia="Arial" w:hAnsi="Arial"/>
                <w:sz w:val="11"/>
                <w:szCs w:val="11"/>
                <w:b w:val="1"/>
                <w:bCs w:val="1"/>
                <w:color w:val="auto"/>
              </w:rPr>
              <w:t>(4.0)%</w:t>
            </w:r>
          </w:p>
        </w:tc>
        <w:tc>
          <w:tcPr>
            <w:tcW w:w="760" w:type="dxa"/>
            <w:vAlign w:val="bottom"/>
            <w:shd w:val="clear" w:color="auto" w:fill="CCEEFF"/>
          </w:tcPr>
          <w:p>
            <w:pPr>
              <w:jc w:val="right"/>
              <w:ind w:right="263"/>
              <w:spacing w:after="0" w:line="123" w:lineRule="exact"/>
              <w:rPr>
                <w:sz w:val="20"/>
                <w:szCs w:val="20"/>
                <w:color w:val="auto"/>
              </w:rPr>
            </w:pPr>
            <w:r>
              <w:rPr>
                <w:rFonts w:ascii="Arial" w:cs="Arial" w:eastAsia="Arial" w:hAnsi="Arial"/>
                <w:sz w:val="11"/>
                <w:szCs w:val="11"/>
                <w:b w:val="1"/>
                <w:bCs w:val="1"/>
                <w:color w:val="auto"/>
              </w:rPr>
              <w:t>¾</w:t>
            </w:r>
          </w:p>
        </w:tc>
        <w:tc>
          <w:tcPr>
            <w:tcW w:w="46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b w:val="1"/>
                <w:bCs w:val="1"/>
                <w:color w:val="auto"/>
              </w:rPr>
              <w:t>100.0%</w:t>
            </w:r>
          </w:p>
        </w:tc>
      </w:tr>
      <w:tr>
        <w:trPr>
          <w:trHeight w:val="148"/>
        </w:trPr>
        <w:tc>
          <w:tcPr>
            <w:tcW w:w="3020" w:type="dxa"/>
            <w:vAlign w:val="bottom"/>
          </w:tcPr>
          <w:p>
            <w:pPr>
              <w:spacing w:after="0"/>
              <w:rPr>
                <w:sz w:val="20"/>
                <w:szCs w:val="20"/>
                <w:color w:val="auto"/>
              </w:rPr>
            </w:pPr>
            <w:r>
              <w:rPr>
                <w:rFonts w:ascii="Arial" w:cs="Arial" w:eastAsia="Arial" w:hAnsi="Arial"/>
                <w:sz w:val="11"/>
                <w:szCs w:val="11"/>
                <w:b w:val="1"/>
                <w:bCs w:val="1"/>
                <w:color w:val="auto"/>
              </w:rPr>
              <w:t>Total loans</w:t>
            </w:r>
          </w:p>
        </w:tc>
        <w:tc>
          <w:tcPr>
            <w:tcW w:w="540" w:type="dxa"/>
            <w:vAlign w:val="bottom"/>
          </w:tcPr>
          <w:p>
            <w:pPr>
              <w:jc w:val="right"/>
              <w:ind w:right="43"/>
              <w:spacing w:after="0"/>
              <w:rPr>
                <w:sz w:val="20"/>
                <w:szCs w:val="20"/>
                <w:color w:val="auto"/>
              </w:rPr>
            </w:pPr>
            <w:r>
              <w:rPr>
                <w:rFonts w:ascii="Arial" w:cs="Arial" w:eastAsia="Arial" w:hAnsi="Arial"/>
                <w:sz w:val="11"/>
                <w:szCs w:val="11"/>
                <w:b w:val="1"/>
                <w:bCs w:val="1"/>
                <w:color w:val="auto"/>
              </w:rPr>
              <w:t>64,320</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70,655</w:t>
            </w:r>
          </w:p>
        </w:tc>
        <w:tc>
          <w:tcPr>
            <w:tcW w:w="8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70,919</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0.4%</w:t>
            </w: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10.3%</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13,002</w:t>
            </w:r>
          </w:p>
        </w:tc>
        <w:tc>
          <w:tcPr>
            <w:tcW w:w="680" w:type="dxa"/>
            <w:vAlign w:val="bottom"/>
            <w:gridSpan w:val="2"/>
          </w:tcPr>
          <w:p>
            <w:pPr>
              <w:jc w:val="right"/>
              <w:ind w:right="3"/>
              <w:spacing w:after="0"/>
              <w:rPr>
                <w:sz w:val="20"/>
                <w:szCs w:val="20"/>
                <w:color w:val="auto"/>
              </w:rPr>
            </w:pPr>
            <w:r>
              <w:rPr>
                <w:rFonts w:ascii="Arial" w:cs="Arial" w:eastAsia="Arial" w:hAnsi="Arial"/>
                <w:sz w:val="11"/>
                <w:szCs w:val="11"/>
                <w:b w:val="1"/>
                <w:bCs w:val="1"/>
                <w:color w:val="auto"/>
              </w:rPr>
              <w:t>13,119</w:t>
            </w:r>
          </w:p>
        </w:tc>
        <w:tc>
          <w:tcPr>
            <w:tcW w:w="8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13,127</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0.1%</w:t>
            </w:r>
          </w:p>
        </w:tc>
        <w:tc>
          <w:tcPr>
            <w:tcW w:w="720" w:type="dxa"/>
            <w:vAlign w:val="bottom"/>
          </w:tcPr>
          <w:p>
            <w:pPr>
              <w:jc w:val="right"/>
              <w:ind w:right="103"/>
              <w:spacing w:after="0"/>
              <w:rPr>
                <w:sz w:val="20"/>
                <w:szCs w:val="20"/>
                <w:color w:val="auto"/>
              </w:rPr>
            </w:pPr>
            <w:r>
              <w:rPr>
                <w:rFonts w:ascii="Arial" w:cs="Arial" w:eastAsia="Arial" w:hAnsi="Arial"/>
                <w:sz w:val="11"/>
                <w:szCs w:val="11"/>
                <w:b w:val="1"/>
                <w:bCs w:val="1"/>
                <w:color w:val="auto"/>
              </w:rPr>
              <w:t>1.0%</w:t>
            </w:r>
          </w:p>
        </w:tc>
        <w:tc>
          <w:tcPr>
            <w:tcW w:w="760" w:type="dxa"/>
            <w:vAlign w:val="bottom"/>
          </w:tcPr>
          <w:p>
            <w:pPr>
              <w:jc w:val="right"/>
              <w:ind w:right="163"/>
              <w:spacing w:after="0"/>
              <w:rPr>
                <w:sz w:val="20"/>
                <w:szCs w:val="20"/>
                <w:color w:val="auto"/>
              </w:rPr>
            </w:pPr>
            <w:r>
              <w:rPr>
                <w:rFonts w:ascii="Arial" w:cs="Arial" w:eastAsia="Arial" w:hAnsi="Arial"/>
                <w:sz w:val="11"/>
                <w:szCs w:val="11"/>
                <w:b w:val="1"/>
                <w:bCs w:val="1"/>
                <w:color w:val="auto"/>
              </w:rPr>
              <w:t>61.2%</w:t>
            </w:r>
          </w:p>
        </w:tc>
        <w:tc>
          <w:tcPr>
            <w:tcW w:w="460" w:type="dxa"/>
            <w:vAlign w:val="bottom"/>
            <w:gridSpan w:val="2"/>
          </w:tcPr>
          <w:p>
            <w:pPr>
              <w:jc w:val="right"/>
              <w:spacing w:after="0"/>
              <w:rPr>
                <w:sz w:val="20"/>
                <w:szCs w:val="20"/>
                <w:color w:val="auto"/>
              </w:rPr>
            </w:pPr>
            <w:r>
              <w:rPr>
                <w:rFonts w:ascii="Arial" w:cs="Arial" w:eastAsia="Arial" w:hAnsi="Arial"/>
                <w:sz w:val="11"/>
                <w:szCs w:val="11"/>
                <w:b w:val="1"/>
                <w:bCs w:val="1"/>
                <w:color w:val="auto"/>
              </w:rPr>
              <w:t>38.8%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139700</wp:posOffset>
            </wp:positionV>
            <wp:extent cx="1786255"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(1)  Includes Work out unit, and other banking.</w:t>
      </w:r>
    </w:p>
    <w:p>
      <w:pPr>
        <w:spacing w:after="0" w:line="209" w:lineRule="exact"/>
        <w:rPr>
          <w:sz w:val="20"/>
          <w:szCs w:val="20"/>
          <w:color w:val="auto"/>
        </w:rPr>
      </w:pPr>
    </w:p>
    <w:p>
      <w:pPr>
        <w:ind w:right="80" w:firstLine="295"/>
        <w:spacing w:after="0" w:line="271" w:lineRule="auto"/>
        <w:rPr>
          <w:sz w:val="20"/>
          <w:szCs w:val="20"/>
          <w:color w:val="auto"/>
        </w:rPr>
      </w:pPr>
      <w:r>
        <w:rPr>
          <w:rFonts w:ascii="Arial" w:cs="Arial" w:eastAsia="Arial" w:hAnsi="Arial"/>
          <w:sz w:val="16"/>
          <w:szCs w:val="16"/>
          <w:color w:val="auto"/>
        </w:rPr>
        <w:t>For the three months ended March 31, 2020, LC loan growth was led by the retail banking segment and Mibanco, offset in part by decreases in the wholesale banking portfolio. The corporate banking segment contributed to growth in the FC loan portfolio, offset in part by decreases in the SME-Business and mortgage segments within retail banking.</w:t>
      </w:r>
    </w:p>
    <w:p>
      <w:pPr>
        <w:spacing w:after="0" w:line="163" w:lineRule="exact"/>
        <w:rPr>
          <w:sz w:val="20"/>
          <w:szCs w:val="20"/>
          <w:color w:val="auto"/>
        </w:rPr>
      </w:pPr>
    </w:p>
    <w:p>
      <w:pPr>
        <w:ind w:right="20" w:firstLine="295"/>
        <w:spacing w:after="0" w:line="322" w:lineRule="auto"/>
        <w:rPr>
          <w:sz w:val="20"/>
          <w:szCs w:val="20"/>
          <w:color w:val="auto"/>
        </w:rPr>
      </w:pPr>
      <w:r>
        <w:rPr>
          <w:rFonts w:ascii="Arial" w:cs="Arial" w:eastAsia="Arial" w:hAnsi="Arial"/>
          <w:sz w:val="15"/>
          <w:szCs w:val="15"/>
          <w:color w:val="auto"/>
        </w:rPr>
        <w:t>For the four quarters ended March 31, 2020, the wholesale banking and retail banking segments and Mibanco contributed to growth in the LC portfolio. Within the FC portfolio, wholesale banking and BCP Bolivia were the primary contributors to growth, offset in part by a decrease in balances in FC loans in the mortgage segment.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438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2" w:name="page163"/>
    <w:bookmarkEnd w:id="162"/>
    <w:p>
      <w:pPr>
        <w:jc w:val="center"/>
        <w:ind w:right="-1"/>
        <w:spacing w:after="0"/>
        <w:rPr>
          <w:sz w:val="20"/>
          <w:szCs w:val="20"/>
          <w:color w:val="auto"/>
        </w:rPr>
      </w:pPr>
      <w:r>
        <w:rPr>
          <w:rFonts w:ascii="Arial" w:cs="Arial" w:eastAsia="Arial" w:hAnsi="Arial"/>
          <w:sz w:val="16"/>
          <w:szCs w:val="16"/>
          <w:b w:val="1"/>
          <w:bCs w:val="1"/>
          <w:color w:val="auto"/>
        </w:rPr>
        <w:t>Twelve Months Ended March 31, 2020 Growth of the Level of Dollarization by Segment(1)(2)(3)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6169660" cy="2160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69660"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2" w:hanging="302"/>
        <w:spacing w:after="0"/>
        <w:tabs>
          <w:tab w:leader="none" w:pos="30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Average daily balances.</w:t>
      </w:r>
    </w:p>
    <w:p>
      <w:pPr>
        <w:spacing w:after="0" w:line="209" w:lineRule="exact"/>
        <w:rPr>
          <w:rFonts w:ascii="Arial" w:cs="Arial" w:eastAsia="Arial" w:hAnsi="Arial"/>
          <w:sz w:val="16"/>
          <w:szCs w:val="16"/>
          <w:color w:val="auto"/>
        </w:rPr>
      </w:pPr>
    </w:p>
    <w:p>
      <w:pPr>
        <w:ind w:left="302" w:right="380" w:hanging="302"/>
        <w:spacing w:after="0" w:line="287" w:lineRule="auto"/>
        <w:tabs>
          <w:tab w:leader="none" w:pos="30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FC share of Credicorp’s loan portfolio is calculated including BCP Bolivia and Atlantic Security Bank, however the chart shows only the loan books of BCP Stand-alone and Mibanco.</w:t>
      </w:r>
    </w:p>
    <w:p>
      <w:pPr>
        <w:spacing w:after="0" w:line="149" w:lineRule="exact"/>
        <w:rPr>
          <w:rFonts w:ascii="Arial" w:cs="Arial" w:eastAsia="Arial" w:hAnsi="Arial"/>
          <w:sz w:val="16"/>
          <w:szCs w:val="16"/>
          <w:color w:val="auto"/>
        </w:rPr>
      </w:pPr>
    </w:p>
    <w:p>
      <w:pPr>
        <w:ind w:left="302" w:hanging="302"/>
        <w:spacing w:after="0"/>
        <w:tabs>
          <w:tab w:leader="none" w:pos="30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year with the historic maximum level of dollarization for Wholesale Banking was 2012, for Mibanco was 2016 and for the rest of segments was 2009.</w:t>
      </w:r>
    </w:p>
    <w:p>
      <w:pPr>
        <w:spacing w:after="0" w:line="209" w:lineRule="exact"/>
        <w:rPr>
          <w:sz w:val="20"/>
          <w:szCs w:val="20"/>
          <w:color w:val="auto"/>
        </w:rPr>
      </w:pPr>
    </w:p>
    <w:p>
      <w:pPr>
        <w:ind w:left="2" w:firstLine="295"/>
        <w:spacing w:after="0" w:line="271" w:lineRule="auto"/>
        <w:rPr>
          <w:sz w:val="20"/>
          <w:szCs w:val="20"/>
          <w:color w:val="auto"/>
        </w:rPr>
      </w:pPr>
      <w:r>
        <w:rPr>
          <w:rFonts w:ascii="Arial" w:cs="Arial" w:eastAsia="Arial" w:hAnsi="Arial"/>
          <w:sz w:val="16"/>
          <w:szCs w:val="16"/>
          <w:color w:val="auto"/>
        </w:rPr>
        <w:t>At BCP, the level of loans denominated in U.S. dollars fell to 36% as of March 31, 2020. Dollarization continued a downward trend across segments, led by the mortgage segment, which decreased from 17% as of March 31, 2019 to 13% as of March 31, 2020. This decrease was due to a high percentage of mortgage loans that were disbursed in FC and also reflects compliance with the dollarization targets set by the BCRP.</w:t>
      </w:r>
    </w:p>
    <w:p>
      <w:pPr>
        <w:spacing w:after="0" w:line="163" w:lineRule="exact"/>
        <w:rPr>
          <w:sz w:val="20"/>
          <w:szCs w:val="20"/>
          <w:color w:val="auto"/>
        </w:rPr>
      </w:pPr>
    </w:p>
    <w:p>
      <w:pPr>
        <w:ind w:left="302"/>
        <w:spacing w:after="0"/>
        <w:rPr>
          <w:sz w:val="20"/>
          <w:szCs w:val="20"/>
          <w:color w:val="auto"/>
        </w:rPr>
      </w:pPr>
      <w:r>
        <w:rPr>
          <w:rFonts w:ascii="Arial" w:cs="Arial" w:eastAsia="Arial" w:hAnsi="Arial"/>
          <w:sz w:val="16"/>
          <w:szCs w:val="16"/>
          <w:color w:val="auto"/>
        </w:rPr>
        <w:t>As shown by the chart below, the share of the loan portfolio that is highly exposed to foreign currency exchange risk on credit risk remains relatively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1770380</wp:posOffset>
            </wp:positionH>
            <wp:positionV relativeFrom="paragraph">
              <wp:posOffset>140335</wp:posOffset>
            </wp:positionV>
            <wp:extent cx="3580130" cy="18796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580130" cy="187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02"/>
        <w:spacing w:after="0"/>
        <w:rPr>
          <w:sz w:val="20"/>
          <w:szCs w:val="20"/>
          <w:color w:val="auto"/>
        </w:rPr>
      </w:pPr>
      <w:r>
        <w:rPr>
          <w:rFonts w:ascii="Arial" w:cs="Arial" w:eastAsia="Arial" w:hAnsi="Arial"/>
          <w:sz w:val="16"/>
          <w:szCs w:val="16"/>
          <w:i w:val="1"/>
          <w:iCs w:val="1"/>
          <w:color w:val="auto"/>
        </w:rPr>
        <w:t>BCRP De-Dollarization plan at BCP Stand-alone</w:t>
      </w:r>
    </w:p>
    <w:p>
      <w:pPr>
        <w:spacing w:after="0" w:line="209" w:lineRule="exact"/>
        <w:rPr>
          <w:sz w:val="20"/>
          <w:szCs w:val="20"/>
          <w:color w:val="auto"/>
        </w:rPr>
      </w:pPr>
    </w:p>
    <w:p>
      <w:pPr>
        <w:ind w:left="2" w:firstLine="295"/>
        <w:spacing w:after="0" w:line="264" w:lineRule="auto"/>
        <w:rPr>
          <w:sz w:val="20"/>
          <w:szCs w:val="20"/>
          <w:color w:val="auto"/>
        </w:rPr>
      </w:pPr>
      <w:r>
        <w:rPr>
          <w:rFonts w:ascii="Arial" w:cs="Arial" w:eastAsia="Arial" w:hAnsi="Arial"/>
          <w:sz w:val="16"/>
          <w:szCs w:val="16"/>
          <w:color w:val="auto"/>
        </w:rPr>
        <w:t>At the end of 2014, the BCRP established a program to reduce the dollarization level of the total loan portfolio throughout the Peruvian banking system. As part of this program, the BCRP set certain targets to reduce loan balances denominated in U.S. dollars progressively by the end of each of June 2015, December 2015, December 2016, December 2017, December 2018 and December 2019. However, for the remainder of 2020, the BCRP has suspended the requirement for additional reserves for FC loans and consequently suspended the reduction targets for loan balances in FC. This change in position by the BCRP was driven by the need to bolster liquidity in the financial system to mitigate the economic impact of the COVID-19 pandemic.</w:t>
      </w:r>
    </w:p>
    <w:p>
      <w:pPr>
        <w:spacing w:after="0" w:line="36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20" w:right="339" w:bottom="1440" w:gutter="0" w:footer="0" w:header="0"/>
        </w:sectPr>
      </w:pPr>
    </w:p>
    <w:bookmarkStart w:id="163" w:name="page164"/>
    <w:bookmarkEnd w:id="163"/>
    <w:p>
      <w:pPr>
        <w:ind w:left="300"/>
        <w:spacing w:after="0"/>
        <w:rPr>
          <w:sz w:val="20"/>
          <w:szCs w:val="20"/>
          <w:color w:val="auto"/>
        </w:rPr>
      </w:pPr>
      <w:r>
        <w:rPr>
          <w:rFonts w:ascii="Arial" w:cs="Arial" w:eastAsia="Arial" w:hAnsi="Arial"/>
          <w:sz w:val="16"/>
          <w:szCs w:val="16"/>
          <w:i w:val="1"/>
          <w:iCs w:val="1"/>
          <w:color w:val="auto"/>
        </w:rPr>
        <w:t>Market Share in Loans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Market Share in Peru(1)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1742440</wp:posOffset>
            </wp:positionV>
            <wp:extent cx="178625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8625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142875</wp:posOffset>
            </wp:positionV>
            <wp:extent cx="4804410" cy="14116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804410" cy="141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(1)  Market shares are different than previously reported because they now include non-performing loans in the sample.</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Peruvian Financial System</w:t>
      </w:r>
    </w:p>
    <w:p>
      <w:pPr>
        <w:spacing w:after="0" w:line="209" w:lineRule="exact"/>
        <w:rPr>
          <w:sz w:val="20"/>
          <w:szCs w:val="20"/>
          <w:color w:val="auto"/>
        </w:rPr>
      </w:pPr>
    </w:p>
    <w:p>
      <w:pPr>
        <w:ind w:right="60" w:firstLine="295"/>
        <w:spacing w:after="0" w:line="271" w:lineRule="auto"/>
        <w:rPr>
          <w:sz w:val="20"/>
          <w:szCs w:val="20"/>
          <w:color w:val="auto"/>
        </w:rPr>
      </w:pPr>
      <w:r>
        <w:rPr>
          <w:rFonts w:ascii="Arial" w:cs="Arial" w:eastAsia="Arial" w:hAnsi="Arial"/>
          <w:sz w:val="16"/>
          <w:szCs w:val="16"/>
          <w:color w:val="auto"/>
        </w:rPr>
        <w:t>At the end of February 2020, BCP continued to lead the Peruvian financial market with a market share of 28.8%, with the next closest competitor registering a market share of 17.7%. Mibanco’s market share of the total financial system was 3.2%, which was similar to its market share positions as of December 31, 2019 and March 31, 2019.</w:t>
      </w:r>
    </w:p>
    <w:p>
      <w:pPr>
        <w:spacing w:after="0" w:line="163" w:lineRule="exact"/>
        <w:rPr>
          <w:sz w:val="20"/>
          <w:szCs w:val="20"/>
          <w:color w:val="auto"/>
        </w:rPr>
      </w:pPr>
    </w:p>
    <w:p>
      <w:pPr>
        <w:ind w:firstLine="295"/>
        <w:spacing w:after="0" w:line="266" w:lineRule="auto"/>
        <w:rPr>
          <w:sz w:val="20"/>
          <w:szCs w:val="20"/>
          <w:color w:val="auto"/>
        </w:rPr>
      </w:pPr>
      <w:r>
        <w:rPr>
          <w:rFonts w:ascii="Arial" w:cs="Arial" w:eastAsia="Arial" w:hAnsi="Arial"/>
          <w:sz w:val="16"/>
          <w:szCs w:val="16"/>
          <w:color w:val="auto"/>
        </w:rPr>
        <w:t>Within wholesale banking, the corporate banking segment registered an advance of 40 basis points in its market share compared to its market share as of December 31, 2019. The middle market banking segment’s market share held steady at 35.9%. In the four quarters ended March 31, 2020, the corporate banking segment registered a 40 basis point decline in its market share while the middle market banking segment reported a 50 basis point increase in its market share. These BCP segments continue to lead their respective markets.</w:t>
      </w:r>
    </w:p>
    <w:p>
      <w:pPr>
        <w:spacing w:after="0" w:line="167" w:lineRule="exact"/>
        <w:rPr>
          <w:sz w:val="20"/>
          <w:szCs w:val="20"/>
          <w:color w:val="auto"/>
        </w:rPr>
      </w:pPr>
    </w:p>
    <w:p>
      <w:pPr>
        <w:jc w:val="both"/>
        <w:ind w:right="20" w:firstLine="295"/>
        <w:spacing w:after="0" w:line="271" w:lineRule="auto"/>
        <w:rPr>
          <w:sz w:val="20"/>
          <w:szCs w:val="20"/>
          <w:color w:val="auto"/>
        </w:rPr>
      </w:pPr>
      <w:r>
        <w:rPr>
          <w:rFonts w:ascii="Arial" w:cs="Arial" w:eastAsia="Arial" w:hAnsi="Arial"/>
          <w:sz w:val="16"/>
          <w:szCs w:val="16"/>
          <w:color w:val="auto"/>
        </w:rPr>
        <w:t>As of March 31, 2020, in retail banking, BCP continued to lead the market in the mortgage segment (a zero basis point increase compared to December 31, 2019 and a 60 basis point increase compared to March 31, 2019) and in the SME-Business segment (a 120 basis points decrease compared to December 31, 2019 and 310 basis points increase compared to March 31, 2019). In the consumer and credit card segments, BCP ranked second in both markets.</w:t>
      </w:r>
    </w:p>
    <w:p>
      <w:pPr>
        <w:spacing w:after="0" w:line="163" w:lineRule="exact"/>
        <w:rPr>
          <w:sz w:val="20"/>
          <w:szCs w:val="20"/>
          <w:color w:val="auto"/>
        </w:rPr>
      </w:pPr>
    </w:p>
    <w:p>
      <w:pPr>
        <w:jc w:val="both"/>
        <w:ind w:right="20" w:firstLine="295"/>
        <w:spacing w:after="0" w:line="271" w:lineRule="auto"/>
        <w:rPr>
          <w:sz w:val="20"/>
          <w:szCs w:val="20"/>
          <w:color w:val="auto"/>
        </w:rPr>
      </w:pPr>
      <w:r>
        <w:rPr>
          <w:rFonts w:ascii="Arial" w:cs="Arial" w:eastAsia="Arial" w:hAnsi="Arial"/>
          <w:sz w:val="16"/>
          <w:szCs w:val="16"/>
          <w:color w:val="auto"/>
        </w:rPr>
        <w:t>In the SME-Pyme segment, Mibanco continued to lead with a market share of 21.9%, which was greater than the market share of 21.7% registered as of December 31, 2019, but lower than the 22.4% market share reported as of March 31, 2019 due to a highly competitive market for microlending in 2019. BCP continued to rank second in the microlending segment with a market share of 11.6%.</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Bolivian Financial System</w:t>
      </w:r>
    </w:p>
    <w:p>
      <w:pPr>
        <w:spacing w:after="0" w:line="209" w:lineRule="exact"/>
        <w:rPr>
          <w:sz w:val="20"/>
          <w:szCs w:val="20"/>
          <w:color w:val="auto"/>
        </w:rPr>
      </w:pPr>
    </w:p>
    <w:p>
      <w:pPr>
        <w:ind w:right="300" w:firstLine="295"/>
        <w:spacing w:after="0" w:line="287" w:lineRule="auto"/>
        <w:rPr>
          <w:sz w:val="20"/>
          <w:szCs w:val="20"/>
          <w:color w:val="auto"/>
        </w:rPr>
      </w:pPr>
      <w:r>
        <w:rPr>
          <w:rFonts w:ascii="Arial" w:cs="Arial" w:eastAsia="Arial" w:hAnsi="Arial"/>
          <w:sz w:val="16"/>
          <w:szCs w:val="16"/>
          <w:color w:val="auto"/>
        </w:rPr>
        <w:t>Finally, BCP Bolivia’s market share remained at the levels recorded in the last quarter of 2019 and for the previous year. BCP Bolivia continues to rank fifth in the Bolivian financial system with a market share of 9.4%.</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Funding Sources</w:t>
      </w:r>
    </w:p>
    <w:p>
      <w:pPr>
        <w:spacing w:after="0" w:line="213" w:lineRule="exact"/>
        <w:rPr>
          <w:sz w:val="20"/>
          <w:szCs w:val="20"/>
          <w:color w:val="auto"/>
        </w:rPr>
      </w:pPr>
    </w:p>
    <w:p>
      <w:pPr>
        <w:ind w:right="60" w:firstLine="295"/>
        <w:spacing w:after="0" w:line="285" w:lineRule="auto"/>
        <w:rPr>
          <w:sz w:val="20"/>
          <w:szCs w:val="20"/>
          <w:color w:val="auto"/>
        </w:rPr>
      </w:pPr>
      <w:r>
        <w:rPr>
          <w:rFonts w:ascii="Arial" w:cs="Arial" w:eastAsia="Arial" w:hAnsi="Arial"/>
          <w:sz w:val="15"/>
          <w:szCs w:val="15"/>
          <w:color w:val="auto"/>
        </w:rPr>
        <w:t>As of March 31, 2020, total funding increased 7.0% in comparison to December 31, 2019 and 13.6% in comparison to March 31, 2019. Growth was primarily attributable to an increase in deposits and obligations, which each recorded increases in their share of total funding. These increases were driven mainly by growth in the volume of demand deposits, primarily non-interest bearing, and savings deposits, which constitute lowest-cost sources of funding. Within other sources of funding, the highest growth was seen in due to banks and correspondents. As of March 31, 2020, the funding mix and the rate effect contributed to a contraction in Credicorp’s funding cost of 17 basis points compared to December 31, 2019 and a 25 basis points decrease compared to March 31, 2019.</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438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94"/>
        </w:trPr>
        <w:tc>
          <w:tcPr>
            <w:tcW w:w="5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jc w:val="center"/>
              <w:ind w:right="146"/>
              <w:spacing w:after="0"/>
              <w:rPr>
                <w:sz w:val="20"/>
                <w:szCs w:val="20"/>
                <w:color w:val="auto"/>
              </w:rPr>
            </w:pPr>
            <w:r>
              <w:rPr>
                <w:rFonts w:ascii="Arial" w:cs="Arial" w:eastAsia="Arial" w:hAnsi="Arial"/>
                <w:sz w:val="15"/>
                <w:szCs w:val="15"/>
                <w:b w:val="1"/>
                <w:bCs w:val="1"/>
                <w:color w:val="auto"/>
                <w:w w:val="85"/>
              </w:rPr>
              <w:t>As of</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gridSpan w:val="3"/>
          </w:tcPr>
          <w:p>
            <w:pPr>
              <w:jc w:val="right"/>
              <w:ind w:right="980"/>
              <w:spacing w:after="0"/>
              <w:rPr>
                <w:sz w:val="20"/>
                <w:szCs w:val="20"/>
                <w:color w:val="auto"/>
              </w:rPr>
            </w:pPr>
            <w:r>
              <w:rPr>
                <w:rFonts w:ascii="Arial" w:cs="Arial" w:eastAsia="Arial" w:hAnsi="Arial"/>
                <w:sz w:val="15"/>
                <w:szCs w:val="15"/>
                <w:b w:val="1"/>
                <w:bCs w:val="1"/>
                <w:color w:val="auto"/>
              </w:rPr>
              <w:t>% Change</w:t>
            </w:r>
          </w:p>
        </w:tc>
      </w:tr>
      <w:tr>
        <w:trPr>
          <w:trHeight w:val="167"/>
        </w:trPr>
        <w:tc>
          <w:tcPr>
            <w:tcW w:w="51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top w:val="single" w:sz="8" w:color="auto"/>
            </w:tcBorders>
          </w:tcPr>
          <w:p>
            <w:pPr>
              <w:jc w:val="right"/>
              <w:ind w:right="466"/>
              <w:spacing w:after="0" w:line="167" w:lineRule="exact"/>
              <w:rPr>
                <w:sz w:val="20"/>
                <w:szCs w:val="20"/>
                <w:color w:val="auto"/>
              </w:rPr>
            </w:pPr>
            <w:r>
              <w:rPr>
                <w:rFonts w:ascii="Arial" w:cs="Arial" w:eastAsia="Arial" w:hAnsi="Arial"/>
                <w:sz w:val="15"/>
                <w:szCs w:val="15"/>
                <w:b w:val="1"/>
                <w:bCs w:val="1"/>
                <w:color w:val="auto"/>
              </w:rPr>
              <w:t>March</w:t>
            </w:r>
          </w:p>
        </w:tc>
        <w:tc>
          <w:tcPr>
            <w:tcW w:w="10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84"/>
        </w:trPr>
        <w:tc>
          <w:tcPr>
            <w:tcW w:w="5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386"/>
              <w:spacing w:after="0"/>
              <w:rPr>
                <w:sz w:val="20"/>
                <w:szCs w:val="20"/>
                <w:color w:val="auto"/>
              </w:rPr>
            </w:pPr>
            <w:r>
              <w:rPr>
                <w:rFonts w:ascii="Arial" w:cs="Arial" w:eastAsia="Arial" w:hAnsi="Arial"/>
                <w:sz w:val="15"/>
                <w:szCs w:val="15"/>
                <w:b w:val="1"/>
                <w:bCs w:val="1"/>
                <w:color w:val="auto"/>
              </w:rPr>
              <w:t>31, 2020 /</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4"/>
        </w:trPr>
        <w:tc>
          <w:tcPr>
            <w:tcW w:w="5100" w:type="dxa"/>
            <w:vAlign w:val="bottom"/>
          </w:tcPr>
          <w:p>
            <w:pPr>
              <w:spacing w:after="0"/>
              <w:rPr>
                <w:sz w:val="16"/>
                <w:szCs w:val="16"/>
                <w:color w:val="auto"/>
              </w:rPr>
            </w:pPr>
          </w:p>
        </w:tc>
        <w:tc>
          <w:tcPr>
            <w:tcW w:w="1200" w:type="dxa"/>
            <w:vAlign w:val="bottom"/>
          </w:tcPr>
          <w:p>
            <w:pPr>
              <w:jc w:val="right"/>
              <w:ind w:right="406"/>
              <w:spacing w:after="0"/>
              <w:rPr>
                <w:sz w:val="20"/>
                <w:szCs w:val="20"/>
                <w:color w:val="auto"/>
              </w:rPr>
            </w:pPr>
            <w:r>
              <w:rPr>
                <w:rFonts w:ascii="Arial" w:cs="Arial" w:eastAsia="Arial" w:hAnsi="Arial"/>
                <w:sz w:val="15"/>
                <w:szCs w:val="15"/>
                <w:b w:val="1"/>
                <w:bCs w:val="1"/>
                <w:color w:val="auto"/>
              </w:rPr>
              <w:t>March</w:t>
            </w:r>
          </w:p>
        </w:tc>
        <w:tc>
          <w:tcPr>
            <w:tcW w:w="1260" w:type="dxa"/>
            <w:vAlign w:val="bottom"/>
          </w:tcPr>
          <w:p>
            <w:pPr>
              <w:jc w:val="center"/>
              <w:ind w:right="146"/>
              <w:spacing w:after="0"/>
              <w:rPr>
                <w:sz w:val="20"/>
                <w:szCs w:val="20"/>
                <w:color w:val="auto"/>
              </w:rPr>
            </w:pPr>
            <w:r>
              <w:rPr>
                <w:rFonts w:ascii="Arial" w:cs="Arial" w:eastAsia="Arial" w:hAnsi="Arial"/>
                <w:sz w:val="15"/>
                <w:szCs w:val="15"/>
                <w:b w:val="1"/>
                <w:bCs w:val="1"/>
                <w:color w:val="auto"/>
                <w:w w:val="88"/>
              </w:rPr>
              <w:t>December</w:t>
            </w:r>
          </w:p>
        </w:tc>
        <w:tc>
          <w:tcPr>
            <w:tcW w:w="1220" w:type="dxa"/>
            <w:vAlign w:val="bottom"/>
            <w:gridSpan w:val="2"/>
          </w:tcPr>
          <w:p>
            <w:pPr>
              <w:ind w:left="280"/>
              <w:spacing w:after="0"/>
              <w:rPr>
                <w:sz w:val="20"/>
                <w:szCs w:val="20"/>
                <w:color w:val="auto"/>
              </w:rPr>
            </w:pPr>
            <w:r>
              <w:rPr>
                <w:rFonts w:ascii="Arial" w:cs="Arial" w:eastAsia="Arial" w:hAnsi="Arial"/>
                <w:sz w:val="15"/>
                <w:szCs w:val="15"/>
                <w:b w:val="1"/>
                <w:bCs w:val="1"/>
                <w:color w:val="auto"/>
              </w:rPr>
              <w:t>March</w:t>
            </w:r>
          </w:p>
        </w:tc>
        <w:tc>
          <w:tcPr>
            <w:tcW w:w="1260" w:type="dxa"/>
            <w:vAlign w:val="bottom"/>
          </w:tcPr>
          <w:p>
            <w:pPr>
              <w:jc w:val="right"/>
              <w:ind w:right="366"/>
              <w:spacing w:after="0"/>
              <w:rPr>
                <w:sz w:val="20"/>
                <w:szCs w:val="20"/>
                <w:color w:val="auto"/>
              </w:rPr>
            </w:pPr>
            <w:r>
              <w:rPr>
                <w:rFonts w:ascii="Arial" w:cs="Arial" w:eastAsia="Arial" w:hAnsi="Arial"/>
                <w:sz w:val="15"/>
                <w:szCs w:val="15"/>
                <w:b w:val="1"/>
                <w:bCs w:val="1"/>
                <w:color w:val="auto"/>
              </w:rPr>
              <w:t>December</w:t>
            </w:r>
          </w:p>
        </w:tc>
        <w:tc>
          <w:tcPr>
            <w:tcW w:w="120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March</w:t>
            </w:r>
          </w:p>
        </w:tc>
      </w:tr>
      <w:tr>
        <w:trPr>
          <w:trHeight w:val="194"/>
        </w:trPr>
        <w:tc>
          <w:tcPr>
            <w:tcW w:w="5100" w:type="dxa"/>
            <w:vAlign w:val="bottom"/>
          </w:tcPr>
          <w:p>
            <w:pPr>
              <w:spacing w:after="0"/>
              <w:rPr>
                <w:sz w:val="16"/>
                <w:szCs w:val="16"/>
                <w:color w:val="auto"/>
              </w:rPr>
            </w:pPr>
          </w:p>
        </w:tc>
        <w:tc>
          <w:tcPr>
            <w:tcW w:w="120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31, 2019</w:t>
            </w:r>
          </w:p>
        </w:tc>
        <w:tc>
          <w:tcPr>
            <w:tcW w:w="1260" w:type="dxa"/>
            <w:vAlign w:val="bottom"/>
            <w:tcBorders>
              <w:bottom w:val="single" w:sz="8" w:color="auto"/>
            </w:tcBorders>
          </w:tcPr>
          <w:p>
            <w:pPr>
              <w:jc w:val="center"/>
              <w:ind w:right="146"/>
              <w:spacing w:after="0"/>
              <w:rPr>
                <w:sz w:val="20"/>
                <w:szCs w:val="20"/>
                <w:color w:val="auto"/>
              </w:rPr>
            </w:pPr>
            <w:r>
              <w:rPr>
                <w:rFonts w:ascii="Arial" w:cs="Arial" w:eastAsia="Arial" w:hAnsi="Arial"/>
                <w:sz w:val="15"/>
                <w:szCs w:val="15"/>
                <w:b w:val="1"/>
                <w:bCs w:val="1"/>
                <w:color w:val="auto"/>
                <w:w w:val="88"/>
              </w:rPr>
              <w:t>31, 2019</w:t>
            </w:r>
          </w:p>
        </w:tc>
        <w:tc>
          <w:tcPr>
            <w:tcW w:w="10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31, 2020</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31, 2019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3"/>
              </w:rPr>
              <w:t>31, 2020 / 2019</w:t>
            </w:r>
          </w:p>
        </w:tc>
        <w:tc>
          <w:tcPr>
            <w:tcW w:w="160" w:type="dxa"/>
            <w:vAlign w:val="bottom"/>
          </w:tcPr>
          <w:p>
            <w:pPr>
              <w:spacing w:after="0"/>
              <w:rPr>
                <w:sz w:val="16"/>
                <w:szCs w:val="16"/>
                <w:color w:val="auto"/>
              </w:rPr>
            </w:pPr>
          </w:p>
        </w:tc>
      </w:tr>
      <w:tr>
        <w:trPr>
          <w:trHeight w:val="179"/>
        </w:trPr>
        <w:tc>
          <w:tcPr>
            <w:tcW w:w="5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740" w:type="dxa"/>
            <w:vAlign w:val="bottom"/>
            <w:gridSpan w:val="4"/>
          </w:tcPr>
          <w:p>
            <w:pPr>
              <w:jc w:val="right"/>
              <w:ind w:right="626"/>
              <w:spacing w:after="0"/>
              <w:rPr>
                <w:sz w:val="20"/>
                <w:szCs w:val="20"/>
                <w:color w:val="auto"/>
              </w:rPr>
            </w:pPr>
            <w:r>
              <w:rPr>
                <w:rFonts w:ascii="Arial" w:cs="Arial" w:eastAsia="Arial" w:hAnsi="Arial"/>
                <w:sz w:val="15"/>
                <w:szCs w:val="15"/>
                <w:b w:val="1"/>
                <w:bCs w:val="1"/>
                <w:color w:val="auto"/>
              </w:rPr>
              <w:t>(Soles in thousands, except percentages)</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4"/>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Demand deposits</w:t>
            </w:r>
          </w:p>
        </w:tc>
        <w:tc>
          <w:tcPr>
            <w:tcW w:w="12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31,695,558</w:t>
            </w:r>
          </w:p>
        </w:tc>
        <w:tc>
          <w:tcPr>
            <w:tcW w:w="126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34,213,188</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38,746,240</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13.2%</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22.2%</w:t>
            </w:r>
          </w:p>
        </w:tc>
      </w:tr>
      <w:tr>
        <w:trPr>
          <w:trHeight w:val="184"/>
        </w:trPr>
        <w:tc>
          <w:tcPr>
            <w:tcW w:w="5100" w:type="dxa"/>
            <w:vAlign w:val="bottom"/>
          </w:tcPr>
          <w:p>
            <w:pPr>
              <w:spacing w:after="0"/>
              <w:rPr>
                <w:sz w:val="20"/>
                <w:szCs w:val="20"/>
                <w:color w:val="auto"/>
              </w:rPr>
            </w:pPr>
            <w:r>
              <w:rPr>
                <w:rFonts w:ascii="Arial" w:cs="Arial" w:eastAsia="Arial" w:hAnsi="Arial"/>
                <w:sz w:val="15"/>
                <w:szCs w:val="15"/>
                <w:color w:val="auto"/>
              </w:rPr>
              <w:t>Saving deposits</w:t>
            </w:r>
          </w:p>
        </w:tc>
        <w:tc>
          <w:tcPr>
            <w:tcW w:w="1200" w:type="dxa"/>
            <w:vAlign w:val="bottom"/>
          </w:tcPr>
          <w:p>
            <w:pPr>
              <w:jc w:val="right"/>
              <w:ind w:right="126"/>
              <w:spacing w:after="0"/>
              <w:rPr>
                <w:sz w:val="20"/>
                <w:szCs w:val="20"/>
                <w:color w:val="auto"/>
              </w:rPr>
            </w:pPr>
            <w:r>
              <w:rPr>
                <w:rFonts w:ascii="Arial" w:cs="Arial" w:eastAsia="Arial" w:hAnsi="Arial"/>
                <w:sz w:val="15"/>
                <w:szCs w:val="15"/>
                <w:color w:val="auto"/>
              </w:rPr>
              <w:t>32,968,147</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35,179,770</w:t>
            </w:r>
          </w:p>
        </w:tc>
        <w:tc>
          <w:tcPr>
            <w:tcW w:w="1000" w:type="dxa"/>
            <w:vAlign w:val="bottom"/>
          </w:tcPr>
          <w:p>
            <w:pPr>
              <w:jc w:val="right"/>
              <w:spacing w:after="0"/>
              <w:rPr>
                <w:sz w:val="20"/>
                <w:szCs w:val="20"/>
                <w:color w:val="auto"/>
              </w:rPr>
            </w:pPr>
            <w:r>
              <w:rPr>
                <w:rFonts w:ascii="Arial" w:cs="Arial" w:eastAsia="Arial" w:hAnsi="Arial"/>
                <w:sz w:val="15"/>
                <w:szCs w:val="15"/>
                <w:color w:val="auto"/>
              </w:rPr>
              <w:t>37,872,955</w:t>
            </w:r>
          </w:p>
        </w:tc>
        <w:tc>
          <w:tcPr>
            <w:tcW w:w="220" w:type="dxa"/>
            <w:vAlign w:val="bottom"/>
          </w:tcPr>
          <w:p>
            <w:pPr>
              <w:spacing w:after="0"/>
              <w:rPr>
                <w:sz w:val="16"/>
                <w:szCs w:val="16"/>
                <w:color w:val="auto"/>
              </w:rPr>
            </w:pPr>
          </w:p>
        </w:tc>
        <w:tc>
          <w:tcPr>
            <w:tcW w:w="1260" w:type="dxa"/>
            <w:vAlign w:val="bottom"/>
          </w:tcPr>
          <w:p>
            <w:pPr>
              <w:jc w:val="right"/>
              <w:ind w:right="46"/>
              <w:spacing w:after="0"/>
              <w:rPr>
                <w:sz w:val="20"/>
                <w:szCs w:val="20"/>
                <w:color w:val="auto"/>
              </w:rPr>
            </w:pPr>
            <w:r>
              <w:rPr>
                <w:rFonts w:ascii="Arial" w:cs="Arial" w:eastAsia="Arial" w:hAnsi="Arial"/>
                <w:sz w:val="15"/>
                <w:szCs w:val="15"/>
                <w:color w:val="auto"/>
              </w:rPr>
              <w:t>7.7%</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14.9%</w:t>
            </w:r>
          </w:p>
        </w:tc>
      </w:tr>
      <w:tr>
        <w:trPr>
          <w:trHeight w:val="184"/>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Time deposits</w:t>
            </w:r>
          </w:p>
        </w:tc>
        <w:tc>
          <w:tcPr>
            <w:tcW w:w="12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31,399,811</w:t>
            </w:r>
          </w:p>
        </w:tc>
        <w:tc>
          <w:tcPr>
            <w:tcW w:w="126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34,034,037</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35,045,214</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3.0%</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11.6%</w:t>
            </w:r>
          </w:p>
        </w:tc>
      </w:tr>
      <w:tr>
        <w:trPr>
          <w:trHeight w:val="184"/>
        </w:trPr>
        <w:tc>
          <w:tcPr>
            <w:tcW w:w="5100" w:type="dxa"/>
            <w:vAlign w:val="bottom"/>
          </w:tcPr>
          <w:p>
            <w:pPr>
              <w:spacing w:after="0"/>
              <w:rPr>
                <w:sz w:val="20"/>
                <w:szCs w:val="20"/>
                <w:color w:val="auto"/>
              </w:rPr>
            </w:pPr>
            <w:r>
              <w:rPr>
                <w:rFonts w:ascii="Arial" w:cs="Arial" w:eastAsia="Arial" w:hAnsi="Arial"/>
                <w:sz w:val="15"/>
                <w:szCs w:val="15"/>
                <w:color w:val="auto"/>
              </w:rPr>
              <w:t>Severance indemnity deposits</w:t>
            </w:r>
          </w:p>
        </w:tc>
        <w:tc>
          <w:tcPr>
            <w:tcW w:w="1200" w:type="dxa"/>
            <w:vAlign w:val="bottom"/>
          </w:tcPr>
          <w:p>
            <w:pPr>
              <w:jc w:val="right"/>
              <w:ind w:right="126"/>
              <w:spacing w:after="0"/>
              <w:rPr>
                <w:sz w:val="20"/>
                <w:szCs w:val="20"/>
                <w:color w:val="auto"/>
              </w:rPr>
            </w:pPr>
            <w:r>
              <w:rPr>
                <w:rFonts w:ascii="Arial" w:cs="Arial" w:eastAsia="Arial" w:hAnsi="Arial"/>
                <w:sz w:val="15"/>
                <w:szCs w:val="15"/>
                <w:color w:val="auto"/>
              </w:rPr>
              <w:t>7,074,344</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7,897,199</w:t>
            </w:r>
          </w:p>
        </w:tc>
        <w:tc>
          <w:tcPr>
            <w:tcW w:w="1000" w:type="dxa"/>
            <w:vAlign w:val="bottom"/>
          </w:tcPr>
          <w:p>
            <w:pPr>
              <w:jc w:val="right"/>
              <w:spacing w:after="0"/>
              <w:rPr>
                <w:sz w:val="20"/>
                <w:szCs w:val="20"/>
                <w:color w:val="auto"/>
              </w:rPr>
            </w:pPr>
            <w:r>
              <w:rPr>
                <w:rFonts w:ascii="Arial" w:cs="Arial" w:eastAsia="Arial" w:hAnsi="Arial"/>
                <w:sz w:val="15"/>
                <w:szCs w:val="15"/>
                <w:color w:val="auto"/>
              </w:rPr>
              <w:t>7,204,922</w:t>
            </w:r>
          </w:p>
        </w:tc>
        <w:tc>
          <w:tcPr>
            <w:tcW w:w="220" w:type="dxa"/>
            <w:vAlign w:val="bottom"/>
          </w:tcPr>
          <w:p>
            <w:pPr>
              <w:spacing w:after="0"/>
              <w:rPr>
                <w:sz w:val="16"/>
                <w:szCs w:val="16"/>
                <w:color w:val="auto"/>
              </w:rPr>
            </w:pP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(8.8)%</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1.8%</w:t>
            </w:r>
          </w:p>
        </w:tc>
      </w:tr>
      <w:tr>
        <w:trPr>
          <w:trHeight w:val="184"/>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Interest payable</w:t>
            </w:r>
          </w:p>
        </w:tc>
        <w:tc>
          <w:tcPr>
            <w:tcW w:w="12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589,397</w:t>
            </w:r>
          </w:p>
        </w:tc>
        <w:tc>
          <w:tcPr>
            <w:tcW w:w="126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681,191</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694,214</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1.9%</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17.8%</w:t>
            </w:r>
          </w:p>
        </w:tc>
      </w:tr>
      <w:tr>
        <w:trPr>
          <w:trHeight w:val="184"/>
        </w:trPr>
        <w:tc>
          <w:tcPr>
            <w:tcW w:w="5100" w:type="dxa"/>
            <w:vAlign w:val="bottom"/>
          </w:tcPr>
          <w:p>
            <w:pPr>
              <w:spacing w:after="0"/>
              <w:rPr>
                <w:sz w:val="20"/>
                <w:szCs w:val="20"/>
                <w:color w:val="auto"/>
              </w:rPr>
            </w:pPr>
            <w:r>
              <w:rPr>
                <w:rFonts w:ascii="Arial" w:cs="Arial" w:eastAsia="Arial" w:hAnsi="Arial"/>
                <w:sz w:val="15"/>
                <w:szCs w:val="15"/>
                <w:b w:val="1"/>
                <w:bCs w:val="1"/>
                <w:color w:val="auto"/>
              </w:rPr>
              <w:t>Deposits and obligations</w:t>
            </w:r>
          </w:p>
        </w:tc>
        <w:tc>
          <w:tcPr>
            <w:tcW w:w="1200" w:type="dxa"/>
            <w:vAlign w:val="bottom"/>
          </w:tcPr>
          <w:p>
            <w:pPr>
              <w:jc w:val="right"/>
              <w:ind w:right="126"/>
              <w:spacing w:after="0"/>
              <w:rPr>
                <w:sz w:val="20"/>
                <w:szCs w:val="20"/>
                <w:color w:val="auto"/>
              </w:rPr>
            </w:pPr>
            <w:r>
              <w:rPr>
                <w:rFonts w:ascii="Arial" w:cs="Arial" w:eastAsia="Arial" w:hAnsi="Arial"/>
                <w:sz w:val="15"/>
                <w:szCs w:val="15"/>
                <w:b w:val="1"/>
                <w:bCs w:val="1"/>
                <w:color w:val="auto"/>
              </w:rPr>
              <w:t>103,727,257</w:t>
            </w:r>
          </w:p>
        </w:tc>
        <w:tc>
          <w:tcPr>
            <w:tcW w:w="1260" w:type="dxa"/>
            <w:vAlign w:val="bottom"/>
          </w:tcPr>
          <w:p>
            <w:pPr>
              <w:jc w:val="right"/>
              <w:ind w:right="146"/>
              <w:spacing w:after="0"/>
              <w:rPr>
                <w:sz w:val="20"/>
                <w:szCs w:val="20"/>
                <w:color w:val="auto"/>
              </w:rPr>
            </w:pPr>
            <w:r>
              <w:rPr>
                <w:rFonts w:ascii="Arial" w:cs="Arial" w:eastAsia="Arial" w:hAnsi="Arial"/>
                <w:sz w:val="15"/>
                <w:szCs w:val="15"/>
                <w:b w:val="1"/>
                <w:bCs w:val="1"/>
                <w:color w:val="auto"/>
              </w:rPr>
              <w:t>112,005,385</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119,563,545</w:t>
            </w:r>
          </w:p>
        </w:tc>
        <w:tc>
          <w:tcPr>
            <w:tcW w:w="1260" w:type="dxa"/>
            <w:vAlign w:val="bottom"/>
          </w:tcPr>
          <w:p>
            <w:pPr>
              <w:jc w:val="right"/>
              <w:ind w:right="26"/>
              <w:spacing w:after="0"/>
              <w:rPr>
                <w:sz w:val="20"/>
                <w:szCs w:val="20"/>
                <w:color w:val="auto"/>
              </w:rPr>
            </w:pPr>
            <w:r>
              <w:rPr>
                <w:rFonts w:ascii="Arial" w:cs="Arial" w:eastAsia="Arial" w:hAnsi="Arial"/>
                <w:sz w:val="15"/>
                <w:szCs w:val="15"/>
                <w:b w:val="1"/>
                <w:bCs w:val="1"/>
                <w:color w:val="auto"/>
              </w:rPr>
              <w:t>6.7%</w:t>
            </w:r>
          </w:p>
        </w:tc>
        <w:tc>
          <w:tcPr>
            <w:tcW w:w="120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15.3%</w:t>
            </w:r>
          </w:p>
        </w:tc>
      </w:tr>
      <w:tr>
        <w:trPr>
          <w:trHeight w:val="184"/>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Due to banks and correspondents</w:t>
            </w:r>
          </w:p>
        </w:tc>
        <w:tc>
          <w:tcPr>
            <w:tcW w:w="12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7,219,120</w:t>
            </w:r>
          </w:p>
        </w:tc>
        <w:tc>
          <w:tcPr>
            <w:tcW w:w="126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8,841,732</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9,854,630</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11.5%</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36.5%</w:t>
            </w:r>
          </w:p>
        </w:tc>
      </w:tr>
      <w:tr>
        <w:trPr>
          <w:trHeight w:val="184"/>
        </w:trPr>
        <w:tc>
          <w:tcPr>
            <w:tcW w:w="5100" w:type="dxa"/>
            <w:vAlign w:val="bottom"/>
          </w:tcPr>
          <w:p>
            <w:pPr>
              <w:spacing w:after="0"/>
              <w:rPr>
                <w:sz w:val="20"/>
                <w:szCs w:val="20"/>
                <w:color w:val="auto"/>
              </w:rPr>
            </w:pPr>
            <w:r>
              <w:rPr>
                <w:rFonts w:ascii="Arial" w:cs="Arial" w:eastAsia="Arial" w:hAnsi="Arial"/>
                <w:sz w:val="15"/>
                <w:szCs w:val="15"/>
                <w:color w:val="auto"/>
              </w:rPr>
              <w:t>BCRP instruments</w:t>
            </w:r>
          </w:p>
        </w:tc>
        <w:tc>
          <w:tcPr>
            <w:tcW w:w="1200" w:type="dxa"/>
            <w:vAlign w:val="bottom"/>
          </w:tcPr>
          <w:p>
            <w:pPr>
              <w:jc w:val="right"/>
              <w:ind w:right="126"/>
              <w:spacing w:after="0"/>
              <w:rPr>
                <w:sz w:val="20"/>
                <w:szCs w:val="20"/>
                <w:color w:val="auto"/>
              </w:rPr>
            </w:pPr>
            <w:r>
              <w:rPr>
                <w:rFonts w:ascii="Arial" w:cs="Arial" w:eastAsia="Arial" w:hAnsi="Arial"/>
                <w:sz w:val="15"/>
                <w:szCs w:val="15"/>
                <w:color w:val="auto"/>
              </w:rPr>
              <w:t>4,984,192</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4,381,011</w:t>
            </w:r>
          </w:p>
        </w:tc>
        <w:tc>
          <w:tcPr>
            <w:tcW w:w="1000" w:type="dxa"/>
            <w:vAlign w:val="bottom"/>
          </w:tcPr>
          <w:p>
            <w:pPr>
              <w:jc w:val="right"/>
              <w:spacing w:after="0"/>
              <w:rPr>
                <w:sz w:val="20"/>
                <w:szCs w:val="20"/>
                <w:color w:val="auto"/>
              </w:rPr>
            </w:pPr>
            <w:r>
              <w:rPr>
                <w:rFonts w:ascii="Arial" w:cs="Arial" w:eastAsia="Arial" w:hAnsi="Arial"/>
                <w:sz w:val="15"/>
                <w:szCs w:val="15"/>
                <w:color w:val="auto"/>
              </w:rPr>
              <w:t>5,346,373</w:t>
            </w:r>
          </w:p>
        </w:tc>
        <w:tc>
          <w:tcPr>
            <w:tcW w:w="220" w:type="dxa"/>
            <w:vAlign w:val="bottom"/>
          </w:tcPr>
          <w:p>
            <w:pPr>
              <w:spacing w:after="0"/>
              <w:rPr>
                <w:sz w:val="16"/>
                <w:szCs w:val="16"/>
                <w:color w:val="auto"/>
              </w:rPr>
            </w:pPr>
          </w:p>
        </w:tc>
        <w:tc>
          <w:tcPr>
            <w:tcW w:w="1260" w:type="dxa"/>
            <w:vAlign w:val="bottom"/>
          </w:tcPr>
          <w:p>
            <w:pPr>
              <w:jc w:val="right"/>
              <w:ind w:right="46"/>
              <w:spacing w:after="0"/>
              <w:rPr>
                <w:sz w:val="20"/>
                <w:szCs w:val="20"/>
                <w:color w:val="auto"/>
              </w:rPr>
            </w:pPr>
            <w:r>
              <w:rPr>
                <w:rFonts w:ascii="Arial" w:cs="Arial" w:eastAsia="Arial" w:hAnsi="Arial"/>
                <w:sz w:val="15"/>
                <w:szCs w:val="15"/>
                <w:color w:val="auto"/>
              </w:rPr>
              <w:t>22.0%</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7.3%</w:t>
            </w:r>
          </w:p>
        </w:tc>
      </w:tr>
      <w:tr>
        <w:trPr>
          <w:trHeight w:val="184"/>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Repurchase agreements</w:t>
            </w:r>
          </w:p>
        </w:tc>
        <w:tc>
          <w:tcPr>
            <w:tcW w:w="120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2,324,385</w:t>
            </w:r>
          </w:p>
        </w:tc>
        <w:tc>
          <w:tcPr>
            <w:tcW w:w="126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1,820,911</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1,935,879</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6.3%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(16.7)%</w:t>
            </w:r>
          </w:p>
        </w:tc>
      </w:tr>
      <w:tr>
        <w:trPr>
          <w:trHeight w:val="184"/>
        </w:trPr>
        <w:tc>
          <w:tcPr>
            <w:tcW w:w="5100" w:type="dxa"/>
            <w:vAlign w:val="bottom"/>
          </w:tcPr>
          <w:p>
            <w:pPr>
              <w:spacing w:after="0"/>
              <w:rPr>
                <w:sz w:val="20"/>
                <w:szCs w:val="20"/>
                <w:color w:val="auto"/>
              </w:rPr>
            </w:pPr>
            <w:r>
              <w:rPr>
                <w:rFonts w:ascii="Arial" w:cs="Arial" w:eastAsia="Arial" w:hAnsi="Arial"/>
                <w:sz w:val="15"/>
                <w:szCs w:val="15"/>
                <w:color w:val="auto"/>
              </w:rPr>
              <w:t>Bonds and notes issued</w:t>
            </w:r>
          </w:p>
        </w:tc>
        <w:tc>
          <w:tcPr>
            <w:tcW w:w="1200" w:type="dxa"/>
            <w:vAlign w:val="bottom"/>
          </w:tcPr>
          <w:p>
            <w:pPr>
              <w:jc w:val="right"/>
              <w:ind w:right="126"/>
              <w:spacing w:after="0"/>
              <w:rPr>
                <w:sz w:val="20"/>
                <w:szCs w:val="20"/>
                <w:color w:val="auto"/>
              </w:rPr>
            </w:pPr>
            <w:r>
              <w:rPr>
                <w:rFonts w:ascii="Arial" w:cs="Arial" w:eastAsia="Arial" w:hAnsi="Arial"/>
                <w:sz w:val="15"/>
                <w:szCs w:val="15"/>
                <w:color w:val="auto"/>
              </w:rPr>
              <w:t>15,472,882</w:t>
            </w: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14,946,363</w:t>
            </w:r>
          </w:p>
        </w:tc>
        <w:tc>
          <w:tcPr>
            <w:tcW w:w="1000" w:type="dxa"/>
            <w:vAlign w:val="bottom"/>
          </w:tcPr>
          <w:p>
            <w:pPr>
              <w:jc w:val="right"/>
              <w:spacing w:after="0"/>
              <w:rPr>
                <w:sz w:val="20"/>
                <w:szCs w:val="20"/>
                <w:color w:val="auto"/>
              </w:rPr>
            </w:pPr>
            <w:r>
              <w:rPr>
                <w:rFonts w:ascii="Arial" w:cs="Arial" w:eastAsia="Arial" w:hAnsi="Arial"/>
                <w:sz w:val="15"/>
                <w:szCs w:val="15"/>
                <w:color w:val="auto"/>
              </w:rPr>
              <w:t>15,178,148</w:t>
            </w:r>
          </w:p>
        </w:tc>
        <w:tc>
          <w:tcPr>
            <w:tcW w:w="220" w:type="dxa"/>
            <w:vAlign w:val="bottom"/>
          </w:tcPr>
          <w:p>
            <w:pPr>
              <w:spacing w:after="0"/>
              <w:rPr>
                <w:sz w:val="16"/>
                <w:szCs w:val="16"/>
                <w:color w:val="auto"/>
              </w:rPr>
            </w:pPr>
          </w:p>
        </w:tc>
        <w:tc>
          <w:tcPr>
            <w:tcW w:w="1260" w:type="dxa"/>
            <w:vAlign w:val="bottom"/>
          </w:tcPr>
          <w:p>
            <w:pPr>
              <w:jc w:val="right"/>
              <w:ind w:right="46"/>
              <w:spacing w:after="0"/>
              <w:rPr>
                <w:sz w:val="20"/>
                <w:szCs w:val="20"/>
                <w:color w:val="auto"/>
              </w:rPr>
            </w:pPr>
            <w:r>
              <w:rPr>
                <w:rFonts w:ascii="Arial" w:cs="Arial" w:eastAsia="Arial" w:hAnsi="Arial"/>
                <w:sz w:val="15"/>
                <w:szCs w:val="15"/>
                <w:color w:val="auto"/>
              </w:rPr>
              <w:t>1.7%</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(1.9)%</w:t>
            </w:r>
          </w:p>
        </w:tc>
      </w:tr>
      <w:tr>
        <w:trPr>
          <w:trHeight w:val="184"/>
        </w:trPr>
        <w:tc>
          <w:tcPr>
            <w:tcW w:w="5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funding</w:t>
            </w:r>
          </w:p>
        </w:tc>
        <w:tc>
          <w:tcPr>
            <w:tcW w:w="1200" w:type="dxa"/>
            <w:vAlign w:val="bottom"/>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133,727,836</w:t>
            </w:r>
          </w:p>
        </w:tc>
        <w:tc>
          <w:tcPr>
            <w:tcW w:w="1260" w:type="dxa"/>
            <w:vAlign w:val="bottom"/>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141,995,402</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151,878,575</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7.0%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13.6%</w:t>
            </w:r>
          </w:p>
        </w:tc>
      </w:tr>
    </w:tbl>
    <w:p>
      <w:pPr>
        <w:spacing w:after="0" w:line="184"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Funding Structure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Evolution of Funding Structure and Cost – BAP</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1293495</wp:posOffset>
            </wp:positionH>
            <wp:positionV relativeFrom="paragraph">
              <wp:posOffset>133350</wp:posOffset>
            </wp:positionV>
            <wp:extent cx="4523740" cy="20046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523740" cy="200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chart showing the evolution of our funding structure and cost is calculated using period-end balances. In general, the funding structure reflects:</w:t>
      </w:r>
    </w:p>
    <w:p>
      <w:pPr>
        <w:spacing w:after="0" w:line="209" w:lineRule="exact"/>
        <w:rPr>
          <w:sz w:val="20"/>
          <w:szCs w:val="20"/>
          <w:color w:val="auto"/>
        </w:rPr>
      </w:pPr>
    </w:p>
    <w:p>
      <w:pPr>
        <w:ind w:left="720" w:right="20" w:hanging="366"/>
        <w:spacing w:after="0" w:line="271" w:lineRule="auto"/>
        <w:tabs>
          <w:tab w:leader="none" w:pos="72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on-going growth in deposits, our main source of funding, which implies lower costs compared to other funding sources. Deposits as a share of total funding increased to 78.7% as of March 31, 2020 compared to 77.6% as of March 31, 2019. This growth was due to an increase in the volume of all types of deposits, which reflects expansion of 15.3% in the four quarters ended March 31, 2020.</w:t>
      </w:r>
    </w:p>
    <w:p>
      <w:pPr>
        <w:spacing w:after="0" w:line="162" w:lineRule="exact"/>
        <w:rPr>
          <w:rFonts w:ascii="Arial" w:cs="Arial" w:eastAsia="Arial" w:hAnsi="Arial"/>
          <w:sz w:val="16"/>
          <w:szCs w:val="16"/>
          <w:color w:val="auto"/>
        </w:rPr>
      </w:pPr>
    </w:p>
    <w:p>
      <w:pPr>
        <w:ind w:left="720" w:right="40" w:hanging="366"/>
        <w:spacing w:after="0" w:line="322" w:lineRule="auto"/>
        <w:tabs>
          <w:tab w:leader="none" w:pos="72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Within the deposit mix, demand deposits and savings deposits showed significant growth as of March 31, 2020, increasing their share of total deposits to 64.1% as compared to 62.0% as of December 31, 2019 and 62.3% as of March 31, 2019. Both deposit types offer the lowest costs within the mix of deposits.</w:t>
      </w:r>
    </w:p>
    <w:p>
      <w:pPr>
        <w:spacing w:after="0" w:line="126" w:lineRule="exact"/>
        <w:rPr>
          <w:rFonts w:ascii="Arial" w:cs="Arial" w:eastAsia="Arial" w:hAnsi="Arial"/>
          <w:sz w:val="15"/>
          <w:szCs w:val="15"/>
          <w:color w:val="auto"/>
        </w:rPr>
      </w:pPr>
    </w:p>
    <w:p>
      <w:pPr>
        <w:ind w:left="720" w:right="40" w:hanging="366"/>
        <w:spacing w:after="0" w:line="289" w:lineRule="auto"/>
        <w:tabs>
          <w:tab w:leader="none" w:pos="72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Expansion of 7.8% compared to each of December 31, 2019 and March 31, 2019 in other funding sources, which was mainly attributable to an increase in the volume of due to banks and correspondents (an 11.5% increase compared to December 31, 2019 and a 36.5% increase compared to March 31, 2019) and BCRP instruments (a 22.0% increase compared to December 31, 2019 and a 7.3% increase compared to March 31, 2019), as explained in more detail under “Management’s Discussion and Analysis of Financial Condition and Results of Operations—Liquidity and Capital Resources—Other Sources of Funding.”</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65" w:name="page166"/>
    <w:bookmarkEnd w:id="165"/>
    <w:p>
      <w:pPr>
        <w:ind w:left="160"/>
        <w:spacing w:after="0"/>
        <w:rPr>
          <w:sz w:val="20"/>
          <w:szCs w:val="20"/>
          <w:color w:val="auto"/>
        </w:rPr>
      </w:pPr>
      <w:r>
        <w:rPr>
          <w:rFonts w:ascii="Arial" w:cs="Arial" w:eastAsia="Arial" w:hAnsi="Arial"/>
          <w:sz w:val="16"/>
          <w:szCs w:val="16"/>
          <w:b w:val="1"/>
          <w:bCs w:val="1"/>
          <w:i w:val="1"/>
          <w:iCs w:val="1"/>
          <w:color w:val="auto"/>
        </w:rPr>
        <w:t>Deposits and Other Funding Sources</w:t>
      </w:r>
    </w:p>
    <w:p>
      <w:pPr>
        <w:spacing w:after="0" w:line="209" w:lineRule="exact"/>
        <w:rPr>
          <w:sz w:val="20"/>
          <w:szCs w:val="20"/>
          <w:color w:val="auto"/>
        </w:rPr>
      </w:pPr>
    </w:p>
    <w:p>
      <w:pPr>
        <w:ind w:right="200" w:firstLine="295"/>
        <w:spacing w:after="0" w:line="287" w:lineRule="auto"/>
        <w:rPr>
          <w:sz w:val="20"/>
          <w:szCs w:val="20"/>
          <w:color w:val="auto"/>
        </w:rPr>
      </w:pPr>
      <w:r>
        <w:rPr>
          <w:rFonts w:ascii="Arial" w:cs="Arial" w:eastAsia="Arial" w:hAnsi="Arial"/>
          <w:sz w:val="16"/>
          <w:szCs w:val="16"/>
          <w:color w:val="auto"/>
        </w:rPr>
        <w:t>See “Management’s Discussion and Analysis of Financial Condition and Results of Operations—Liquidity and Capital Resources—Deposits” and “Management’s Discussion and Analysis of Financial Condition and Results of Operations—Liquidity and Capital Resources—Other Sources of Funding.”</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Loan / Deposit (L/D)</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Loan / Deposit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1114425</wp:posOffset>
            </wp:positionH>
            <wp:positionV relativeFrom="paragraph">
              <wp:posOffset>142875</wp:posOffset>
            </wp:positionV>
            <wp:extent cx="4882515" cy="13569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882515" cy="1356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firstLine="295"/>
        <w:spacing w:after="0" w:line="287" w:lineRule="auto"/>
        <w:rPr>
          <w:sz w:val="20"/>
          <w:szCs w:val="20"/>
          <w:color w:val="auto"/>
        </w:rPr>
      </w:pPr>
      <w:r>
        <w:rPr>
          <w:rFonts w:ascii="Arial" w:cs="Arial" w:eastAsia="Arial" w:hAnsi="Arial"/>
          <w:sz w:val="16"/>
          <w:szCs w:val="16"/>
          <w:color w:val="auto"/>
        </w:rPr>
        <w:t>Comparing March 31, 2020 to March 31, 2019, the L/D ratio at Credicorp fell 101.0%. This was due to the fact that growth in deposits (6.7%) outpaced the growth in loans (4.4%).</w:t>
      </w:r>
    </w:p>
    <w:p>
      <w:pPr>
        <w:spacing w:after="0" w:line="150" w:lineRule="exact"/>
        <w:rPr>
          <w:sz w:val="20"/>
          <w:szCs w:val="20"/>
          <w:color w:val="auto"/>
        </w:rPr>
      </w:pPr>
    </w:p>
    <w:p>
      <w:pPr>
        <w:jc w:val="both"/>
        <w:ind w:right="20" w:firstLine="295"/>
        <w:spacing w:after="0" w:line="298" w:lineRule="auto"/>
        <w:rPr>
          <w:sz w:val="20"/>
          <w:szCs w:val="20"/>
          <w:color w:val="auto"/>
        </w:rPr>
      </w:pPr>
      <w:r>
        <w:rPr>
          <w:rFonts w:ascii="Arial" w:cs="Arial" w:eastAsia="Arial" w:hAnsi="Arial"/>
          <w:sz w:val="15"/>
          <w:szCs w:val="15"/>
          <w:color w:val="auto"/>
        </w:rPr>
        <w:t>At the subsidiary level for BCP, the L/D ratio followed a similar trend, with a decrease in BCP’s L/D ratio to 102.8% as of March 31, 2020 compared to 105.1% as of December 31, 2019 due to the growth in deposit volume (7.8%) outpacing the growth in loans (5.4%). This was driven by an increase in the level of demand deposits and savings deposits. Mibanco’s L/D ratio increased during the three months ended March 31, 2020 primarily due to a 2.2% decrease in deposits.</w:t>
      </w:r>
    </w:p>
    <w:p>
      <w:pPr>
        <w:spacing w:after="0" w:line="144" w:lineRule="exact"/>
        <w:rPr>
          <w:sz w:val="20"/>
          <w:szCs w:val="20"/>
          <w:color w:val="auto"/>
        </w:rPr>
      </w:pPr>
    </w:p>
    <w:p>
      <w:pPr>
        <w:ind w:right="140" w:firstLine="295"/>
        <w:spacing w:after="0" w:line="287" w:lineRule="auto"/>
        <w:rPr>
          <w:sz w:val="20"/>
          <w:szCs w:val="20"/>
          <w:color w:val="auto"/>
        </w:rPr>
      </w:pPr>
      <w:r>
        <w:rPr>
          <w:rFonts w:ascii="Arial" w:cs="Arial" w:eastAsia="Arial" w:hAnsi="Arial"/>
          <w:sz w:val="16"/>
          <w:szCs w:val="16"/>
          <w:color w:val="auto"/>
        </w:rPr>
        <w:t>Comparing March 31, 2020 to March 31, 2019, the L/D ratio at Credicorp and its subsidiaries reflects the same dynamics as the periods ending March 31, 2020 and December 31, 2019. At the Credicorp level, on-going growth in deposits exceeded growth in loans (15.3% and 11.4%, respectively).</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Loan / Deposit Ratio by Currency</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Local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143510</wp:posOffset>
            </wp:positionV>
            <wp:extent cx="4632960" cy="13652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632960" cy="1365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160"/>
          </w:cols>
          <w:pgMar w:left="320" w:top="324" w:right="41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6"/>
          <w:szCs w:val="16"/>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142875</wp:posOffset>
            </wp:positionV>
            <wp:extent cx="4516120" cy="12090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51612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295"/>
        <w:spacing w:after="0" w:line="266" w:lineRule="auto"/>
        <w:rPr>
          <w:sz w:val="20"/>
          <w:szCs w:val="20"/>
          <w:color w:val="auto"/>
        </w:rPr>
      </w:pPr>
      <w:r>
        <w:rPr>
          <w:rFonts w:ascii="Arial" w:cs="Arial" w:eastAsia="Arial" w:hAnsi="Arial"/>
          <w:sz w:val="16"/>
          <w:szCs w:val="16"/>
          <w:color w:val="auto"/>
        </w:rPr>
        <w:t>Comparing March 31, 2020 to December 31, 2019 by currency, the L/D ratio in LC at Credicorp decreased in line with higher growth in LC deposits, mainly driven by demand deposits and savings deposits through BCP. The L/D ratio in FC at Credicorp increased 100 basis points comparing March 31, 2020 to December 31, 2019 after the increase in loans (8.2%) outpaced the growth in deposits (6.8%). This change was driven primarily by loan growth in FC (9.9%) at BCP that exceeded the growth in FC deposits (8.2%) at BCP.</w:t>
      </w:r>
    </w:p>
    <w:p>
      <w:pPr>
        <w:spacing w:after="0" w:line="167" w:lineRule="exact"/>
        <w:rPr>
          <w:sz w:val="20"/>
          <w:szCs w:val="20"/>
          <w:color w:val="auto"/>
        </w:rPr>
      </w:pPr>
    </w:p>
    <w:p>
      <w:pPr>
        <w:ind w:right="280" w:firstLine="295"/>
        <w:spacing w:after="0" w:line="287" w:lineRule="auto"/>
        <w:rPr>
          <w:sz w:val="20"/>
          <w:szCs w:val="20"/>
          <w:color w:val="auto"/>
        </w:rPr>
      </w:pPr>
      <w:r>
        <w:rPr>
          <w:rFonts w:ascii="Arial" w:cs="Arial" w:eastAsia="Arial" w:hAnsi="Arial"/>
          <w:sz w:val="16"/>
          <w:szCs w:val="16"/>
          <w:color w:val="auto"/>
        </w:rPr>
        <w:t>Comparing March 31, 2020 to December 31, 2019, the L/D ratio in LC and FC fell after the increase in deposits in both currencies outpaced the growth in loans in both currencies.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Funding Cost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Funding Cost – Credicorp(1)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142875</wp:posOffset>
            </wp:positionV>
            <wp:extent cx="5818505" cy="27768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18505" cy="2776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(1)  The funding cost by currency is calculated with the average of period-beginning and period-ending balances.</w:t>
      </w:r>
    </w:p>
    <w:p>
      <w:pPr>
        <w:spacing w:after="0" w:line="209" w:lineRule="exact"/>
        <w:rPr>
          <w:sz w:val="20"/>
          <w:szCs w:val="20"/>
          <w:color w:val="auto"/>
        </w:rPr>
      </w:pPr>
    </w:p>
    <w:p>
      <w:pPr>
        <w:ind w:right="120" w:firstLine="295"/>
        <w:spacing w:after="0" w:line="287" w:lineRule="auto"/>
        <w:rPr>
          <w:sz w:val="20"/>
          <w:szCs w:val="20"/>
          <w:color w:val="auto"/>
        </w:rPr>
      </w:pPr>
      <w:r>
        <w:rPr>
          <w:rFonts w:ascii="Arial" w:cs="Arial" w:eastAsia="Arial" w:hAnsi="Arial"/>
          <w:sz w:val="16"/>
          <w:szCs w:val="16"/>
          <w:color w:val="auto"/>
        </w:rPr>
        <w:t>Funding cost at Credicorp decreased as of March 31, 2020 compared to December 31, 2019 and March 31, 2019. The decrease in funding costs as of March 31, 2020 compared to December 31, 2019 was attributable to:</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438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67" w:name="page168"/>
    <w:bookmarkEnd w:id="167"/>
    <w:p>
      <w:pPr>
        <w:ind w:left="420" w:right="60" w:hanging="366"/>
        <w:spacing w:after="0" w:line="287" w:lineRule="auto"/>
        <w:tabs>
          <w:tab w:leader="none" w:pos="4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 decrease in the funding cost in FC of 18 basis points, which was due primarily to a decrease in interest expenses on bonds and issued notes, which accounted for 80% of the total decrease in FC expenses, due primarily to BCP’s liability management at lower rates at the end of 2019.</w:t>
      </w:r>
    </w:p>
    <w:p>
      <w:pPr>
        <w:spacing w:after="0" w:line="149" w:lineRule="exact"/>
        <w:rPr>
          <w:rFonts w:ascii="Arial" w:cs="Arial" w:eastAsia="Arial" w:hAnsi="Arial"/>
          <w:sz w:val="16"/>
          <w:szCs w:val="16"/>
          <w:color w:val="auto"/>
        </w:rPr>
      </w:pPr>
    </w:p>
    <w:p>
      <w:pPr>
        <w:jc w:val="both"/>
        <w:ind w:left="420" w:hanging="366"/>
        <w:spacing w:after="0" w:line="271" w:lineRule="auto"/>
        <w:tabs>
          <w:tab w:leader="none" w:pos="4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 decrease in the total funding cost of 17 basis points, which was primarily attributable to a decrease in expenses for all sources of funding as international rates continued to follow a downward trend. In addition, the total funding mix has improved due to an increase in the volume of low-cost sources of funding, such as deposits.</w:t>
      </w:r>
    </w:p>
    <w:p>
      <w:pPr>
        <w:spacing w:after="0" w:line="162" w:lineRule="exact"/>
        <w:rPr>
          <w:rFonts w:ascii="Arial" w:cs="Arial" w:eastAsia="Arial" w:hAnsi="Arial"/>
          <w:sz w:val="16"/>
          <w:szCs w:val="16"/>
          <w:color w:val="auto"/>
        </w:rPr>
      </w:pPr>
    </w:p>
    <w:p>
      <w:pPr>
        <w:ind w:left="420" w:right="280" w:hanging="366"/>
        <w:spacing w:after="0" w:line="287" w:lineRule="auto"/>
        <w:tabs>
          <w:tab w:leader="none" w:pos="4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 decrease in the funding cost in LC of 14 basis points, which was due primarily to an increase in the total volume of funding in LC, which increased 6.6%, while interest expenses decreased by 0.1% due to lower expenses from due to banks and correspondents.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There was a 25 basis point decrease in the total funding cost as of March 31, 2020 compared to March 31, 2019, primarily attributable to:</w:t>
      </w:r>
    </w:p>
    <w:p>
      <w:pPr>
        <w:spacing w:after="0" w:line="209" w:lineRule="exact"/>
        <w:rPr>
          <w:sz w:val="20"/>
          <w:szCs w:val="20"/>
          <w:color w:val="auto"/>
        </w:rPr>
      </w:pPr>
    </w:p>
    <w:p>
      <w:pPr>
        <w:ind w:left="420" w:right="380" w:hanging="366"/>
        <w:spacing w:after="0" w:line="287" w:lineRule="auto"/>
        <w:tabs>
          <w:tab w:leader="none" w:pos="4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 more favorable deposit mix given that lower-cost deposits, such as demand deposits and savings deposits, posted the highest growth (22.2% and 14.9%, respectively), as well as a favorable currency mix, where growth in FC deposits outpaced growth in LC deposits.</w:t>
      </w:r>
    </w:p>
    <w:p>
      <w:pPr>
        <w:spacing w:after="0" w:line="149" w:lineRule="exact"/>
        <w:rPr>
          <w:rFonts w:ascii="Arial" w:cs="Arial" w:eastAsia="Arial" w:hAnsi="Arial"/>
          <w:sz w:val="16"/>
          <w:szCs w:val="16"/>
          <w:color w:val="auto"/>
        </w:rPr>
      </w:pPr>
    </w:p>
    <w:p>
      <w:pPr>
        <w:ind w:left="420" w:right="60" w:hanging="366"/>
        <w:spacing w:after="0" w:line="287" w:lineRule="auto"/>
        <w:tabs>
          <w:tab w:leader="none" w:pos="4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recomposition of the funding structure, where deposits gained an increase in their share of total funding (going from 77.6% as of March 31, 2019 to 78.7% as of March 31, 2020), representing 87% of the total increase in funding.</w:t>
      </w:r>
    </w:p>
    <w:p>
      <w:pPr>
        <w:spacing w:after="0" w:line="149" w:lineRule="exact"/>
        <w:rPr>
          <w:rFonts w:ascii="Arial" w:cs="Arial" w:eastAsia="Arial" w:hAnsi="Arial"/>
          <w:sz w:val="16"/>
          <w:szCs w:val="16"/>
          <w:color w:val="auto"/>
        </w:rPr>
      </w:pPr>
    </w:p>
    <w:p>
      <w:pPr>
        <w:ind w:left="420" w:hanging="366"/>
        <w:spacing w:after="0"/>
        <w:tabs>
          <w:tab w:leader="none" w:pos="4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 decrease in interest rates nationally and internationally, which led to a decrease in the funding cost of all funding sources.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funding cost by subsidiary is depicted in the chart below:</w:t>
      </w:r>
    </w:p>
    <w:p>
      <w:pPr>
        <w:spacing w:after="0" w:line="205"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Funding Cost by Subsidiary –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142875</wp:posOffset>
            </wp:positionV>
            <wp:extent cx="4500245" cy="1551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50024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0" w:right="40" w:hanging="366"/>
        <w:spacing w:after="0" w:line="285" w:lineRule="auto"/>
        <w:tabs>
          <w:tab w:leader="none" w:pos="42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The funding cost at BCP followed the same trend as the funding cost at Credicorp, which reflected a decrease when comparing March 31, 2020 to March 31, 2019 that was primarily attributable to (i) the funding mix, which was composed of a higher volume of deposits (which represent 85% of the increase in funding), (ii) an improvement in the deposit mix where demand deposits and savings deposits registered the most significant increases (which represent 92% of the increase in total deposits), and (iii) the effect of lower interest rates, due to high exposure to lower international interest rates, considering that 50% of funding is in FC. The funding cost has remained relatively stable year-to-year, at 2.09% in 2017, 1.99% in 2018 and 2.10% in 2019.</w:t>
      </w:r>
    </w:p>
    <w:p>
      <w:pPr>
        <w:spacing w:after="0" w:line="352"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15875</wp:posOffset>
            </wp:positionV>
            <wp:extent cx="714438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920"/>
          </w:cols>
          <w:pgMar w:left="620" w:top="324" w:right="359" w:bottom="1440" w:gutter="0" w:footer="0" w:header="0"/>
        </w:sectPr>
      </w:pPr>
    </w:p>
    <w:bookmarkStart w:id="168" w:name="page169"/>
    <w:bookmarkEnd w:id="168"/>
    <w:p>
      <w:pPr>
        <w:ind w:left="722" w:hanging="366"/>
        <w:spacing w:after="0" w:line="262" w:lineRule="auto"/>
        <w:tabs>
          <w:tab w:leader="none" w:pos="72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funding cost at Mibanco decreased considerably when comparing March 31, 2020 to March 31, 2019. When comparing March 31, 2020 to December 31, 2019, interest expenses decreased due to a decrease in leasing expenses. When comparing March 31, 2020 to March 31, 2019, the decrease was attributable to a decrease in financial expenses for (i) bonds and issued notes, which reported a decrease in volume (63%), and (ii) deposits (to a lesser extent), due to a decrease in the level of the most expensive deposits, such as time deposits (3%), which were replaced by retail savings deposits. Between 2017 and 2018, the cost of funding decreased by 75 basis points due to an improved funding structure, with an increase in deposits. Between 2018 and 2019, the cost of funding remained relatively stable, reaching 4.26% in 2019.</w:t>
      </w:r>
    </w:p>
    <w:p>
      <w:pPr>
        <w:spacing w:after="0" w:line="170" w:lineRule="exact"/>
        <w:rPr>
          <w:rFonts w:ascii="Arial" w:cs="Arial" w:eastAsia="Arial" w:hAnsi="Arial"/>
          <w:sz w:val="16"/>
          <w:szCs w:val="16"/>
          <w:color w:val="auto"/>
        </w:rPr>
      </w:pPr>
    </w:p>
    <w:p>
      <w:pPr>
        <w:ind w:left="722" w:right="360" w:hanging="366"/>
        <w:spacing w:after="0" w:line="362" w:lineRule="auto"/>
        <w:tabs>
          <w:tab w:leader="none" w:pos="722" w:val="left"/>
        </w:tabs>
        <w:numPr>
          <w:ilvl w:val="0"/>
          <w:numId w:val="171"/>
        </w:numPr>
        <w:rPr>
          <w:rFonts w:ascii="Arial" w:cs="Arial" w:eastAsia="Arial" w:hAnsi="Arial"/>
          <w:sz w:val="14"/>
          <w:szCs w:val="14"/>
          <w:color w:val="auto"/>
        </w:rPr>
      </w:pPr>
      <w:r>
        <w:rPr>
          <w:rFonts w:ascii="Arial" w:cs="Arial" w:eastAsia="Arial" w:hAnsi="Arial"/>
          <w:sz w:val="14"/>
          <w:szCs w:val="14"/>
          <w:color w:val="auto"/>
        </w:rPr>
        <w:t>When comparing March 31, 2020 to March 31, 2019, the funding cost increased due to the effect of both the volume and mix, where time deposits had the greatest increase. BCP Bolivia’s funding cost has increased each year in the past three years, from 2.40% in 2017, to 2.96% in 2018 and 3.10% in 2019.</w:t>
      </w:r>
    </w:p>
    <w:p>
      <w:pPr>
        <w:spacing w:after="0" w:line="10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Portfolio Quality and Provisions for Loan Losses</w:t>
      </w:r>
    </w:p>
    <w:p>
      <w:pPr>
        <w:spacing w:after="0" w:line="213" w:lineRule="exact"/>
        <w:rPr>
          <w:sz w:val="20"/>
          <w:szCs w:val="20"/>
          <w:color w:val="auto"/>
        </w:rPr>
      </w:pPr>
    </w:p>
    <w:p>
      <w:pPr>
        <w:ind w:left="2" w:firstLine="295"/>
        <w:spacing w:after="0" w:line="281" w:lineRule="auto"/>
        <w:rPr>
          <w:sz w:val="20"/>
          <w:szCs w:val="20"/>
          <w:color w:val="auto"/>
        </w:rPr>
      </w:pPr>
      <w:r>
        <w:rPr>
          <w:rFonts w:ascii="Arial" w:cs="Arial" w:eastAsia="Arial" w:hAnsi="Arial"/>
          <w:sz w:val="15"/>
          <w:szCs w:val="15"/>
          <w:color w:val="auto"/>
        </w:rPr>
        <w:t>The cost of risk at Credicorp increased significantly when comparing March 31, 2020 to December 31, 2019 and when comparing March 31, 2020 to March 31, 2019, primarily in connection with expectations that Peru and the region will enter a recession and a decrease in the debt service capacity of certain clients due to the economic impact of the COVID-19 pandemic. Consequently, we have made significant increases in provisions for loan losses for all segments at each subsidiary. We expect that the total impact will be felt throughout the year. In terms of portfolio quality ratios, the non-performing loan (“NPL”) ratio deteriorated due to a degree of deterioration in the SME-Pyme and credit card segments. The impact on the NPL ratio has been addressed to a certain extent by certain measures taken by the Peruvian government, and Credicorp, to mitigate the negative effects of the COVID-19 pandemic on the economy, and Credicorp’s clients, respectively. In this context, the coverage ratio for NPL loans rose from 109.7% as of March 31, 2019 to 126.1% in as of March 31, 2020.</w:t>
      </w:r>
    </w:p>
    <w:p>
      <w:pPr>
        <w:spacing w:after="0" w:line="155" w:lineRule="exact"/>
        <w:rPr>
          <w:sz w:val="20"/>
          <w:szCs w:val="20"/>
          <w:color w:val="auto"/>
        </w:rPr>
      </w:pPr>
    </w:p>
    <w:p>
      <w:pPr>
        <w:jc w:val="center"/>
        <w:ind w:right="-61"/>
        <w:spacing w:after="0"/>
        <w:rPr>
          <w:sz w:val="20"/>
          <w:szCs w:val="20"/>
          <w:color w:val="auto"/>
        </w:rPr>
      </w:pPr>
      <w:r>
        <w:rPr>
          <w:rFonts w:ascii="Arial" w:cs="Arial" w:eastAsia="Arial" w:hAnsi="Arial"/>
          <w:sz w:val="16"/>
          <w:szCs w:val="16"/>
          <w:b w:val="1"/>
          <w:bCs w:val="1"/>
          <w:color w:val="auto"/>
        </w:rPr>
        <w:t>Quarterly Evolution of the Cost of Risk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2214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43600" cy="221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42" w:right="3220" w:hanging="5542"/>
        <w:spacing w:after="0" w:line="800" w:lineRule="auto"/>
        <w:tabs>
          <w:tab w:leader="none" w:pos="293" w:val="left"/>
        </w:tabs>
        <w:numPr>
          <w:ilvl w:val="0"/>
          <w:numId w:val="172"/>
        </w:numPr>
        <w:rPr>
          <w:rFonts w:ascii="Arial" w:cs="Arial" w:eastAsia="Arial" w:hAnsi="Arial"/>
          <w:sz w:val="16"/>
          <w:szCs w:val="16"/>
          <w:color w:val="auto"/>
        </w:rPr>
      </w:pPr>
      <w:r>
        <w:rPr>
          <w:rFonts w:ascii="Arial" w:cs="Arial" w:eastAsia="Arial" w:hAnsi="Arial"/>
          <w:sz w:val="16"/>
          <w:szCs w:val="16"/>
          <w:color w:val="auto"/>
        </w:rPr>
        <w:t>Includes BCP Bolivia, Encumbra, Bancompartir, Atlantic Security Bank and eliminations for consolidation purposes.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714438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02"/>
          </w:cols>
          <w:pgMar w:left="318" w:top="324" w:right="379" w:bottom="1440" w:gutter="0" w:footer="0" w:header="0"/>
        </w:sectPr>
      </w:pPr>
    </w:p>
    <w:bookmarkStart w:id="169" w:name="page170"/>
    <w:bookmarkEnd w:id="169"/>
    <w:p>
      <w:pPr>
        <w:ind w:left="160"/>
        <w:spacing w:after="0"/>
        <w:rPr>
          <w:sz w:val="20"/>
          <w:szCs w:val="20"/>
          <w:color w:val="auto"/>
        </w:rPr>
      </w:pPr>
      <w:r>
        <w:rPr>
          <w:rFonts w:ascii="Arial" w:cs="Arial" w:eastAsia="Arial" w:hAnsi="Arial"/>
          <w:sz w:val="16"/>
          <w:szCs w:val="16"/>
          <w:b w:val="1"/>
          <w:bCs w:val="1"/>
          <w:i w:val="1"/>
          <w:iCs w:val="1"/>
          <w:color w:val="auto"/>
        </w:rPr>
        <w:t>Provisions for loan losses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00" w:type="dxa"/>
            <w:vAlign w:val="bottom"/>
          </w:tcPr>
          <w:p>
            <w:pPr>
              <w:spacing w:after="0"/>
              <w:rPr>
                <w:sz w:val="16"/>
                <w:szCs w:val="16"/>
                <w:color w:val="auto"/>
              </w:rPr>
            </w:pPr>
          </w:p>
        </w:tc>
        <w:tc>
          <w:tcPr>
            <w:tcW w:w="2680" w:type="dxa"/>
            <w:vAlign w:val="bottom"/>
            <w:gridSpan w:val="2"/>
          </w:tcPr>
          <w:p>
            <w:pPr>
              <w:jc w:val="center"/>
              <w:ind w:left="726"/>
              <w:spacing w:after="0"/>
              <w:rPr>
                <w:sz w:val="20"/>
                <w:szCs w:val="20"/>
                <w:color w:val="auto"/>
              </w:rPr>
            </w:pPr>
            <w:r>
              <w:rPr>
                <w:rFonts w:ascii="Arial" w:cs="Arial" w:eastAsia="Arial" w:hAnsi="Arial"/>
                <w:sz w:val="15"/>
                <w:szCs w:val="15"/>
                <w:b w:val="1"/>
                <w:bCs w:val="1"/>
                <w:color w:val="auto"/>
                <w:w w:val="90"/>
              </w:rPr>
              <w:t>For the Three Months Ended</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gridSpan w:val="3"/>
          </w:tcPr>
          <w:p>
            <w:pPr>
              <w:jc w:val="right"/>
              <w:ind w:right="980"/>
              <w:spacing w:after="0"/>
              <w:rPr>
                <w:sz w:val="20"/>
                <w:szCs w:val="20"/>
                <w:color w:val="auto"/>
              </w:rPr>
            </w:pPr>
            <w:r>
              <w:rPr>
                <w:rFonts w:ascii="Arial" w:cs="Arial" w:eastAsia="Arial" w:hAnsi="Arial"/>
                <w:sz w:val="15"/>
                <w:szCs w:val="15"/>
                <w:b w:val="1"/>
                <w:bCs w:val="1"/>
                <w:color w:val="auto"/>
              </w:rPr>
              <w:t>% Change</w:t>
            </w:r>
          </w:p>
        </w:tc>
      </w:tr>
      <w:tr>
        <w:trPr>
          <w:trHeight w:val="167"/>
        </w:trPr>
        <w:tc>
          <w:tcPr>
            <w:tcW w:w="51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top w:val="single" w:sz="8" w:color="auto"/>
            </w:tcBorders>
          </w:tcPr>
          <w:p>
            <w:pPr>
              <w:jc w:val="right"/>
              <w:ind w:right="466"/>
              <w:spacing w:after="0" w:line="167" w:lineRule="exact"/>
              <w:rPr>
                <w:sz w:val="20"/>
                <w:szCs w:val="20"/>
                <w:color w:val="auto"/>
              </w:rPr>
            </w:pPr>
            <w:r>
              <w:rPr>
                <w:rFonts w:ascii="Arial" w:cs="Arial" w:eastAsia="Arial" w:hAnsi="Arial"/>
                <w:sz w:val="15"/>
                <w:szCs w:val="15"/>
                <w:b w:val="1"/>
                <w:bCs w:val="1"/>
                <w:color w:val="auto"/>
              </w:rPr>
              <w:t>March</w:t>
            </w:r>
          </w:p>
        </w:tc>
        <w:tc>
          <w:tcPr>
            <w:tcW w:w="10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84"/>
        </w:trPr>
        <w:tc>
          <w:tcPr>
            <w:tcW w:w="5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386"/>
              <w:spacing w:after="0"/>
              <w:rPr>
                <w:sz w:val="20"/>
                <w:szCs w:val="20"/>
                <w:color w:val="auto"/>
              </w:rPr>
            </w:pPr>
            <w:r>
              <w:rPr>
                <w:rFonts w:ascii="Arial" w:cs="Arial" w:eastAsia="Arial" w:hAnsi="Arial"/>
                <w:sz w:val="15"/>
                <w:szCs w:val="15"/>
                <w:b w:val="1"/>
                <w:bCs w:val="1"/>
                <w:color w:val="auto"/>
              </w:rPr>
              <w:t>31, 2020 /</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4"/>
        </w:trPr>
        <w:tc>
          <w:tcPr>
            <w:tcW w:w="5100" w:type="dxa"/>
            <w:vAlign w:val="bottom"/>
          </w:tcPr>
          <w:p>
            <w:pPr>
              <w:spacing w:after="0"/>
              <w:rPr>
                <w:sz w:val="16"/>
                <w:szCs w:val="16"/>
                <w:color w:val="auto"/>
              </w:rPr>
            </w:pPr>
          </w:p>
        </w:tc>
        <w:tc>
          <w:tcPr>
            <w:tcW w:w="1240" w:type="dxa"/>
            <w:vAlign w:val="bottom"/>
          </w:tcPr>
          <w:p>
            <w:pPr>
              <w:jc w:val="right"/>
              <w:ind w:right="446"/>
              <w:spacing w:after="0"/>
              <w:rPr>
                <w:sz w:val="20"/>
                <w:szCs w:val="20"/>
                <w:color w:val="auto"/>
              </w:rPr>
            </w:pPr>
            <w:r>
              <w:rPr>
                <w:rFonts w:ascii="Arial" w:cs="Arial" w:eastAsia="Arial" w:hAnsi="Arial"/>
                <w:sz w:val="15"/>
                <w:szCs w:val="15"/>
                <w:b w:val="1"/>
                <w:bCs w:val="1"/>
                <w:color w:val="auto"/>
              </w:rPr>
              <w:t>March</w:t>
            </w:r>
          </w:p>
        </w:tc>
        <w:tc>
          <w:tcPr>
            <w:tcW w:w="1440" w:type="dxa"/>
            <w:vAlign w:val="bottom"/>
          </w:tcPr>
          <w:p>
            <w:pPr>
              <w:jc w:val="center"/>
              <w:ind w:right="406"/>
              <w:spacing w:after="0"/>
              <w:rPr>
                <w:sz w:val="20"/>
                <w:szCs w:val="20"/>
                <w:color w:val="auto"/>
              </w:rPr>
            </w:pPr>
            <w:r>
              <w:rPr>
                <w:rFonts w:ascii="Arial" w:cs="Arial" w:eastAsia="Arial" w:hAnsi="Arial"/>
                <w:sz w:val="15"/>
                <w:szCs w:val="15"/>
                <w:b w:val="1"/>
                <w:bCs w:val="1"/>
                <w:color w:val="auto"/>
                <w:w w:val="88"/>
              </w:rPr>
              <w:t>December</w:t>
            </w:r>
          </w:p>
        </w:tc>
        <w:tc>
          <w:tcPr>
            <w:tcW w:w="100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March</w:t>
            </w:r>
          </w:p>
        </w:tc>
        <w:tc>
          <w:tcPr>
            <w:tcW w:w="1260" w:type="dxa"/>
            <w:vAlign w:val="bottom"/>
          </w:tcPr>
          <w:p>
            <w:pPr>
              <w:jc w:val="right"/>
              <w:ind w:right="366"/>
              <w:spacing w:after="0"/>
              <w:rPr>
                <w:sz w:val="20"/>
                <w:szCs w:val="20"/>
                <w:color w:val="auto"/>
              </w:rPr>
            </w:pPr>
            <w:r>
              <w:rPr>
                <w:rFonts w:ascii="Arial" w:cs="Arial" w:eastAsia="Arial" w:hAnsi="Arial"/>
                <w:sz w:val="15"/>
                <w:szCs w:val="15"/>
                <w:b w:val="1"/>
                <w:bCs w:val="1"/>
                <w:color w:val="auto"/>
              </w:rPr>
              <w:t>December</w:t>
            </w:r>
          </w:p>
        </w:tc>
        <w:tc>
          <w:tcPr>
            <w:tcW w:w="120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March</w:t>
            </w:r>
          </w:p>
        </w:tc>
      </w:tr>
      <w:tr>
        <w:trPr>
          <w:trHeight w:val="194"/>
        </w:trPr>
        <w:tc>
          <w:tcPr>
            <w:tcW w:w="5100" w:type="dxa"/>
            <w:vAlign w:val="bottom"/>
          </w:tcPr>
          <w:p>
            <w:pPr>
              <w:spacing w:after="0"/>
              <w:rPr>
                <w:sz w:val="16"/>
                <w:szCs w:val="16"/>
                <w:color w:val="auto"/>
              </w:rPr>
            </w:pPr>
          </w:p>
        </w:tc>
        <w:tc>
          <w:tcPr>
            <w:tcW w:w="124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b w:val="1"/>
                <w:bCs w:val="1"/>
                <w:color w:val="auto"/>
              </w:rPr>
              <w:t>31, 2019</w:t>
            </w:r>
          </w:p>
        </w:tc>
        <w:tc>
          <w:tcPr>
            <w:tcW w:w="1440" w:type="dxa"/>
            <w:vAlign w:val="bottom"/>
            <w:tcBorders>
              <w:bottom w:val="single" w:sz="8" w:color="auto"/>
            </w:tcBorders>
          </w:tcPr>
          <w:p>
            <w:pPr>
              <w:jc w:val="center"/>
              <w:ind w:right="406"/>
              <w:spacing w:after="0"/>
              <w:rPr>
                <w:sz w:val="20"/>
                <w:szCs w:val="20"/>
                <w:color w:val="auto"/>
              </w:rPr>
            </w:pPr>
            <w:r>
              <w:rPr>
                <w:rFonts w:ascii="Arial" w:cs="Arial" w:eastAsia="Arial" w:hAnsi="Arial"/>
                <w:sz w:val="15"/>
                <w:szCs w:val="15"/>
                <w:b w:val="1"/>
                <w:bCs w:val="1"/>
                <w:color w:val="auto"/>
                <w:w w:val="88"/>
              </w:rPr>
              <w:t>31, 2019</w:t>
            </w:r>
          </w:p>
        </w:tc>
        <w:tc>
          <w:tcPr>
            <w:tcW w:w="78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w w:val="88"/>
              </w:rPr>
              <w:t>31, 2020</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31, 2019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3"/>
              </w:rPr>
              <w:t>31, 2020 / 2019</w:t>
            </w:r>
          </w:p>
        </w:tc>
        <w:tc>
          <w:tcPr>
            <w:tcW w:w="160" w:type="dxa"/>
            <w:vAlign w:val="bottom"/>
          </w:tcPr>
          <w:p>
            <w:pPr>
              <w:spacing w:after="0"/>
              <w:rPr>
                <w:sz w:val="16"/>
                <w:szCs w:val="16"/>
                <w:color w:val="auto"/>
              </w:rPr>
            </w:pPr>
          </w:p>
        </w:tc>
      </w:tr>
      <w:tr>
        <w:trPr>
          <w:trHeight w:val="179"/>
        </w:trPr>
        <w:tc>
          <w:tcPr>
            <w:tcW w:w="5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700" w:type="dxa"/>
            <w:vAlign w:val="bottom"/>
            <w:gridSpan w:val="4"/>
          </w:tcPr>
          <w:p>
            <w:pPr>
              <w:jc w:val="right"/>
              <w:ind w:right="626"/>
              <w:spacing w:after="0"/>
              <w:rPr>
                <w:sz w:val="20"/>
                <w:szCs w:val="20"/>
                <w:color w:val="auto"/>
              </w:rPr>
            </w:pPr>
            <w:r>
              <w:rPr>
                <w:rFonts w:ascii="Arial" w:cs="Arial" w:eastAsia="Arial" w:hAnsi="Arial"/>
                <w:sz w:val="15"/>
                <w:szCs w:val="15"/>
                <w:b w:val="1"/>
                <w:bCs w:val="1"/>
                <w:color w:val="auto"/>
              </w:rPr>
              <w:t>(Soles in thousands, except percentages)</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4"/>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Gross provision for credit losses on loan portfolio</w:t>
            </w: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(453,285)</w:t>
            </w:r>
          </w:p>
        </w:tc>
        <w:tc>
          <w:tcPr>
            <w:tcW w:w="144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rPr>
              <w:t>(568,727)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(1,388,711)</w:t>
            </w:r>
          </w:p>
        </w:tc>
        <w:tc>
          <w:tcPr>
            <w:tcW w:w="12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144.2%</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206.4%</w:t>
            </w:r>
          </w:p>
        </w:tc>
      </w:tr>
      <w:tr>
        <w:trPr>
          <w:trHeight w:val="184"/>
        </w:trPr>
        <w:tc>
          <w:tcPr>
            <w:tcW w:w="5100" w:type="dxa"/>
            <w:vAlign w:val="bottom"/>
          </w:tcPr>
          <w:p>
            <w:pPr>
              <w:spacing w:after="0"/>
              <w:rPr>
                <w:sz w:val="20"/>
                <w:szCs w:val="20"/>
                <w:color w:val="auto"/>
              </w:rPr>
            </w:pPr>
            <w:r>
              <w:rPr>
                <w:rFonts w:ascii="Arial" w:cs="Arial" w:eastAsia="Arial" w:hAnsi="Arial"/>
                <w:sz w:val="15"/>
                <w:szCs w:val="15"/>
                <w:color w:val="auto"/>
              </w:rPr>
              <w:t>Recoveries of written-off loans</w:t>
            </w:r>
          </w:p>
        </w:tc>
        <w:tc>
          <w:tcPr>
            <w:tcW w:w="1240" w:type="dxa"/>
            <w:vAlign w:val="bottom"/>
          </w:tcPr>
          <w:p>
            <w:pPr>
              <w:jc w:val="right"/>
              <w:ind w:right="166"/>
              <w:spacing w:after="0"/>
              <w:rPr>
                <w:sz w:val="20"/>
                <w:szCs w:val="20"/>
                <w:color w:val="auto"/>
              </w:rPr>
            </w:pPr>
            <w:r>
              <w:rPr>
                <w:rFonts w:ascii="Arial" w:cs="Arial" w:eastAsia="Arial" w:hAnsi="Arial"/>
                <w:sz w:val="15"/>
                <w:szCs w:val="15"/>
                <w:color w:val="auto"/>
              </w:rPr>
              <w:t>70,074</w:t>
            </w:r>
          </w:p>
        </w:tc>
        <w:tc>
          <w:tcPr>
            <w:tcW w:w="1440" w:type="dxa"/>
            <w:vAlign w:val="bottom"/>
          </w:tcPr>
          <w:p>
            <w:pPr>
              <w:jc w:val="right"/>
              <w:ind w:right="366"/>
              <w:spacing w:after="0"/>
              <w:rPr>
                <w:sz w:val="20"/>
                <w:szCs w:val="20"/>
                <w:color w:val="auto"/>
              </w:rPr>
            </w:pPr>
            <w:r>
              <w:rPr>
                <w:rFonts w:ascii="Arial" w:cs="Arial" w:eastAsia="Arial" w:hAnsi="Arial"/>
                <w:sz w:val="15"/>
                <w:szCs w:val="15"/>
                <w:color w:val="auto"/>
              </w:rPr>
              <w:t>57,067</w:t>
            </w:r>
          </w:p>
        </w:tc>
        <w:tc>
          <w:tcPr>
            <w:tcW w:w="780" w:type="dxa"/>
            <w:vAlign w:val="bottom"/>
          </w:tcPr>
          <w:p>
            <w:pPr>
              <w:jc w:val="right"/>
              <w:spacing w:after="0"/>
              <w:rPr>
                <w:sz w:val="20"/>
                <w:szCs w:val="20"/>
                <w:color w:val="auto"/>
              </w:rPr>
            </w:pPr>
            <w:r>
              <w:rPr>
                <w:rFonts w:ascii="Arial" w:cs="Arial" w:eastAsia="Arial" w:hAnsi="Arial"/>
                <w:sz w:val="15"/>
                <w:szCs w:val="15"/>
                <w:color w:val="auto"/>
              </w:rPr>
              <w:t>47,230</w:t>
            </w:r>
          </w:p>
        </w:tc>
        <w:tc>
          <w:tcPr>
            <w:tcW w:w="220" w:type="dxa"/>
            <w:vAlign w:val="bottom"/>
          </w:tcPr>
          <w:p>
            <w:pPr>
              <w:spacing w:after="0"/>
              <w:rPr>
                <w:sz w:val="16"/>
                <w:szCs w:val="16"/>
                <w:color w:val="auto"/>
              </w:rPr>
            </w:pP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(17.2)%</w:t>
            </w:r>
          </w:p>
        </w:tc>
        <w:tc>
          <w:tcPr>
            <w:tcW w:w="1200" w:type="dxa"/>
            <w:vAlign w:val="bottom"/>
            <w:gridSpan w:val="2"/>
          </w:tcPr>
          <w:p>
            <w:pPr>
              <w:jc w:val="right"/>
              <w:spacing w:after="0"/>
              <w:rPr>
                <w:sz w:val="20"/>
                <w:szCs w:val="20"/>
                <w:color w:val="auto"/>
              </w:rPr>
            </w:pPr>
            <w:r>
              <w:rPr>
                <w:rFonts w:ascii="Arial" w:cs="Arial" w:eastAsia="Arial" w:hAnsi="Arial"/>
                <w:sz w:val="15"/>
                <w:szCs w:val="15"/>
                <w:color w:val="auto"/>
              </w:rPr>
              <w:t>(32.6)%</w:t>
            </w:r>
          </w:p>
        </w:tc>
      </w:tr>
      <w:tr>
        <w:trPr>
          <w:trHeight w:val="184"/>
        </w:trPr>
        <w:tc>
          <w:tcPr>
            <w:tcW w:w="5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Provision for credit losses on loan portfolio,net of recoveries</w:t>
            </w:r>
          </w:p>
        </w:tc>
        <w:tc>
          <w:tcPr>
            <w:tcW w:w="1240" w:type="dxa"/>
            <w:vAlign w:val="bottom"/>
            <w:shd w:val="clear" w:color="auto" w:fill="CCEEFF"/>
          </w:tcPr>
          <w:p>
            <w:pPr>
              <w:jc w:val="right"/>
              <w:ind w:right="106"/>
              <w:spacing w:after="0"/>
              <w:rPr>
                <w:sz w:val="20"/>
                <w:szCs w:val="20"/>
                <w:color w:val="auto"/>
              </w:rPr>
            </w:pPr>
            <w:r>
              <w:rPr>
                <w:rFonts w:ascii="Arial" w:cs="Arial" w:eastAsia="Arial" w:hAnsi="Arial"/>
                <w:sz w:val="15"/>
                <w:szCs w:val="15"/>
                <w:b w:val="1"/>
                <w:bCs w:val="1"/>
                <w:color w:val="auto"/>
              </w:rPr>
              <w:t>(383,211)</w:t>
            </w:r>
          </w:p>
        </w:tc>
        <w:tc>
          <w:tcPr>
            <w:tcW w:w="1440" w:type="dxa"/>
            <w:vAlign w:val="bottom"/>
            <w:shd w:val="clear" w:color="auto" w:fill="CCEEFF"/>
          </w:tcPr>
          <w:p>
            <w:pPr>
              <w:jc w:val="right"/>
              <w:ind w:right="326"/>
              <w:spacing w:after="0"/>
              <w:rPr>
                <w:sz w:val="20"/>
                <w:szCs w:val="20"/>
                <w:color w:val="auto"/>
              </w:rPr>
            </w:pPr>
            <w:r>
              <w:rPr>
                <w:rFonts w:ascii="Arial" w:cs="Arial" w:eastAsia="Arial" w:hAnsi="Arial"/>
                <w:sz w:val="15"/>
                <w:szCs w:val="15"/>
                <w:b w:val="1"/>
                <w:bCs w:val="1"/>
                <w:color w:val="auto"/>
              </w:rPr>
              <w:t>(511,660)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(1,341,481)</w:t>
            </w:r>
          </w:p>
        </w:tc>
        <w:tc>
          <w:tcPr>
            <w:tcW w:w="126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162.2%</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250.1%</w:t>
            </w:r>
          </w:p>
        </w:tc>
      </w:tr>
    </w:tbl>
    <w:p>
      <w:pPr>
        <w:spacing w:after="0" w:line="184" w:lineRule="exact"/>
        <w:rPr>
          <w:sz w:val="20"/>
          <w:szCs w:val="20"/>
          <w:color w:val="auto"/>
        </w:rPr>
      </w:pPr>
    </w:p>
    <w:p>
      <w:pPr>
        <w:ind w:firstLine="295"/>
        <w:spacing w:after="0" w:line="266" w:lineRule="auto"/>
        <w:rPr>
          <w:sz w:val="20"/>
          <w:szCs w:val="20"/>
          <w:color w:val="auto"/>
        </w:rPr>
      </w:pPr>
      <w:r>
        <w:rPr>
          <w:rFonts w:ascii="Arial" w:cs="Arial" w:eastAsia="Arial" w:hAnsi="Arial"/>
          <w:sz w:val="16"/>
          <w:szCs w:val="16"/>
          <w:color w:val="auto"/>
        </w:rPr>
        <w:t>Net provisions for loan losses after recoveries increased significantly when comparing March 31, 2020 to March 31, 2019 and when comparing March 31, 2020 to December 31, 2019, in line with expectations of a recession in Peru and the region and with the reduction in the debt service capacity of certain clients due to the economic effects of the COVID-19 pandemic. Credicorp and the government have taken different measures in an effort to mitigate the deterioration in clients’ capacity to pay, and the economy, respectively. Credicorp has offered its clients the following measures:</w:t>
      </w:r>
    </w:p>
    <w:p>
      <w:pPr>
        <w:spacing w:after="0" w:line="167" w:lineRule="exact"/>
        <w:rPr>
          <w:sz w:val="20"/>
          <w:szCs w:val="20"/>
          <w:color w:val="auto"/>
        </w:rPr>
      </w:pPr>
    </w:p>
    <w:p>
      <w:pPr>
        <w:ind w:left="720" w:right="120" w:hanging="366"/>
        <w:spacing w:after="0" w:line="287" w:lineRule="auto"/>
        <w:tabs>
          <w:tab w:leader="none" w:pos="72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BCP has offered its retail banking clients the opportunity to reschedule repayments on their loans for 30 or 90 days without incurring fees for overdue amounts and interest on principal.</w:t>
      </w:r>
    </w:p>
    <w:p>
      <w:pPr>
        <w:spacing w:after="0" w:line="149" w:lineRule="exact"/>
        <w:rPr>
          <w:rFonts w:ascii="Arial" w:cs="Arial" w:eastAsia="Arial" w:hAnsi="Arial"/>
          <w:sz w:val="16"/>
          <w:szCs w:val="16"/>
          <w:color w:val="auto"/>
        </w:rPr>
      </w:pPr>
    </w:p>
    <w:p>
      <w:pPr>
        <w:ind w:left="720" w:hanging="366"/>
        <w:spacing w:after="0"/>
        <w:tabs>
          <w:tab w:leader="none" w:pos="72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Mibanco has also offered loan extensions to certain clients with a grace period of up to 6 months, which includes a waiver of interest on principal.</w:t>
      </w:r>
    </w:p>
    <w:p>
      <w:pPr>
        <w:spacing w:after="0" w:line="209" w:lineRule="exact"/>
        <w:rPr>
          <w:rFonts w:ascii="Arial" w:cs="Arial" w:eastAsia="Arial" w:hAnsi="Arial"/>
          <w:sz w:val="16"/>
          <w:szCs w:val="16"/>
          <w:color w:val="auto"/>
        </w:rPr>
      </w:pPr>
    </w:p>
    <w:p>
      <w:pPr>
        <w:ind w:left="720" w:hanging="366"/>
        <w:spacing w:after="0"/>
        <w:tabs>
          <w:tab w:leader="none" w:pos="72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In April, both BCP and Mibanco have granted clients the option to postpone payments in April and May without incurring additional interest.</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These benefits have been granted without affecting our clients’ risk ratings.</w:t>
      </w:r>
    </w:p>
    <w:p>
      <w:pPr>
        <w:spacing w:after="0" w:line="209" w:lineRule="exact"/>
        <w:rPr>
          <w:sz w:val="20"/>
          <w:szCs w:val="20"/>
          <w:color w:val="auto"/>
        </w:rPr>
      </w:pPr>
    </w:p>
    <w:p>
      <w:pPr>
        <w:ind w:right="120" w:firstLine="295"/>
        <w:spacing w:after="0" w:line="287" w:lineRule="auto"/>
        <w:rPr>
          <w:sz w:val="20"/>
          <w:szCs w:val="20"/>
          <w:color w:val="auto"/>
        </w:rPr>
      </w:pPr>
      <w:r>
        <w:rPr>
          <w:rFonts w:ascii="Arial" w:cs="Arial" w:eastAsia="Arial" w:hAnsi="Arial"/>
          <w:sz w:val="16"/>
          <w:szCs w:val="16"/>
          <w:color w:val="auto"/>
        </w:rPr>
        <w:t>These actions served to ameliorate, to a certain extent, the provisions we made for credit losses on our loan portfolio, net of recoveries. However, a number of factors could not be offset and will continue to affect the lending portfolio throughout the year, including:</w:t>
      </w:r>
    </w:p>
    <w:p>
      <w:pPr>
        <w:spacing w:after="0" w:line="150" w:lineRule="exact"/>
        <w:rPr>
          <w:sz w:val="20"/>
          <w:szCs w:val="20"/>
          <w:color w:val="auto"/>
        </w:rPr>
      </w:pPr>
    </w:p>
    <w:p>
      <w:pPr>
        <w:ind w:left="720" w:right="60" w:hanging="366"/>
        <w:spacing w:after="0" w:line="287" w:lineRule="auto"/>
        <w:tabs>
          <w:tab w:leader="none" w:pos="72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Changes in macroeconomic expectations due to the COVID-19 pandemic, with expectations for a recession in the Peruvian economy causing a negative impact in the framework of expected losses. Moreover, loan loss provisions may increase if economic expectations continue to deteriorate.</w:t>
      </w:r>
    </w:p>
    <w:p>
      <w:pPr>
        <w:spacing w:after="0" w:line="149" w:lineRule="exact"/>
        <w:rPr>
          <w:rFonts w:ascii="Arial" w:cs="Arial" w:eastAsia="Arial" w:hAnsi="Arial"/>
          <w:sz w:val="16"/>
          <w:szCs w:val="16"/>
          <w:color w:val="auto"/>
        </w:rPr>
      </w:pPr>
    </w:p>
    <w:p>
      <w:pPr>
        <w:ind w:left="720" w:right="40" w:hanging="366"/>
        <w:spacing w:after="0" w:line="271" w:lineRule="auto"/>
        <w:tabs>
          <w:tab w:leader="none" w:pos="72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Portfolio deterioration, where a number of clients have been affected by a stoppage in their operations or sales due to lockdowns ordered by the government in connection with the COVID-19 pandemic. This has been reflected primarily in the retail segment at BCP Stand-alone, and was particularly marked in the SME-Pyme, credit card, consumer and mortgage segments.</w:t>
      </w:r>
    </w:p>
    <w:p>
      <w:pPr>
        <w:spacing w:after="0" w:line="163" w:lineRule="exact"/>
        <w:rPr>
          <w:sz w:val="20"/>
          <w:szCs w:val="20"/>
          <w:color w:val="auto"/>
        </w:rPr>
      </w:pPr>
    </w:p>
    <w:p>
      <w:pPr>
        <w:ind w:right="20" w:firstLine="295"/>
        <w:spacing w:after="0" w:line="266" w:lineRule="auto"/>
        <w:rPr>
          <w:sz w:val="20"/>
          <w:szCs w:val="20"/>
          <w:color w:val="auto"/>
        </w:rPr>
      </w:pPr>
      <w:r>
        <w:rPr>
          <w:rFonts w:ascii="Arial" w:cs="Arial" w:eastAsia="Arial" w:hAnsi="Arial"/>
          <w:sz w:val="16"/>
          <w:szCs w:val="16"/>
          <w:color w:val="auto"/>
        </w:rPr>
        <w:t>We believe the impact of COVID-19 on the middle-market and SME-Business portfolios will be mitigated in part by the Reactiva Peru loan program offered by the Peruvian government. Through this program, eligible companies will receive loans backed by government guarantees with coverage rates between 80%-98%. Additionally, through the Enterprise Support Fund (“FAE”) we will be able to provide loans to the SME-Pyme segment and Mibanco, where loans will be backed by government guarantees for 90%-98% of the total amount.</w:t>
      </w:r>
    </w:p>
    <w:p>
      <w:pPr>
        <w:spacing w:after="0" w:line="167" w:lineRule="exact"/>
        <w:rPr>
          <w:sz w:val="20"/>
          <w:szCs w:val="20"/>
          <w:color w:val="auto"/>
        </w:rPr>
      </w:pPr>
    </w:p>
    <w:p>
      <w:pPr>
        <w:ind w:right="340" w:firstLine="295"/>
        <w:spacing w:after="0" w:line="322" w:lineRule="auto"/>
        <w:rPr>
          <w:sz w:val="20"/>
          <w:szCs w:val="20"/>
          <w:color w:val="auto"/>
        </w:rPr>
      </w:pPr>
      <w:r>
        <w:rPr>
          <w:rFonts w:ascii="Arial" w:cs="Arial" w:eastAsia="Arial" w:hAnsi="Arial"/>
          <w:sz w:val="15"/>
          <w:szCs w:val="15"/>
          <w:color w:val="auto"/>
        </w:rPr>
        <w:t>Finally, provisions at BCP Stand-alone increased on top of provisions related to COVID-19, mainly attributable to the deterioration in the SME-Pyme segment, in revolving loans in particular, and to a lesser extent, attributable to deterioration in the credit card segment, which reflected excess lending in the financial system.</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70" w:name="page171"/>
    <w:bookmarkEnd w:id="170"/>
    <w:p>
      <w:pPr>
        <w:ind w:left="302"/>
        <w:spacing w:after="0"/>
        <w:rPr>
          <w:sz w:val="20"/>
          <w:szCs w:val="20"/>
          <w:color w:val="auto"/>
        </w:rPr>
      </w:pPr>
      <w:r>
        <w:rPr>
          <w:rFonts w:ascii="Arial" w:cs="Arial" w:eastAsia="Arial" w:hAnsi="Arial"/>
          <w:sz w:val="16"/>
          <w:szCs w:val="16"/>
          <w:i w:val="1"/>
          <w:iCs w:val="1"/>
          <w:color w:val="auto"/>
        </w:rPr>
        <w:t>Cost of risk</w:t>
      </w:r>
    </w:p>
    <w:p>
      <w:pPr>
        <w:spacing w:after="0" w:line="222" w:lineRule="exact"/>
        <w:rPr>
          <w:sz w:val="20"/>
          <w:szCs w:val="20"/>
          <w:color w:val="auto"/>
        </w:rPr>
      </w:pPr>
    </w:p>
    <w:tbl>
      <w:tblPr>
        <w:tblLayout w:type="fixed"/>
        <w:tblInd w:w="2" w:type="dxa"/>
        <w:tblCellMar>
          <w:top w:w="0" w:type="dxa"/>
          <w:left w:w="0" w:type="dxa"/>
          <w:bottom w:w="0" w:type="dxa"/>
          <w:right w:w="0" w:type="dxa"/>
        </w:tblCellMar>
      </w:tblPr>
      <w:tr>
        <w:trPr>
          <w:trHeight w:val="194"/>
        </w:trPr>
        <w:tc>
          <w:tcPr>
            <w:tcW w:w="5180" w:type="dxa"/>
            <w:vAlign w:val="bottom"/>
          </w:tcPr>
          <w:p>
            <w:pPr>
              <w:spacing w:after="0"/>
              <w:rPr>
                <w:sz w:val="16"/>
                <w:szCs w:val="16"/>
                <w:color w:val="auto"/>
              </w:rPr>
            </w:pPr>
          </w:p>
        </w:tc>
        <w:tc>
          <w:tcPr>
            <w:tcW w:w="2700" w:type="dxa"/>
            <w:vAlign w:val="bottom"/>
            <w:gridSpan w:val="2"/>
          </w:tcPr>
          <w:p>
            <w:pPr>
              <w:jc w:val="center"/>
              <w:ind w:left="706"/>
              <w:spacing w:after="0"/>
              <w:rPr>
                <w:sz w:val="20"/>
                <w:szCs w:val="20"/>
                <w:color w:val="auto"/>
              </w:rPr>
            </w:pPr>
            <w:r>
              <w:rPr>
                <w:rFonts w:ascii="Arial" w:cs="Arial" w:eastAsia="Arial" w:hAnsi="Arial"/>
                <w:sz w:val="15"/>
                <w:szCs w:val="15"/>
                <w:b w:val="1"/>
                <w:bCs w:val="1"/>
                <w:color w:val="auto"/>
                <w:w w:val="90"/>
              </w:rPr>
              <w:t>For the Three Months Ended</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3"/>
          </w:tcPr>
          <w:p>
            <w:pPr>
              <w:ind w:left="780"/>
              <w:spacing w:after="0"/>
              <w:rPr>
                <w:sz w:val="20"/>
                <w:szCs w:val="20"/>
                <w:color w:val="auto"/>
              </w:rPr>
            </w:pPr>
            <w:r>
              <w:rPr>
                <w:rFonts w:ascii="Arial" w:cs="Arial" w:eastAsia="Arial" w:hAnsi="Arial"/>
                <w:sz w:val="15"/>
                <w:szCs w:val="15"/>
                <w:b w:val="1"/>
                <w:bCs w:val="1"/>
                <w:color w:val="auto"/>
              </w:rPr>
              <w:t>% Change</w:t>
            </w:r>
          </w:p>
        </w:tc>
      </w:tr>
      <w:tr>
        <w:trPr>
          <w:trHeight w:val="167"/>
        </w:trPr>
        <w:tc>
          <w:tcPr>
            <w:tcW w:w="518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jc w:val="right"/>
              <w:ind w:right="346"/>
              <w:spacing w:after="0" w:line="167" w:lineRule="exact"/>
              <w:rPr>
                <w:sz w:val="20"/>
                <w:szCs w:val="20"/>
                <w:color w:val="auto"/>
              </w:rPr>
            </w:pPr>
            <w:r>
              <w:rPr>
                <w:rFonts w:ascii="Arial" w:cs="Arial" w:eastAsia="Arial" w:hAnsi="Arial"/>
                <w:sz w:val="15"/>
                <w:szCs w:val="15"/>
                <w:b w:val="1"/>
                <w:bCs w:val="1"/>
                <w:color w:val="auto"/>
              </w:rPr>
              <w:t>March</w:t>
            </w: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5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66"/>
              <w:spacing w:after="0"/>
              <w:rPr>
                <w:sz w:val="20"/>
                <w:szCs w:val="20"/>
                <w:color w:val="auto"/>
              </w:rPr>
            </w:pPr>
            <w:r>
              <w:rPr>
                <w:rFonts w:ascii="Arial" w:cs="Arial" w:eastAsia="Arial" w:hAnsi="Arial"/>
                <w:sz w:val="15"/>
                <w:szCs w:val="15"/>
                <w:b w:val="1"/>
                <w:bCs w:val="1"/>
                <w:color w:val="auto"/>
              </w:rPr>
              <w:t>31, 2020 /</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5180" w:type="dxa"/>
            <w:vAlign w:val="bottom"/>
          </w:tcPr>
          <w:p>
            <w:pPr>
              <w:spacing w:after="0"/>
              <w:rPr>
                <w:sz w:val="16"/>
                <w:szCs w:val="16"/>
                <w:color w:val="auto"/>
              </w:rPr>
            </w:pPr>
          </w:p>
        </w:tc>
        <w:tc>
          <w:tcPr>
            <w:tcW w:w="1280" w:type="dxa"/>
            <w:vAlign w:val="bottom"/>
          </w:tcPr>
          <w:p>
            <w:pPr>
              <w:jc w:val="right"/>
              <w:ind w:right="486"/>
              <w:spacing w:after="0"/>
              <w:rPr>
                <w:sz w:val="20"/>
                <w:szCs w:val="20"/>
                <w:color w:val="auto"/>
              </w:rPr>
            </w:pPr>
            <w:r>
              <w:rPr>
                <w:rFonts w:ascii="Arial" w:cs="Arial" w:eastAsia="Arial" w:hAnsi="Arial"/>
                <w:sz w:val="15"/>
                <w:szCs w:val="15"/>
                <w:b w:val="1"/>
                <w:bCs w:val="1"/>
                <w:color w:val="auto"/>
              </w:rPr>
              <w:t>March</w:t>
            </w:r>
          </w:p>
        </w:tc>
        <w:tc>
          <w:tcPr>
            <w:tcW w:w="1420" w:type="dxa"/>
            <w:vAlign w:val="bottom"/>
          </w:tcPr>
          <w:p>
            <w:pPr>
              <w:jc w:val="center"/>
              <w:ind w:right="426"/>
              <w:spacing w:after="0"/>
              <w:rPr>
                <w:sz w:val="20"/>
                <w:szCs w:val="20"/>
                <w:color w:val="auto"/>
              </w:rPr>
            </w:pPr>
            <w:r>
              <w:rPr>
                <w:rFonts w:ascii="Arial" w:cs="Arial" w:eastAsia="Arial" w:hAnsi="Arial"/>
                <w:sz w:val="15"/>
                <w:szCs w:val="15"/>
                <w:b w:val="1"/>
                <w:bCs w:val="1"/>
                <w:color w:val="auto"/>
                <w:w w:val="88"/>
              </w:rPr>
              <w:t>December</w:t>
            </w:r>
          </w:p>
        </w:tc>
        <w:tc>
          <w:tcPr>
            <w:tcW w:w="102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4"/>
              </w:rPr>
              <w:t>March</w:t>
            </w:r>
          </w:p>
        </w:tc>
        <w:tc>
          <w:tcPr>
            <w:tcW w:w="1140" w:type="dxa"/>
            <w:vAlign w:val="bottom"/>
          </w:tcPr>
          <w:p>
            <w:pPr>
              <w:jc w:val="right"/>
              <w:ind w:right="246"/>
              <w:spacing w:after="0"/>
              <w:rPr>
                <w:sz w:val="20"/>
                <w:szCs w:val="20"/>
                <w:color w:val="auto"/>
              </w:rPr>
            </w:pPr>
            <w:r>
              <w:rPr>
                <w:rFonts w:ascii="Arial" w:cs="Arial" w:eastAsia="Arial" w:hAnsi="Arial"/>
                <w:sz w:val="15"/>
                <w:szCs w:val="15"/>
                <w:b w:val="1"/>
                <w:bCs w:val="1"/>
                <w:color w:val="auto"/>
              </w:rPr>
              <w:t>December</w:t>
            </w:r>
          </w:p>
        </w:tc>
        <w:tc>
          <w:tcPr>
            <w:tcW w:w="1200" w:type="dxa"/>
            <w:vAlign w:val="bottom"/>
            <w:gridSpan w:val="2"/>
          </w:tcPr>
          <w:p>
            <w:pPr>
              <w:ind w:left="380"/>
              <w:spacing w:after="0"/>
              <w:rPr>
                <w:sz w:val="20"/>
                <w:szCs w:val="20"/>
                <w:color w:val="auto"/>
              </w:rPr>
            </w:pPr>
            <w:r>
              <w:rPr>
                <w:rFonts w:ascii="Arial" w:cs="Arial" w:eastAsia="Arial" w:hAnsi="Arial"/>
                <w:sz w:val="15"/>
                <w:szCs w:val="15"/>
                <w:b w:val="1"/>
                <w:bCs w:val="1"/>
                <w:color w:val="auto"/>
              </w:rPr>
              <w:t>March</w:t>
            </w:r>
          </w:p>
        </w:tc>
      </w:tr>
      <w:tr>
        <w:trPr>
          <w:trHeight w:val="191"/>
        </w:trPr>
        <w:tc>
          <w:tcPr>
            <w:tcW w:w="5180" w:type="dxa"/>
            <w:vAlign w:val="bottom"/>
          </w:tcPr>
          <w:p>
            <w:pPr>
              <w:spacing w:after="0"/>
              <w:rPr>
                <w:sz w:val="16"/>
                <w:szCs w:val="16"/>
                <w:color w:val="auto"/>
              </w:rPr>
            </w:pPr>
          </w:p>
        </w:tc>
        <w:tc>
          <w:tcPr>
            <w:tcW w:w="128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b w:val="1"/>
                <w:bCs w:val="1"/>
                <w:color w:val="auto"/>
              </w:rPr>
              <w:t>31, 2019</w:t>
            </w:r>
          </w:p>
        </w:tc>
        <w:tc>
          <w:tcPr>
            <w:tcW w:w="1420" w:type="dxa"/>
            <w:vAlign w:val="bottom"/>
            <w:tcBorders>
              <w:bottom w:val="single" w:sz="8" w:color="auto"/>
            </w:tcBorders>
          </w:tcPr>
          <w:p>
            <w:pPr>
              <w:jc w:val="center"/>
              <w:ind w:right="426"/>
              <w:spacing w:after="0"/>
              <w:rPr>
                <w:sz w:val="20"/>
                <w:szCs w:val="20"/>
                <w:color w:val="auto"/>
              </w:rPr>
            </w:pPr>
            <w:r>
              <w:rPr>
                <w:rFonts w:ascii="Arial" w:cs="Arial" w:eastAsia="Arial" w:hAnsi="Arial"/>
                <w:sz w:val="15"/>
                <w:szCs w:val="15"/>
                <w:b w:val="1"/>
                <w:bCs w:val="1"/>
                <w:color w:val="auto"/>
                <w:w w:val="88"/>
              </w:rPr>
              <w:t>31, 2019</w:t>
            </w:r>
          </w:p>
        </w:tc>
        <w:tc>
          <w:tcPr>
            <w:tcW w:w="800" w:type="dxa"/>
            <w:vAlign w:val="bottom"/>
            <w:tcBorders>
              <w:bottom w:val="single" w:sz="8" w:color="auto"/>
            </w:tcBorders>
          </w:tcPr>
          <w:p>
            <w:pPr>
              <w:jc w:val="center"/>
              <w:ind w:right="166"/>
              <w:spacing w:after="0"/>
              <w:rPr>
                <w:sz w:val="20"/>
                <w:szCs w:val="20"/>
                <w:color w:val="auto"/>
              </w:rPr>
            </w:pPr>
            <w:r>
              <w:rPr>
                <w:rFonts w:ascii="Arial" w:cs="Arial" w:eastAsia="Arial" w:hAnsi="Arial"/>
                <w:sz w:val="15"/>
                <w:szCs w:val="15"/>
                <w:b w:val="1"/>
                <w:bCs w:val="1"/>
                <w:color w:val="auto"/>
                <w:w w:val="88"/>
              </w:rPr>
              <w:t>31, 2020</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31, 2019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31, 2020 / 2019</w:t>
            </w:r>
          </w:p>
        </w:tc>
        <w:tc>
          <w:tcPr>
            <w:tcW w:w="100" w:type="dxa"/>
            <w:vAlign w:val="bottom"/>
          </w:tcPr>
          <w:p>
            <w:pPr>
              <w:spacing w:after="0"/>
              <w:rPr>
                <w:sz w:val="16"/>
                <w:szCs w:val="16"/>
                <w:color w:val="auto"/>
              </w:rPr>
            </w:pPr>
          </w:p>
        </w:tc>
      </w:tr>
      <w:tr>
        <w:trPr>
          <w:trHeight w:val="182"/>
        </w:trPr>
        <w:tc>
          <w:tcPr>
            <w:tcW w:w="5180" w:type="dxa"/>
            <w:vAlign w:val="bottom"/>
          </w:tcPr>
          <w:p>
            <w:pPr>
              <w:spacing w:after="0"/>
              <w:rPr>
                <w:sz w:val="20"/>
                <w:szCs w:val="20"/>
                <w:color w:val="auto"/>
              </w:rPr>
            </w:pPr>
            <w:r>
              <w:rPr>
                <w:rFonts w:ascii="Arial" w:cs="Arial" w:eastAsia="Arial" w:hAnsi="Arial"/>
                <w:sz w:val="15"/>
                <w:szCs w:val="15"/>
                <w:color w:val="auto"/>
              </w:rPr>
              <w:t>Cost of risk and Provisions</w:t>
            </w:r>
          </w:p>
        </w:tc>
        <w:tc>
          <w:tcPr>
            <w:tcW w:w="1280" w:type="dxa"/>
            <w:vAlign w:val="bottom"/>
          </w:tcPr>
          <w:p>
            <w:pPr>
              <w:spacing w:after="0"/>
              <w:rPr>
                <w:sz w:val="15"/>
                <w:szCs w:val="15"/>
                <w:color w:val="auto"/>
              </w:rPr>
            </w:pPr>
          </w:p>
        </w:tc>
        <w:tc>
          <w:tcPr>
            <w:tcW w:w="3580" w:type="dxa"/>
            <w:vAlign w:val="bottom"/>
            <w:gridSpan w:val="4"/>
          </w:tcPr>
          <w:p>
            <w:pPr>
              <w:jc w:val="center"/>
              <w:ind w:right="106"/>
              <w:spacing w:after="0"/>
              <w:rPr>
                <w:sz w:val="20"/>
                <w:szCs w:val="20"/>
                <w:color w:val="auto"/>
              </w:rPr>
            </w:pPr>
            <w:r>
              <w:rPr>
                <w:rFonts w:ascii="Arial" w:cs="Arial" w:eastAsia="Arial" w:hAnsi="Arial"/>
                <w:sz w:val="15"/>
                <w:szCs w:val="15"/>
                <w:b w:val="1"/>
                <w:bCs w:val="1"/>
                <w:color w:val="auto"/>
                <w:w w:val="85"/>
              </w:rPr>
              <w:t>(Soles in thousands, except percentages)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Cost of risk(1)</w:t>
            </w:r>
          </w:p>
        </w:tc>
        <w:tc>
          <w:tcPr>
            <w:tcW w:w="128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1.41%</w:t>
            </w:r>
          </w:p>
        </w:tc>
        <w:tc>
          <w:tcPr>
            <w:tcW w:w="142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1.77%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4.45%</w:t>
            </w: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268 bps</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304 bps</w:t>
            </w:r>
          </w:p>
        </w:tc>
      </w:tr>
      <w:tr>
        <w:trPr>
          <w:trHeight w:val="176"/>
        </w:trPr>
        <w:tc>
          <w:tcPr>
            <w:tcW w:w="5180" w:type="dxa"/>
            <w:vAlign w:val="bottom"/>
          </w:tcPr>
          <w:p>
            <w:pPr>
              <w:spacing w:after="0"/>
              <w:rPr>
                <w:sz w:val="20"/>
                <w:szCs w:val="20"/>
                <w:color w:val="auto"/>
              </w:rPr>
            </w:pPr>
            <w:r>
              <w:rPr>
                <w:rFonts w:ascii="Arial" w:cs="Arial" w:eastAsia="Arial" w:hAnsi="Arial"/>
                <w:sz w:val="15"/>
                <w:szCs w:val="15"/>
                <w:color w:val="auto"/>
              </w:rPr>
              <w:t>Provision for credit losses on loan portfolio,</w:t>
            </w: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180" w:type="dxa"/>
            <w:vAlign w:val="bottom"/>
          </w:tcPr>
          <w:p>
            <w:pPr>
              <w:ind w:left="160"/>
              <w:spacing w:after="0"/>
              <w:rPr>
                <w:sz w:val="20"/>
                <w:szCs w:val="20"/>
                <w:color w:val="auto"/>
              </w:rPr>
            </w:pPr>
            <w:r>
              <w:rPr>
                <w:rFonts w:ascii="Arial" w:cs="Arial" w:eastAsia="Arial" w:hAnsi="Arial"/>
                <w:sz w:val="15"/>
                <w:szCs w:val="15"/>
                <w:color w:val="auto"/>
              </w:rPr>
              <w:t>net of recoveries/Net interest income</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17.4%</w:t>
            </w:r>
          </w:p>
        </w:tc>
        <w:tc>
          <w:tcPr>
            <w:tcW w:w="1420" w:type="dxa"/>
            <w:vAlign w:val="bottom"/>
          </w:tcPr>
          <w:p>
            <w:pPr>
              <w:jc w:val="right"/>
              <w:ind w:right="246"/>
              <w:spacing w:after="0"/>
              <w:rPr>
                <w:sz w:val="20"/>
                <w:szCs w:val="20"/>
                <w:color w:val="auto"/>
              </w:rPr>
            </w:pPr>
            <w:r>
              <w:rPr>
                <w:rFonts w:ascii="Arial" w:cs="Arial" w:eastAsia="Arial" w:hAnsi="Arial"/>
                <w:sz w:val="15"/>
                <w:szCs w:val="15"/>
                <w:color w:val="auto"/>
              </w:rPr>
              <w:t>21.6%</w:t>
            </w: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56.4%</w:t>
            </w: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3,480 bps</w:t>
            </w:r>
          </w:p>
        </w:tc>
        <w:tc>
          <w:tcPr>
            <w:tcW w:w="1200" w:type="dxa"/>
            <w:vAlign w:val="bottom"/>
            <w:gridSpan w:val="2"/>
          </w:tcPr>
          <w:p>
            <w:pPr>
              <w:jc w:val="right"/>
              <w:ind w:right="100"/>
              <w:spacing w:after="0"/>
              <w:rPr>
                <w:sz w:val="20"/>
                <w:szCs w:val="20"/>
                <w:color w:val="auto"/>
              </w:rPr>
            </w:pPr>
            <w:r>
              <w:rPr>
                <w:rFonts w:ascii="Arial" w:cs="Arial" w:eastAsia="Arial" w:hAnsi="Arial"/>
                <w:sz w:val="15"/>
                <w:szCs w:val="15"/>
                <w:color w:val="auto"/>
              </w:rPr>
              <w:t>3,890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1786255"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92" w:lineRule="exact"/>
        <w:rPr>
          <w:sz w:val="20"/>
          <w:szCs w:val="20"/>
          <w:color w:val="auto"/>
        </w:rPr>
      </w:pPr>
    </w:p>
    <w:p>
      <w:pPr>
        <w:ind w:left="2"/>
        <w:spacing w:after="0"/>
        <w:rPr>
          <w:sz w:val="20"/>
          <w:szCs w:val="20"/>
          <w:color w:val="auto"/>
        </w:rPr>
      </w:pPr>
      <w:r>
        <w:rPr>
          <w:rFonts w:ascii="Arial" w:cs="Arial" w:eastAsia="Arial" w:hAnsi="Arial"/>
          <w:sz w:val="16"/>
          <w:szCs w:val="16"/>
          <w:color w:val="auto"/>
        </w:rPr>
        <w:t>(1)  Annualized Provision for credit losses on loan portfolio, net of recoveries / Total loans.</w:t>
      </w:r>
    </w:p>
    <w:p>
      <w:pPr>
        <w:spacing w:after="0" w:line="209" w:lineRule="exact"/>
        <w:rPr>
          <w:sz w:val="20"/>
          <w:szCs w:val="20"/>
          <w:color w:val="auto"/>
        </w:rPr>
      </w:pPr>
    </w:p>
    <w:p>
      <w:pPr>
        <w:jc w:val="both"/>
        <w:ind w:left="2" w:right="120" w:firstLine="295"/>
        <w:spacing w:after="0" w:line="287" w:lineRule="auto"/>
        <w:rPr>
          <w:sz w:val="20"/>
          <w:szCs w:val="20"/>
          <w:color w:val="auto"/>
        </w:rPr>
      </w:pPr>
      <w:r>
        <w:rPr>
          <w:rFonts w:ascii="Arial" w:cs="Arial" w:eastAsia="Arial" w:hAnsi="Arial"/>
          <w:sz w:val="16"/>
          <w:szCs w:val="16"/>
          <w:color w:val="auto"/>
        </w:rPr>
        <w:t>Due to the factors described above, Credicorp’s cost of risk increased 268 basis points when comparing the three months ended March 31, 2020 to three months ended December 31, 2019 and 304 basis points when comparing the three months ended March 31, 2020 to three months ended March 31, 2019.</w:t>
      </w:r>
    </w:p>
    <w:p>
      <w:pPr>
        <w:spacing w:after="0" w:line="150"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488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Portfolio Quality: Delinquency Ratios</w:t>
            </w: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6"/>
        </w:trPr>
        <w:tc>
          <w:tcPr>
            <w:tcW w:w="4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jc w:val="center"/>
              <w:ind w:right="258"/>
              <w:spacing w:after="0"/>
              <w:rPr>
                <w:sz w:val="20"/>
                <w:szCs w:val="20"/>
                <w:color w:val="auto"/>
              </w:rPr>
            </w:pPr>
            <w:r>
              <w:rPr>
                <w:rFonts w:ascii="Arial" w:cs="Arial" w:eastAsia="Arial" w:hAnsi="Arial"/>
                <w:sz w:val="16"/>
                <w:szCs w:val="16"/>
                <w:b w:val="1"/>
                <w:bCs w:val="1"/>
                <w:color w:val="auto"/>
                <w:w w:val="89"/>
              </w:rPr>
              <w:t>As of</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gridSpan w:val="3"/>
          </w:tcPr>
          <w:p>
            <w:pPr>
              <w:jc w:val="right"/>
              <w:ind w:right="9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Borders>
              <w:top w:val="single" w:sz="8" w:color="auto"/>
            </w:tcBorders>
          </w:tcPr>
          <w:p>
            <w:pPr>
              <w:jc w:val="right"/>
              <w:ind w:right="418"/>
              <w:spacing w:after="0" w:line="173" w:lineRule="exact"/>
              <w:rPr>
                <w:sz w:val="20"/>
                <w:szCs w:val="20"/>
                <w:color w:val="auto"/>
              </w:rPr>
            </w:pPr>
            <w:r>
              <w:rPr>
                <w:rFonts w:ascii="Arial" w:cs="Arial" w:eastAsia="Arial" w:hAnsi="Arial"/>
                <w:sz w:val="16"/>
                <w:szCs w:val="16"/>
                <w:b w:val="1"/>
                <w:bCs w:val="1"/>
                <w:color w:val="auto"/>
              </w:rPr>
              <w:t>March</w:t>
            </w:r>
          </w:p>
        </w:tc>
        <w:tc>
          <w:tcPr>
            <w:tcW w:w="10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338"/>
              <w:spacing w:after="0"/>
              <w:rPr>
                <w:sz w:val="20"/>
                <w:szCs w:val="20"/>
                <w:color w:val="auto"/>
              </w:rPr>
            </w:pPr>
            <w:r>
              <w:rPr>
                <w:rFonts w:ascii="Arial" w:cs="Arial" w:eastAsia="Arial" w:hAnsi="Arial"/>
                <w:sz w:val="16"/>
                <w:szCs w:val="16"/>
                <w:b w:val="1"/>
                <w:bCs w:val="1"/>
                <w:color w:val="auto"/>
              </w:rPr>
              <w:t>31, 2020 /</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80" w:type="dxa"/>
            <w:vAlign w:val="bottom"/>
          </w:tcPr>
          <w:p>
            <w:pPr>
              <w:spacing w:after="0"/>
              <w:rPr>
                <w:sz w:val="17"/>
                <w:szCs w:val="17"/>
                <w:color w:val="auto"/>
              </w:rPr>
            </w:pPr>
          </w:p>
        </w:tc>
        <w:tc>
          <w:tcPr>
            <w:tcW w:w="1300" w:type="dxa"/>
            <w:vAlign w:val="bottom"/>
          </w:tcPr>
          <w:p>
            <w:pPr>
              <w:jc w:val="right"/>
              <w:ind w:right="478"/>
              <w:spacing w:after="0"/>
              <w:rPr>
                <w:sz w:val="20"/>
                <w:szCs w:val="20"/>
                <w:color w:val="auto"/>
              </w:rPr>
            </w:pPr>
            <w:r>
              <w:rPr>
                <w:rFonts w:ascii="Arial" w:cs="Arial" w:eastAsia="Arial" w:hAnsi="Arial"/>
                <w:sz w:val="16"/>
                <w:szCs w:val="16"/>
                <w:b w:val="1"/>
                <w:bCs w:val="1"/>
                <w:color w:val="auto"/>
              </w:rPr>
              <w:t>March</w:t>
            </w:r>
          </w:p>
        </w:tc>
        <w:tc>
          <w:tcPr>
            <w:tcW w:w="1300" w:type="dxa"/>
            <w:vAlign w:val="bottom"/>
          </w:tcPr>
          <w:p>
            <w:pPr>
              <w:jc w:val="center"/>
              <w:ind w:right="238"/>
              <w:spacing w:after="0"/>
              <w:rPr>
                <w:sz w:val="20"/>
                <w:szCs w:val="20"/>
                <w:color w:val="auto"/>
              </w:rPr>
            </w:pPr>
            <w:r>
              <w:rPr>
                <w:rFonts w:ascii="Arial" w:cs="Arial" w:eastAsia="Arial" w:hAnsi="Arial"/>
                <w:sz w:val="16"/>
                <w:szCs w:val="16"/>
                <w:b w:val="1"/>
                <w:bCs w:val="1"/>
                <w:color w:val="auto"/>
                <w:w w:val="90"/>
              </w:rPr>
              <w:t>December</w:t>
            </w: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March</w:t>
            </w:r>
          </w:p>
        </w:tc>
        <w:tc>
          <w:tcPr>
            <w:tcW w:w="1240" w:type="dxa"/>
            <w:vAlign w:val="bottom"/>
          </w:tcPr>
          <w:p>
            <w:pPr>
              <w:jc w:val="right"/>
              <w:ind w:right="318"/>
              <w:spacing w:after="0"/>
              <w:rPr>
                <w:sz w:val="20"/>
                <w:szCs w:val="20"/>
                <w:color w:val="auto"/>
              </w:rPr>
            </w:pPr>
            <w:r>
              <w:rPr>
                <w:rFonts w:ascii="Arial" w:cs="Arial" w:eastAsia="Arial" w:hAnsi="Arial"/>
                <w:sz w:val="16"/>
                <w:szCs w:val="16"/>
                <w:b w:val="1"/>
                <w:bCs w:val="1"/>
                <w:color w:val="auto"/>
              </w:rPr>
              <w:t>December</w:t>
            </w:r>
          </w:p>
        </w:tc>
        <w:tc>
          <w:tcPr>
            <w:tcW w:w="12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March</w:t>
            </w:r>
          </w:p>
        </w:tc>
        <w:tc>
          <w:tcPr>
            <w:tcW w:w="0" w:type="dxa"/>
            <w:vAlign w:val="bottom"/>
          </w:tcPr>
          <w:p>
            <w:pPr>
              <w:spacing w:after="0"/>
              <w:rPr>
                <w:sz w:val="1"/>
                <w:szCs w:val="1"/>
                <w:color w:val="auto"/>
              </w:rPr>
            </w:pPr>
          </w:p>
        </w:tc>
      </w:tr>
      <w:tr>
        <w:trPr>
          <w:trHeight w:val="212"/>
        </w:trPr>
        <w:tc>
          <w:tcPr>
            <w:tcW w:w="4880" w:type="dxa"/>
            <w:vAlign w:val="bottom"/>
            <w:vMerge w:val="restart"/>
          </w:tcPr>
          <w:p>
            <w:pPr>
              <w:spacing w:after="0"/>
              <w:rPr>
                <w:sz w:val="20"/>
                <w:szCs w:val="20"/>
                <w:color w:val="auto"/>
              </w:rPr>
            </w:pPr>
            <w:r>
              <w:rPr>
                <w:rFonts w:ascii="Arial" w:cs="Arial" w:eastAsia="Arial" w:hAnsi="Arial"/>
                <w:sz w:val="16"/>
                <w:szCs w:val="16"/>
                <w:b w:val="1"/>
                <w:bCs w:val="1"/>
                <w:color w:val="auto"/>
              </w:rPr>
              <w:t>Portfolio quality and Delinquency ratios</w:t>
            </w:r>
          </w:p>
        </w:tc>
        <w:tc>
          <w:tcPr>
            <w:tcW w:w="1300" w:type="dxa"/>
            <w:vAlign w:val="bottom"/>
          </w:tcPr>
          <w:p>
            <w:pPr>
              <w:jc w:val="right"/>
              <w:ind w:right="438"/>
              <w:spacing w:after="0"/>
              <w:rPr>
                <w:sz w:val="20"/>
                <w:szCs w:val="20"/>
                <w:color w:val="auto"/>
              </w:rPr>
            </w:pPr>
            <w:r>
              <w:rPr>
                <w:rFonts w:ascii="Arial" w:cs="Arial" w:eastAsia="Arial" w:hAnsi="Arial"/>
                <w:sz w:val="16"/>
                <w:szCs w:val="16"/>
                <w:b w:val="1"/>
                <w:bCs w:val="1"/>
                <w:color w:val="auto"/>
              </w:rPr>
              <w:t>31, 2019</w:t>
            </w:r>
          </w:p>
        </w:tc>
        <w:tc>
          <w:tcPr>
            <w:tcW w:w="1300" w:type="dxa"/>
            <w:vAlign w:val="bottom"/>
          </w:tcPr>
          <w:p>
            <w:pPr>
              <w:jc w:val="center"/>
              <w:ind w:right="238"/>
              <w:spacing w:after="0"/>
              <w:rPr>
                <w:sz w:val="20"/>
                <w:szCs w:val="20"/>
                <w:color w:val="auto"/>
              </w:rPr>
            </w:pPr>
            <w:r>
              <w:rPr>
                <w:rFonts w:ascii="Arial" w:cs="Arial" w:eastAsia="Arial" w:hAnsi="Arial"/>
                <w:sz w:val="16"/>
                <w:szCs w:val="16"/>
                <w:b w:val="1"/>
                <w:bCs w:val="1"/>
                <w:color w:val="auto"/>
                <w:w w:val="93"/>
              </w:rPr>
              <w:t>31, 2019</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31, 2020</w:t>
            </w:r>
          </w:p>
        </w:tc>
        <w:tc>
          <w:tcPr>
            <w:tcW w:w="280" w:type="dxa"/>
            <w:vAlign w:val="bottom"/>
          </w:tcPr>
          <w:p>
            <w:pPr>
              <w:spacing w:after="0"/>
              <w:rPr>
                <w:sz w:val="18"/>
                <w:szCs w:val="18"/>
                <w:color w:val="auto"/>
              </w:rPr>
            </w:pPr>
          </w:p>
        </w:tc>
        <w:tc>
          <w:tcPr>
            <w:tcW w:w="1240" w:type="dxa"/>
            <w:vAlign w:val="bottom"/>
          </w:tcPr>
          <w:p>
            <w:pPr>
              <w:jc w:val="right"/>
              <w:ind w:right="378"/>
              <w:spacing w:after="0"/>
              <w:rPr>
                <w:sz w:val="20"/>
                <w:szCs w:val="20"/>
                <w:color w:val="auto"/>
              </w:rPr>
            </w:pPr>
            <w:r>
              <w:rPr>
                <w:rFonts w:ascii="Arial" w:cs="Arial" w:eastAsia="Arial" w:hAnsi="Arial"/>
                <w:sz w:val="16"/>
                <w:szCs w:val="16"/>
                <w:b w:val="1"/>
                <w:bCs w:val="1"/>
                <w:color w:val="auto"/>
              </w:rPr>
              <w:t>31, 2019</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5"/>
              </w:rPr>
              <w:t>31, 2020 / 2019</w:t>
            </w:r>
          </w:p>
        </w:tc>
        <w:tc>
          <w:tcPr>
            <w:tcW w:w="0" w:type="dxa"/>
            <w:vAlign w:val="bottom"/>
          </w:tcPr>
          <w:p>
            <w:pPr>
              <w:spacing w:after="0"/>
              <w:rPr>
                <w:sz w:val="1"/>
                <w:szCs w:val="1"/>
                <w:color w:val="auto"/>
              </w:rPr>
            </w:pPr>
          </w:p>
        </w:tc>
      </w:tr>
      <w:tr>
        <w:trPr>
          <w:trHeight w:val="189"/>
        </w:trPr>
        <w:tc>
          <w:tcPr>
            <w:tcW w:w="4880" w:type="dxa"/>
            <w:vAlign w:val="bottom"/>
            <w:vMerge w:val="continue"/>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3800" w:type="dxa"/>
            <w:vAlign w:val="bottom"/>
            <w:tcBorders>
              <w:top w:val="single" w:sz="8" w:color="auto"/>
            </w:tcBorders>
            <w:gridSpan w:val="4"/>
          </w:tcPr>
          <w:p>
            <w:pPr>
              <w:jc w:val="center"/>
              <w:ind w:right="138"/>
              <w:spacing w:after="0"/>
              <w:rPr>
                <w:sz w:val="20"/>
                <w:szCs w:val="20"/>
                <w:color w:val="auto"/>
              </w:rPr>
            </w:pPr>
            <w:r>
              <w:rPr>
                <w:rFonts w:ascii="Arial" w:cs="Arial" w:eastAsia="Arial" w:hAnsi="Arial"/>
                <w:sz w:val="16"/>
                <w:szCs w:val="16"/>
                <w:b w:val="1"/>
                <w:bCs w:val="1"/>
                <w:color w:val="auto"/>
                <w:w w:val="88"/>
              </w:rPr>
              <w:t>(Soles in thousands, except percentages)</w:t>
            </w:r>
          </w:p>
        </w:tc>
        <w:tc>
          <w:tcPr>
            <w:tcW w:w="10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loans (Quarter(end balance)</w:t>
            </w:r>
          </w:p>
        </w:tc>
        <w:tc>
          <w:tcPr>
            <w:tcW w:w="130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108,350,384</w:t>
            </w:r>
          </w:p>
        </w:tc>
        <w:tc>
          <w:tcPr>
            <w:tcW w:w="130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115,609,679</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120,708,515</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4.4%</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97"/>
        </w:trPr>
        <w:tc>
          <w:tcPr>
            <w:tcW w:w="4880" w:type="dxa"/>
            <w:vAlign w:val="bottom"/>
          </w:tcPr>
          <w:p>
            <w:pPr>
              <w:spacing w:after="0"/>
              <w:rPr>
                <w:sz w:val="20"/>
                <w:szCs w:val="20"/>
                <w:color w:val="auto"/>
              </w:rPr>
            </w:pPr>
            <w:r>
              <w:rPr>
                <w:rFonts w:ascii="Arial" w:cs="Arial" w:eastAsia="Arial" w:hAnsi="Arial"/>
                <w:sz w:val="16"/>
                <w:szCs w:val="16"/>
                <w:color w:val="auto"/>
              </w:rPr>
              <w:t>Allowance for loan losses</w:t>
            </w:r>
          </w:p>
        </w:tc>
        <w:tc>
          <w:tcPr>
            <w:tcW w:w="1300" w:type="dxa"/>
            <w:vAlign w:val="bottom"/>
          </w:tcPr>
          <w:p>
            <w:pPr>
              <w:jc w:val="right"/>
              <w:ind w:right="218"/>
              <w:spacing w:after="0"/>
              <w:rPr>
                <w:sz w:val="20"/>
                <w:szCs w:val="20"/>
                <w:color w:val="auto"/>
              </w:rPr>
            </w:pPr>
            <w:r>
              <w:rPr>
                <w:rFonts w:ascii="Arial" w:cs="Arial" w:eastAsia="Arial" w:hAnsi="Arial"/>
                <w:sz w:val="16"/>
                <w:szCs w:val="16"/>
                <w:color w:val="auto"/>
              </w:rPr>
              <w:t>4,862,801</w:t>
            </w:r>
          </w:p>
        </w:tc>
        <w:tc>
          <w:tcPr>
            <w:tcW w:w="1300" w:type="dxa"/>
            <w:vAlign w:val="bottom"/>
          </w:tcPr>
          <w:p>
            <w:pPr>
              <w:jc w:val="right"/>
              <w:ind w:right="218"/>
              <w:spacing w:after="0"/>
              <w:rPr>
                <w:sz w:val="20"/>
                <w:szCs w:val="20"/>
                <w:color w:val="auto"/>
              </w:rPr>
            </w:pPr>
            <w:r>
              <w:rPr>
                <w:rFonts w:ascii="Arial" w:cs="Arial" w:eastAsia="Arial" w:hAnsi="Arial"/>
                <w:sz w:val="16"/>
                <w:szCs w:val="16"/>
                <w:color w:val="auto"/>
              </w:rPr>
              <w:t>5,123,962</w:t>
            </w:r>
          </w:p>
        </w:tc>
        <w:tc>
          <w:tcPr>
            <w:tcW w:w="980" w:type="dxa"/>
            <w:vAlign w:val="bottom"/>
          </w:tcPr>
          <w:p>
            <w:pPr>
              <w:jc w:val="right"/>
              <w:spacing w:after="0"/>
              <w:rPr>
                <w:sz w:val="20"/>
                <w:szCs w:val="20"/>
                <w:color w:val="auto"/>
              </w:rPr>
            </w:pPr>
            <w:r>
              <w:rPr>
                <w:rFonts w:ascii="Arial" w:cs="Arial" w:eastAsia="Arial" w:hAnsi="Arial"/>
                <w:sz w:val="16"/>
                <w:szCs w:val="16"/>
                <w:color w:val="auto"/>
              </w:rPr>
              <w:t>5,931,772</w:t>
            </w:r>
          </w:p>
        </w:tc>
        <w:tc>
          <w:tcPr>
            <w:tcW w:w="280" w:type="dxa"/>
            <w:vAlign w:val="bottom"/>
          </w:tcPr>
          <w:p>
            <w:pPr>
              <w:spacing w:after="0"/>
              <w:rPr>
                <w:sz w:val="17"/>
                <w:szCs w:val="17"/>
                <w:color w:val="auto"/>
              </w:rPr>
            </w:pPr>
          </w:p>
        </w:tc>
        <w:tc>
          <w:tcPr>
            <w:tcW w:w="1240" w:type="dxa"/>
            <w:vAlign w:val="bottom"/>
          </w:tcPr>
          <w:p>
            <w:pPr>
              <w:jc w:val="right"/>
              <w:ind w:right="38"/>
              <w:spacing w:after="0"/>
              <w:rPr>
                <w:sz w:val="20"/>
                <w:szCs w:val="20"/>
                <w:color w:val="auto"/>
              </w:rPr>
            </w:pPr>
            <w:r>
              <w:rPr>
                <w:rFonts w:ascii="Arial" w:cs="Arial" w:eastAsia="Arial" w:hAnsi="Arial"/>
                <w:sz w:val="16"/>
                <w:szCs w:val="16"/>
                <w:color w:val="auto"/>
              </w:rPr>
              <w:t>17.0%</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197"/>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Write-offs</w:t>
            </w:r>
          </w:p>
        </w:tc>
        <w:tc>
          <w:tcPr>
            <w:tcW w:w="130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433,231</w:t>
            </w:r>
          </w:p>
        </w:tc>
        <w:tc>
          <w:tcPr>
            <w:tcW w:w="130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509,571</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519,866</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97"/>
        </w:trPr>
        <w:tc>
          <w:tcPr>
            <w:tcW w:w="4880" w:type="dxa"/>
            <w:vAlign w:val="bottom"/>
          </w:tcPr>
          <w:p>
            <w:pPr>
              <w:spacing w:after="0"/>
              <w:rPr>
                <w:sz w:val="20"/>
                <w:szCs w:val="20"/>
                <w:color w:val="auto"/>
              </w:rPr>
            </w:pPr>
            <w:r>
              <w:rPr>
                <w:rFonts w:ascii="Arial" w:cs="Arial" w:eastAsia="Arial" w:hAnsi="Arial"/>
                <w:sz w:val="16"/>
                <w:szCs w:val="16"/>
                <w:color w:val="auto"/>
              </w:rPr>
              <w:t>Internal overdue loans (IOLs)(1)</w:t>
            </w:r>
          </w:p>
        </w:tc>
        <w:tc>
          <w:tcPr>
            <w:tcW w:w="1300" w:type="dxa"/>
            <w:vAlign w:val="bottom"/>
          </w:tcPr>
          <w:p>
            <w:pPr>
              <w:jc w:val="right"/>
              <w:ind w:right="218"/>
              <w:spacing w:after="0"/>
              <w:rPr>
                <w:sz w:val="20"/>
                <w:szCs w:val="20"/>
                <w:color w:val="auto"/>
              </w:rPr>
            </w:pPr>
            <w:r>
              <w:rPr>
                <w:rFonts w:ascii="Arial" w:cs="Arial" w:eastAsia="Arial" w:hAnsi="Arial"/>
                <w:sz w:val="16"/>
                <w:szCs w:val="16"/>
                <w:color w:val="auto"/>
              </w:rPr>
              <w:t>3,153,187</w:t>
            </w:r>
          </w:p>
        </w:tc>
        <w:tc>
          <w:tcPr>
            <w:tcW w:w="1300" w:type="dxa"/>
            <w:vAlign w:val="bottom"/>
          </w:tcPr>
          <w:p>
            <w:pPr>
              <w:jc w:val="right"/>
              <w:ind w:right="218"/>
              <w:spacing w:after="0"/>
              <w:rPr>
                <w:sz w:val="20"/>
                <w:szCs w:val="20"/>
                <w:color w:val="auto"/>
              </w:rPr>
            </w:pPr>
            <w:r>
              <w:rPr>
                <w:rFonts w:ascii="Arial" w:cs="Arial" w:eastAsia="Arial" w:hAnsi="Arial"/>
                <w:sz w:val="16"/>
                <w:szCs w:val="16"/>
                <w:color w:val="auto"/>
              </w:rPr>
              <w:t>3,297,791</w:t>
            </w:r>
          </w:p>
        </w:tc>
        <w:tc>
          <w:tcPr>
            <w:tcW w:w="980" w:type="dxa"/>
            <w:vAlign w:val="bottom"/>
          </w:tcPr>
          <w:p>
            <w:pPr>
              <w:jc w:val="right"/>
              <w:spacing w:after="0"/>
              <w:rPr>
                <w:sz w:val="20"/>
                <w:szCs w:val="20"/>
                <w:color w:val="auto"/>
              </w:rPr>
            </w:pPr>
            <w:r>
              <w:rPr>
                <w:rFonts w:ascii="Arial" w:cs="Arial" w:eastAsia="Arial" w:hAnsi="Arial"/>
                <w:sz w:val="16"/>
                <w:szCs w:val="16"/>
                <w:color w:val="auto"/>
              </w:rPr>
              <w:t>3,579,504</w:t>
            </w:r>
          </w:p>
        </w:tc>
        <w:tc>
          <w:tcPr>
            <w:tcW w:w="280" w:type="dxa"/>
            <w:vAlign w:val="bottom"/>
          </w:tcPr>
          <w:p>
            <w:pPr>
              <w:spacing w:after="0"/>
              <w:rPr>
                <w:sz w:val="17"/>
                <w:szCs w:val="17"/>
                <w:color w:val="auto"/>
              </w:rPr>
            </w:pPr>
          </w:p>
        </w:tc>
        <w:tc>
          <w:tcPr>
            <w:tcW w:w="1240" w:type="dxa"/>
            <w:vAlign w:val="bottom"/>
          </w:tcPr>
          <w:p>
            <w:pPr>
              <w:jc w:val="right"/>
              <w:ind w:right="38"/>
              <w:spacing w:after="0"/>
              <w:rPr>
                <w:sz w:val="20"/>
                <w:szCs w:val="20"/>
                <w:color w:val="auto"/>
              </w:rPr>
            </w:pPr>
            <w:r>
              <w:rPr>
                <w:rFonts w:ascii="Arial" w:cs="Arial" w:eastAsia="Arial" w:hAnsi="Arial"/>
                <w:sz w:val="16"/>
                <w:szCs w:val="16"/>
                <w:color w:val="auto"/>
              </w:rPr>
              <w:t>8.5%</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97"/>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Internal overdue loans over 90-days(1)</w:t>
            </w:r>
          </w:p>
        </w:tc>
        <w:tc>
          <w:tcPr>
            <w:tcW w:w="130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2,263,777</w:t>
            </w:r>
          </w:p>
        </w:tc>
        <w:tc>
          <w:tcPr>
            <w:tcW w:w="130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2,479,940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2,239,789</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7"/>
        </w:trPr>
        <w:tc>
          <w:tcPr>
            <w:tcW w:w="4880" w:type="dxa"/>
            <w:vAlign w:val="bottom"/>
          </w:tcPr>
          <w:p>
            <w:pPr>
              <w:spacing w:after="0"/>
              <w:rPr>
                <w:sz w:val="20"/>
                <w:szCs w:val="20"/>
                <w:color w:val="auto"/>
              </w:rPr>
            </w:pPr>
            <w:r>
              <w:rPr>
                <w:rFonts w:ascii="Arial" w:cs="Arial" w:eastAsia="Arial" w:hAnsi="Arial"/>
                <w:sz w:val="16"/>
                <w:szCs w:val="16"/>
                <w:color w:val="auto"/>
              </w:rPr>
              <w:t>Refinanced loans</w:t>
            </w:r>
          </w:p>
        </w:tc>
        <w:tc>
          <w:tcPr>
            <w:tcW w:w="1300" w:type="dxa"/>
            <w:vAlign w:val="bottom"/>
          </w:tcPr>
          <w:p>
            <w:pPr>
              <w:jc w:val="right"/>
              <w:ind w:right="218"/>
              <w:spacing w:after="0"/>
              <w:rPr>
                <w:sz w:val="20"/>
                <w:szCs w:val="20"/>
                <w:color w:val="auto"/>
              </w:rPr>
            </w:pPr>
            <w:r>
              <w:rPr>
                <w:rFonts w:ascii="Arial" w:cs="Arial" w:eastAsia="Arial" w:hAnsi="Arial"/>
                <w:sz w:val="16"/>
                <w:szCs w:val="16"/>
                <w:color w:val="auto"/>
              </w:rPr>
              <w:t>1,278,459</w:t>
            </w:r>
          </w:p>
        </w:tc>
        <w:tc>
          <w:tcPr>
            <w:tcW w:w="1300" w:type="dxa"/>
            <w:vAlign w:val="bottom"/>
          </w:tcPr>
          <w:p>
            <w:pPr>
              <w:jc w:val="right"/>
              <w:ind w:right="218"/>
              <w:spacing w:after="0"/>
              <w:rPr>
                <w:sz w:val="20"/>
                <w:szCs w:val="20"/>
                <w:color w:val="auto"/>
              </w:rPr>
            </w:pPr>
            <w:r>
              <w:rPr>
                <w:rFonts w:ascii="Arial" w:cs="Arial" w:eastAsia="Arial" w:hAnsi="Arial"/>
                <w:sz w:val="16"/>
                <w:szCs w:val="16"/>
                <w:color w:val="auto"/>
              </w:rPr>
              <w:t>1,182,798</w:t>
            </w:r>
          </w:p>
        </w:tc>
        <w:tc>
          <w:tcPr>
            <w:tcW w:w="980" w:type="dxa"/>
            <w:vAlign w:val="bottom"/>
          </w:tcPr>
          <w:p>
            <w:pPr>
              <w:jc w:val="right"/>
              <w:spacing w:after="0"/>
              <w:rPr>
                <w:sz w:val="20"/>
                <w:szCs w:val="20"/>
                <w:color w:val="auto"/>
              </w:rPr>
            </w:pPr>
            <w:r>
              <w:rPr>
                <w:rFonts w:ascii="Arial" w:cs="Arial" w:eastAsia="Arial" w:hAnsi="Arial"/>
                <w:sz w:val="16"/>
                <w:szCs w:val="16"/>
                <w:color w:val="auto"/>
              </w:rPr>
              <w:t>1,125,394</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97"/>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Non(performing loans (NPLs)(2)</w:t>
            </w:r>
          </w:p>
        </w:tc>
        <w:tc>
          <w:tcPr>
            <w:tcW w:w="130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4,431,646</w:t>
            </w:r>
          </w:p>
        </w:tc>
        <w:tc>
          <w:tcPr>
            <w:tcW w:w="130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rPr>
              <w:t>4,480,589</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4,704,898</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5.0%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97"/>
        </w:trPr>
        <w:tc>
          <w:tcPr>
            <w:tcW w:w="4880" w:type="dxa"/>
            <w:vAlign w:val="bottom"/>
          </w:tcPr>
          <w:p>
            <w:pPr>
              <w:spacing w:after="0"/>
              <w:rPr>
                <w:sz w:val="20"/>
                <w:szCs w:val="20"/>
                <w:color w:val="auto"/>
              </w:rPr>
            </w:pPr>
            <w:r>
              <w:rPr>
                <w:rFonts w:ascii="Arial" w:cs="Arial" w:eastAsia="Arial" w:hAnsi="Arial"/>
                <w:sz w:val="16"/>
                <w:szCs w:val="16"/>
                <w:b w:val="1"/>
                <w:bCs w:val="1"/>
                <w:color w:val="auto"/>
              </w:rPr>
              <w:t>IOL ratio</w:t>
            </w:r>
          </w:p>
        </w:tc>
        <w:tc>
          <w:tcPr>
            <w:tcW w:w="1300" w:type="dxa"/>
            <w:vAlign w:val="bottom"/>
          </w:tcPr>
          <w:p>
            <w:pPr>
              <w:jc w:val="right"/>
              <w:ind w:right="58"/>
              <w:spacing w:after="0"/>
              <w:rPr>
                <w:sz w:val="20"/>
                <w:szCs w:val="20"/>
                <w:color w:val="auto"/>
              </w:rPr>
            </w:pPr>
            <w:r>
              <w:rPr>
                <w:rFonts w:ascii="Arial" w:cs="Arial" w:eastAsia="Arial" w:hAnsi="Arial"/>
                <w:sz w:val="16"/>
                <w:szCs w:val="16"/>
                <w:b w:val="1"/>
                <w:bCs w:val="1"/>
                <w:color w:val="auto"/>
              </w:rPr>
              <w:t>2.91%</w:t>
            </w:r>
          </w:p>
        </w:tc>
        <w:tc>
          <w:tcPr>
            <w:tcW w:w="1300" w:type="dxa"/>
            <w:vAlign w:val="bottom"/>
          </w:tcPr>
          <w:p>
            <w:pPr>
              <w:jc w:val="right"/>
              <w:ind w:right="58"/>
              <w:spacing w:after="0"/>
              <w:rPr>
                <w:sz w:val="20"/>
                <w:szCs w:val="20"/>
                <w:color w:val="auto"/>
              </w:rPr>
            </w:pPr>
            <w:r>
              <w:rPr>
                <w:rFonts w:ascii="Arial" w:cs="Arial" w:eastAsia="Arial" w:hAnsi="Arial"/>
                <w:sz w:val="16"/>
                <w:szCs w:val="16"/>
                <w:b w:val="1"/>
                <w:bCs w:val="1"/>
                <w:color w:val="auto"/>
              </w:rPr>
              <w:t>2.85%</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2.97%</w:t>
            </w:r>
          </w:p>
        </w:tc>
        <w:tc>
          <w:tcPr>
            <w:tcW w:w="1240" w:type="dxa"/>
            <w:vAlign w:val="bottom"/>
          </w:tcPr>
          <w:p>
            <w:pPr>
              <w:jc w:val="right"/>
              <w:ind w:right="178"/>
              <w:spacing w:after="0"/>
              <w:rPr>
                <w:sz w:val="20"/>
                <w:szCs w:val="20"/>
                <w:color w:val="auto"/>
              </w:rPr>
            </w:pPr>
            <w:r>
              <w:rPr>
                <w:rFonts w:ascii="Arial" w:cs="Arial" w:eastAsia="Arial" w:hAnsi="Arial"/>
                <w:sz w:val="16"/>
                <w:szCs w:val="16"/>
                <w:b w:val="1"/>
                <w:bCs w:val="1"/>
                <w:color w:val="auto"/>
              </w:rPr>
              <w:t>12 bps</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6 bps</w:t>
            </w:r>
          </w:p>
        </w:tc>
        <w:tc>
          <w:tcPr>
            <w:tcW w:w="0" w:type="dxa"/>
            <w:vAlign w:val="bottom"/>
          </w:tcPr>
          <w:p>
            <w:pPr>
              <w:spacing w:after="0"/>
              <w:rPr>
                <w:sz w:val="1"/>
                <w:szCs w:val="1"/>
                <w:color w:val="auto"/>
              </w:rPr>
            </w:pPr>
          </w:p>
        </w:tc>
      </w:tr>
      <w:tr>
        <w:trPr>
          <w:trHeight w:val="197"/>
        </w:trPr>
        <w:tc>
          <w:tcPr>
            <w:tcW w:w="4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IOL over 90(days ratio(3)</w:t>
            </w: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2.09%</w:t>
            </w:r>
          </w:p>
        </w:tc>
        <w:tc>
          <w:tcPr>
            <w:tcW w:w="1300" w:type="dxa"/>
            <w:vAlign w:val="bottom"/>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2.15%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1.86%</w:t>
            </w:r>
          </w:p>
        </w:tc>
        <w:tc>
          <w:tcPr>
            <w:tcW w:w="1240" w:type="dxa"/>
            <w:vAlign w:val="bottom"/>
            <w:shd w:val="clear" w:color="auto" w:fill="CCEEFF"/>
          </w:tcPr>
          <w:p>
            <w:pPr>
              <w:jc w:val="right"/>
              <w:ind w:right="178"/>
              <w:spacing w:after="0"/>
              <w:rPr>
                <w:sz w:val="20"/>
                <w:szCs w:val="20"/>
                <w:color w:val="auto"/>
              </w:rPr>
            </w:pPr>
            <w:r>
              <w:rPr>
                <w:rFonts w:ascii="Arial" w:cs="Arial" w:eastAsia="Arial" w:hAnsi="Arial"/>
                <w:sz w:val="16"/>
                <w:szCs w:val="16"/>
                <w:b w:val="1"/>
                <w:bCs w:val="1"/>
                <w:color w:val="auto"/>
              </w:rPr>
              <w:t>(29) bps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(23) bps</w:t>
            </w:r>
          </w:p>
        </w:tc>
        <w:tc>
          <w:tcPr>
            <w:tcW w:w="0" w:type="dxa"/>
            <w:vAlign w:val="bottom"/>
          </w:tcPr>
          <w:p>
            <w:pPr>
              <w:spacing w:after="0"/>
              <w:rPr>
                <w:sz w:val="1"/>
                <w:szCs w:val="1"/>
                <w:color w:val="auto"/>
              </w:rPr>
            </w:pPr>
          </w:p>
        </w:tc>
      </w:tr>
      <w:tr>
        <w:trPr>
          <w:trHeight w:val="197"/>
        </w:trPr>
        <w:tc>
          <w:tcPr>
            <w:tcW w:w="4880" w:type="dxa"/>
            <w:vAlign w:val="bottom"/>
          </w:tcPr>
          <w:p>
            <w:pPr>
              <w:spacing w:after="0"/>
              <w:rPr>
                <w:sz w:val="20"/>
                <w:szCs w:val="20"/>
                <w:color w:val="auto"/>
              </w:rPr>
            </w:pPr>
            <w:r>
              <w:rPr>
                <w:rFonts w:ascii="Arial" w:cs="Arial" w:eastAsia="Arial" w:hAnsi="Arial"/>
                <w:sz w:val="16"/>
                <w:szCs w:val="16"/>
                <w:b w:val="1"/>
                <w:bCs w:val="1"/>
                <w:color w:val="auto"/>
              </w:rPr>
              <w:t>NPL ratio</w:t>
            </w:r>
          </w:p>
        </w:tc>
        <w:tc>
          <w:tcPr>
            <w:tcW w:w="1300" w:type="dxa"/>
            <w:vAlign w:val="bottom"/>
          </w:tcPr>
          <w:p>
            <w:pPr>
              <w:jc w:val="right"/>
              <w:ind w:right="58"/>
              <w:spacing w:after="0"/>
              <w:rPr>
                <w:sz w:val="20"/>
                <w:szCs w:val="20"/>
                <w:color w:val="auto"/>
              </w:rPr>
            </w:pPr>
            <w:r>
              <w:rPr>
                <w:rFonts w:ascii="Arial" w:cs="Arial" w:eastAsia="Arial" w:hAnsi="Arial"/>
                <w:sz w:val="16"/>
                <w:szCs w:val="16"/>
                <w:b w:val="1"/>
                <w:bCs w:val="1"/>
                <w:color w:val="auto"/>
              </w:rPr>
              <w:t>4.09%</w:t>
            </w:r>
          </w:p>
        </w:tc>
        <w:tc>
          <w:tcPr>
            <w:tcW w:w="1300" w:type="dxa"/>
            <w:vAlign w:val="bottom"/>
          </w:tcPr>
          <w:p>
            <w:pPr>
              <w:jc w:val="right"/>
              <w:ind w:right="58"/>
              <w:spacing w:after="0"/>
              <w:rPr>
                <w:sz w:val="20"/>
                <w:szCs w:val="20"/>
                <w:color w:val="auto"/>
              </w:rPr>
            </w:pPr>
            <w:r>
              <w:rPr>
                <w:rFonts w:ascii="Arial" w:cs="Arial" w:eastAsia="Arial" w:hAnsi="Arial"/>
                <w:sz w:val="16"/>
                <w:szCs w:val="16"/>
                <w:b w:val="1"/>
                <w:bCs w:val="1"/>
                <w:color w:val="auto"/>
              </w:rPr>
              <w:t>3.88%</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3.90%</w:t>
            </w:r>
          </w:p>
        </w:tc>
        <w:tc>
          <w:tcPr>
            <w:tcW w:w="1240" w:type="dxa"/>
            <w:vAlign w:val="bottom"/>
          </w:tcPr>
          <w:p>
            <w:pPr>
              <w:jc w:val="right"/>
              <w:ind w:right="178"/>
              <w:spacing w:after="0"/>
              <w:rPr>
                <w:sz w:val="20"/>
                <w:szCs w:val="20"/>
                <w:color w:val="auto"/>
              </w:rPr>
            </w:pPr>
            <w:r>
              <w:rPr>
                <w:rFonts w:ascii="Arial" w:cs="Arial" w:eastAsia="Arial" w:hAnsi="Arial"/>
                <w:sz w:val="16"/>
                <w:szCs w:val="16"/>
                <w:b w:val="1"/>
                <w:bCs w:val="1"/>
                <w:color w:val="auto"/>
              </w:rPr>
              <w:t>2 bps</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(19) bps</w:t>
            </w:r>
          </w:p>
        </w:tc>
        <w:tc>
          <w:tcPr>
            <w:tcW w:w="0" w:type="dxa"/>
            <w:vAlign w:val="bottom"/>
          </w:tcPr>
          <w:p>
            <w:pPr>
              <w:spacing w:after="0"/>
              <w:rPr>
                <w:sz w:val="1"/>
                <w:szCs w:val="1"/>
                <w:color w:val="auto"/>
              </w:rPr>
            </w:pPr>
          </w:p>
        </w:tc>
      </w:tr>
      <w:tr>
        <w:trPr>
          <w:trHeight w:val="197"/>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Coverage ratio of IOLs</w:t>
            </w: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154.2%</w:t>
            </w:r>
          </w:p>
        </w:tc>
        <w:tc>
          <w:tcPr>
            <w:tcW w:w="13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155.4%</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165.7%</w:t>
            </w:r>
          </w:p>
        </w:tc>
        <w:tc>
          <w:tcPr>
            <w:tcW w:w="124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1,034 bps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1,150 bps</w:t>
            </w:r>
          </w:p>
        </w:tc>
        <w:tc>
          <w:tcPr>
            <w:tcW w:w="0" w:type="dxa"/>
            <w:vAlign w:val="bottom"/>
          </w:tcPr>
          <w:p>
            <w:pPr>
              <w:spacing w:after="0"/>
              <w:rPr>
                <w:sz w:val="1"/>
                <w:szCs w:val="1"/>
                <w:color w:val="auto"/>
              </w:rPr>
            </w:pPr>
          </w:p>
        </w:tc>
      </w:tr>
      <w:tr>
        <w:trPr>
          <w:trHeight w:val="197"/>
        </w:trPr>
        <w:tc>
          <w:tcPr>
            <w:tcW w:w="4880" w:type="dxa"/>
            <w:vAlign w:val="bottom"/>
          </w:tcPr>
          <w:p>
            <w:pPr>
              <w:spacing w:after="0"/>
              <w:rPr>
                <w:sz w:val="20"/>
                <w:szCs w:val="20"/>
                <w:color w:val="auto"/>
              </w:rPr>
            </w:pPr>
            <w:r>
              <w:rPr>
                <w:rFonts w:ascii="Arial" w:cs="Arial" w:eastAsia="Arial" w:hAnsi="Arial"/>
                <w:sz w:val="16"/>
                <w:szCs w:val="16"/>
                <w:color w:val="auto"/>
              </w:rPr>
              <w:t>Coverage ratio of IOL 90-days</w:t>
            </w: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214.8%</w:t>
            </w:r>
          </w:p>
        </w:tc>
        <w:tc>
          <w:tcPr>
            <w:tcW w:w="1300" w:type="dxa"/>
            <w:vAlign w:val="bottom"/>
          </w:tcPr>
          <w:p>
            <w:pPr>
              <w:jc w:val="right"/>
              <w:ind w:right="98"/>
              <w:spacing w:after="0"/>
              <w:rPr>
                <w:sz w:val="20"/>
                <w:szCs w:val="20"/>
                <w:color w:val="auto"/>
              </w:rPr>
            </w:pPr>
            <w:r>
              <w:rPr>
                <w:rFonts w:ascii="Arial" w:cs="Arial" w:eastAsia="Arial" w:hAnsi="Arial"/>
                <w:sz w:val="16"/>
                <w:szCs w:val="16"/>
                <w:color w:val="auto"/>
              </w:rPr>
              <w:t>204.5%</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264.8%</w:t>
            </w:r>
          </w:p>
        </w:tc>
        <w:tc>
          <w:tcPr>
            <w:tcW w:w="1240" w:type="dxa"/>
            <w:vAlign w:val="bottom"/>
          </w:tcPr>
          <w:p>
            <w:pPr>
              <w:jc w:val="right"/>
              <w:ind w:right="178"/>
              <w:spacing w:after="0"/>
              <w:rPr>
                <w:sz w:val="20"/>
                <w:szCs w:val="20"/>
                <w:color w:val="auto"/>
              </w:rPr>
            </w:pPr>
            <w:r>
              <w:rPr>
                <w:rFonts w:ascii="Arial" w:cs="Arial" w:eastAsia="Arial" w:hAnsi="Arial"/>
                <w:sz w:val="16"/>
                <w:szCs w:val="16"/>
                <w:color w:val="auto"/>
              </w:rPr>
              <w:t>6,030 bps</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5,000 bps</w:t>
            </w:r>
          </w:p>
        </w:tc>
        <w:tc>
          <w:tcPr>
            <w:tcW w:w="0" w:type="dxa"/>
            <w:vAlign w:val="bottom"/>
          </w:tcPr>
          <w:p>
            <w:pPr>
              <w:spacing w:after="0"/>
              <w:rPr>
                <w:sz w:val="1"/>
                <w:szCs w:val="1"/>
                <w:color w:val="auto"/>
              </w:rPr>
            </w:pPr>
          </w:p>
        </w:tc>
      </w:tr>
      <w:tr>
        <w:trPr>
          <w:trHeight w:val="197"/>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Coverage ratio of NPLs</w:t>
            </w: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109.7%</w:t>
            </w:r>
          </w:p>
        </w:tc>
        <w:tc>
          <w:tcPr>
            <w:tcW w:w="130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114.4%</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126.1%</w:t>
            </w:r>
          </w:p>
        </w:tc>
        <w:tc>
          <w:tcPr>
            <w:tcW w:w="124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1,170 bps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1,640 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178625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99" w:lineRule="exact"/>
        <w:rPr>
          <w:sz w:val="20"/>
          <w:szCs w:val="20"/>
          <w:color w:val="auto"/>
        </w:rPr>
      </w:pPr>
    </w:p>
    <w:p>
      <w:pPr>
        <w:ind w:left="302" w:hanging="302"/>
        <w:spacing w:after="0"/>
        <w:tabs>
          <w:tab w:leader="none" w:pos="302"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Includes overdue loans and loans under legal collection (quarter-end balances).</w:t>
      </w:r>
    </w:p>
    <w:p>
      <w:pPr>
        <w:spacing w:after="0" w:line="209" w:lineRule="exact"/>
        <w:rPr>
          <w:rFonts w:ascii="Arial" w:cs="Arial" w:eastAsia="Arial" w:hAnsi="Arial"/>
          <w:sz w:val="16"/>
          <w:szCs w:val="16"/>
          <w:color w:val="auto"/>
        </w:rPr>
      </w:pPr>
    </w:p>
    <w:p>
      <w:pPr>
        <w:ind w:left="302" w:right="4520" w:hanging="302"/>
        <w:spacing w:after="0" w:line="512" w:lineRule="auto"/>
        <w:tabs>
          <w:tab w:leader="none" w:pos="302" w:val="left"/>
        </w:tabs>
        <w:numPr>
          <w:ilvl w:val="0"/>
          <w:numId w:val="175"/>
        </w:numPr>
        <w:rPr>
          <w:rFonts w:ascii="Arial" w:cs="Arial" w:eastAsia="Arial" w:hAnsi="Arial"/>
          <w:sz w:val="16"/>
          <w:szCs w:val="16"/>
          <w:color w:val="auto"/>
        </w:rPr>
      </w:pPr>
      <w:r>
        <w:rPr>
          <w:rFonts w:ascii="Arial" w:cs="Arial" w:eastAsia="Arial" w:hAnsi="Arial"/>
          <w:sz w:val="16"/>
          <w:szCs w:val="16"/>
          <w:color w:val="auto"/>
        </w:rPr>
        <w:t>Non-performing loans include internal overdue loans and refinanced loans (quarter-end balances). In terms of portfolio delinquency, it is important to note:</w:t>
      </w:r>
    </w:p>
    <w:p>
      <w:pPr>
        <w:spacing w:after="0" w:line="1" w:lineRule="exact"/>
        <w:rPr>
          <w:rFonts w:ascii="Arial" w:cs="Arial" w:eastAsia="Arial" w:hAnsi="Arial"/>
          <w:sz w:val="16"/>
          <w:szCs w:val="16"/>
          <w:color w:val="auto"/>
        </w:rPr>
      </w:pPr>
    </w:p>
    <w:p>
      <w:pPr>
        <w:ind w:left="722" w:right="180" w:hanging="366"/>
        <w:spacing w:after="0" w:line="287" w:lineRule="auto"/>
        <w:tabs>
          <w:tab w:leader="none" w:pos="722"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The delinquency level of our loan portfolio was not impacted by the economic consequences of the COVID-19 pandemic as of March 31, 2019, primarily due to Credicorp’s quick action to offer clients debt repayment plans or a freeze on debt payments.</w:t>
      </w:r>
    </w:p>
    <w:p>
      <w:pPr>
        <w:spacing w:after="0" w:line="149" w:lineRule="exact"/>
        <w:rPr>
          <w:rFonts w:ascii="Arial" w:cs="Arial" w:eastAsia="Arial" w:hAnsi="Arial"/>
          <w:sz w:val="16"/>
          <w:szCs w:val="16"/>
          <w:color w:val="auto"/>
        </w:rPr>
      </w:pPr>
    </w:p>
    <w:p>
      <w:pPr>
        <w:ind w:left="722" w:right="80" w:hanging="366"/>
        <w:spacing w:after="0" w:line="289" w:lineRule="auto"/>
        <w:tabs>
          <w:tab w:leader="none" w:pos="722" w:val="left"/>
        </w:tabs>
        <w:numPr>
          <w:ilvl w:val="1"/>
          <w:numId w:val="175"/>
        </w:numPr>
        <w:rPr>
          <w:rFonts w:ascii="Arial" w:cs="Arial" w:eastAsia="Arial" w:hAnsi="Arial"/>
          <w:sz w:val="15"/>
          <w:szCs w:val="15"/>
          <w:color w:val="auto"/>
        </w:rPr>
      </w:pPr>
      <w:r>
        <w:rPr>
          <w:rFonts w:ascii="Arial" w:cs="Arial" w:eastAsia="Arial" w:hAnsi="Arial"/>
          <w:sz w:val="15"/>
          <w:szCs w:val="15"/>
          <w:color w:val="auto"/>
        </w:rPr>
        <w:t>The total internal overdue loans (“IOL”) portfolio increased 8.5% when comparing March 31, 2020 to December 31, 2019 and 13.5% when comparing March 31, 2020 to March 31, 2019, mainly in the retail banking business, in particular in the SME-business segment after a small number of clients experienced a deterioration in their debt service capacity. These loans have been correctly provisioned but cannot be written off given that they have guarantees. Additionally, the SME-PYME segment registered an increase in IOLs, which was primarily attributable to a deterioration in revolving loans during the quarter.</w:t>
      </w:r>
    </w:p>
    <w:p>
      <w:pPr>
        <w:spacing w:after="0" w:line="151" w:lineRule="exact"/>
        <w:rPr>
          <w:rFonts w:ascii="Arial" w:cs="Arial" w:eastAsia="Arial" w:hAnsi="Arial"/>
          <w:sz w:val="15"/>
          <w:szCs w:val="15"/>
          <w:color w:val="auto"/>
        </w:rPr>
      </w:pPr>
    </w:p>
    <w:p>
      <w:pPr>
        <w:ind w:left="722" w:right="40" w:hanging="366"/>
        <w:spacing w:after="0" w:line="262" w:lineRule="auto"/>
        <w:tabs>
          <w:tab w:leader="none" w:pos="722"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The NPL portfolio increased 5.0% when comparing March 31, 2020 to December 31, 2019 and 6.2% when comparing March 31, 2020 to March 31, 2019. This increase was lower than the increase recorded in the IOL portfolio due to a 4.9% decrease when comparing March 31, 2020 to December 31, 2019 and 12.0% when comparing March 31, 2020 to March 31, 2019, in the refinanced portfolio. When comparing March 31, 2020 to December 31, 2019, the reduction was mainly attributable to the retail banking segment. When comparing March 31, 2020 to March 31, 2019, the result was driven by amortizations of refinanced loans for the construction sector in wholesale banking during the last quarter, which offset the increase in NPL loans in the SME-Pyme and credit card segments.</w:t>
      </w:r>
    </w:p>
    <w:p>
      <w:pPr>
        <w:spacing w:after="0" w:line="36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24" w:right="339" w:bottom="1440" w:gutter="0" w:footer="0" w:header="0"/>
        </w:sectPr>
      </w:pPr>
    </w:p>
    <w:bookmarkStart w:id="171" w:name="page172"/>
    <w:bookmarkEnd w:id="171"/>
    <w:p>
      <w:pPr>
        <w:ind w:left="2" w:right="60" w:firstLine="295"/>
        <w:spacing w:after="0" w:line="322" w:lineRule="auto"/>
        <w:rPr>
          <w:sz w:val="20"/>
          <w:szCs w:val="20"/>
          <w:color w:val="auto"/>
        </w:rPr>
      </w:pPr>
      <w:r>
        <w:rPr>
          <w:rFonts w:ascii="Arial" w:cs="Arial" w:eastAsia="Arial" w:hAnsi="Arial"/>
          <w:sz w:val="15"/>
          <w:szCs w:val="15"/>
          <w:color w:val="auto"/>
        </w:rPr>
        <w:t>Due to the factors described above, our delinquency ratios deteriorated when comparing March 31, 2020 to December 31, 2019. When comparing March 31, 2020 to March 31, 2019, however, the NPL ratio improved by 19 basis points after loans increased 11.4%, offsetting the increase registered in the IOL portfolio.</w:t>
      </w:r>
    </w:p>
    <w:p>
      <w:pPr>
        <w:spacing w:after="0" w:line="127" w:lineRule="exact"/>
        <w:rPr>
          <w:sz w:val="20"/>
          <w:szCs w:val="20"/>
          <w:color w:val="auto"/>
        </w:rPr>
      </w:pPr>
    </w:p>
    <w:p>
      <w:pPr>
        <w:ind w:left="2" w:right="420" w:firstLine="295"/>
        <w:spacing w:after="0" w:line="287" w:lineRule="auto"/>
        <w:rPr>
          <w:sz w:val="20"/>
          <w:szCs w:val="20"/>
          <w:color w:val="auto"/>
        </w:rPr>
      </w:pPr>
      <w:r>
        <w:rPr>
          <w:rFonts w:ascii="Arial" w:cs="Arial" w:eastAsia="Arial" w:hAnsi="Arial"/>
          <w:sz w:val="16"/>
          <w:szCs w:val="16"/>
          <w:color w:val="auto"/>
        </w:rPr>
        <w:t>Our coverage ratios improved when comparing March 31, 2020 to December 31, 2019 and when comparing March 31, 2020 to March 31, 2019, in line with an increase in provisions due to the economic consequences of the COVID-19 pandemic, which offset growth in the IOL and NPL portfolios.</w:t>
      </w:r>
    </w:p>
    <w:p>
      <w:pPr>
        <w:spacing w:after="0" w:line="150" w:lineRule="exact"/>
        <w:rPr>
          <w:sz w:val="20"/>
          <w:szCs w:val="20"/>
          <w:color w:val="auto"/>
        </w:rPr>
      </w:pPr>
    </w:p>
    <w:p>
      <w:pPr>
        <w:ind w:left="302"/>
        <w:spacing w:after="0"/>
        <w:rPr>
          <w:sz w:val="20"/>
          <w:szCs w:val="20"/>
          <w:color w:val="auto"/>
        </w:rPr>
      </w:pPr>
      <w:r>
        <w:rPr>
          <w:rFonts w:ascii="Arial" w:cs="Arial" w:eastAsia="Arial" w:hAnsi="Arial"/>
          <w:sz w:val="16"/>
          <w:szCs w:val="16"/>
          <w:color w:val="auto"/>
        </w:rPr>
        <w:t>Other factors that impact an analysis of our delinquency indicators include that:</w:t>
      </w:r>
    </w:p>
    <w:p>
      <w:pPr>
        <w:spacing w:after="0" w:line="209" w:lineRule="exact"/>
        <w:rPr>
          <w:sz w:val="20"/>
          <w:szCs w:val="20"/>
          <w:color w:val="auto"/>
        </w:rPr>
      </w:pPr>
    </w:p>
    <w:p>
      <w:pPr>
        <w:ind w:left="722" w:right="20" w:hanging="366"/>
        <w:spacing w:after="0" w:line="271" w:lineRule="auto"/>
        <w:tabs>
          <w:tab w:leader="none" w:pos="72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Traditional delinquency ratios (IOL and NPL ratios) continue to be distorted by the presence of loans with real estate collateral (commercial and residential properties). This means that a significant portion of loans that are more than 150 days past due cannot be written-off (despite the fact that provisions have been made) given that a judicial process must be initiated to liquidate the collateral, which takes five years on average.</w:t>
      </w:r>
    </w:p>
    <w:p>
      <w:pPr>
        <w:spacing w:after="0" w:line="162" w:lineRule="exact"/>
        <w:rPr>
          <w:rFonts w:ascii="Arial" w:cs="Arial" w:eastAsia="Arial" w:hAnsi="Arial"/>
          <w:sz w:val="16"/>
          <w:szCs w:val="16"/>
          <w:color w:val="auto"/>
        </w:rPr>
      </w:pPr>
    </w:p>
    <w:p>
      <w:pPr>
        <w:ind w:left="722" w:hanging="366"/>
        <w:spacing w:after="0" w:line="271" w:lineRule="auto"/>
        <w:tabs>
          <w:tab w:leader="none" w:pos="72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In the second half of every year, loans are more dynamic, particularly in the SME-Pyme and Mibanco segments given that the main sales campaigns (Christmas and year-end campaigns) for clients in these segments are held in the second half of the year and these short-term loans are paid off in the first half of the following year.</w:t>
      </w:r>
    </w:p>
    <w:p>
      <w:pPr>
        <w:spacing w:after="0" w:line="159" w:lineRule="exact"/>
        <w:rPr>
          <w:sz w:val="20"/>
          <w:szCs w:val="20"/>
          <w:color w:val="auto"/>
        </w:rPr>
      </w:pPr>
    </w:p>
    <w:p>
      <w:pPr>
        <w:jc w:val="center"/>
        <w:ind w:right="-261"/>
        <w:spacing w:after="0"/>
        <w:rPr>
          <w:sz w:val="20"/>
          <w:szCs w:val="20"/>
          <w:color w:val="auto"/>
        </w:rPr>
      </w:pPr>
      <w:r>
        <w:rPr>
          <w:rFonts w:ascii="Arial" w:cs="Arial" w:eastAsia="Arial" w:hAnsi="Arial"/>
          <w:sz w:val="16"/>
          <w:szCs w:val="16"/>
          <w:b w:val="1"/>
          <w:bCs w:val="1"/>
          <w:color w:val="auto"/>
        </w:rPr>
        <w:t>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958840" cy="19500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58840" cy="1950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02" w:hanging="302"/>
        <w:spacing w:after="0"/>
        <w:tabs>
          <w:tab w:leader="none" w:pos="302"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Adjusted NPL ratio is equal to (Non-performing loans plus Write-offs) / (Total loans plus Write-offs).</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77"/>
        </w:numPr>
        <w:rPr>
          <w:rFonts w:ascii="Arial" w:cs="Arial" w:eastAsia="Arial" w:hAnsi="Arial"/>
          <w:sz w:val="16"/>
          <w:szCs w:val="16"/>
          <w:color w:val="auto"/>
        </w:rPr>
      </w:pPr>
      <w:r>
        <w:rPr>
          <w:rFonts w:ascii="Arial" w:cs="Arial" w:eastAsia="Arial" w:hAnsi="Arial"/>
          <w:sz w:val="16"/>
          <w:szCs w:val="16"/>
          <w:color w:val="auto"/>
        </w:rPr>
        <w:t>Cost of risk is equal to Annualized provisions for loan losses net of recoveries / Total loans.</w:t>
      </w:r>
    </w:p>
    <w:p>
      <w:pPr>
        <w:spacing w:after="0" w:line="200" w:lineRule="exact"/>
        <w:rPr>
          <w:sz w:val="20"/>
          <w:szCs w:val="20"/>
          <w:color w:val="auto"/>
        </w:rPr>
      </w:pPr>
    </w:p>
    <w:p>
      <w:pPr>
        <w:spacing w:after="0" w:line="206" w:lineRule="exact"/>
        <w:rPr>
          <w:sz w:val="20"/>
          <w:szCs w:val="20"/>
          <w:color w:val="auto"/>
        </w:rPr>
      </w:pPr>
    </w:p>
    <w:p>
      <w:pPr>
        <w:jc w:val="center"/>
        <w:ind w:right="-101"/>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142"/>
          </w:cols>
          <w:pgMar w:left="318" w:top="324" w:right="439" w:bottom="1440" w:gutter="0" w:footer="0" w:header="0"/>
        </w:sectPr>
      </w:pPr>
    </w:p>
    <w:bookmarkStart w:id="172" w:name="page173"/>
    <w:bookmarkEnd w:id="172"/>
    <w:p>
      <w:pPr>
        <w:spacing w:after="0"/>
        <w:rPr>
          <w:sz w:val="20"/>
          <w:szCs w:val="20"/>
          <w:color w:val="auto"/>
        </w:rPr>
      </w:pPr>
      <w:r>
        <w:rPr>
          <w:rFonts w:ascii="Arial" w:cs="Arial" w:eastAsia="Arial" w:hAnsi="Arial"/>
          <w:sz w:val="16"/>
          <w:szCs w:val="16"/>
          <w:i w:val="1"/>
          <w:iCs w:val="1"/>
          <w:color w:val="auto"/>
        </w:rPr>
        <w:t>Delinquency Indicators by Business Line</w:t>
      </w:r>
    </w:p>
    <w:p>
      <w:pPr>
        <w:spacing w:after="0" w:line="205"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Wholesale Banking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970280</wp:posOffset>
            </wp:positionH>
            <wp:positionV relativeFrom="paragraph">
              <wp:posOffset>143510</wp:posOffset>
            </wp:positionV>
            <wp:extent cx="4827905" cy="17468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827905" cy="174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20" w:right="100" w:hanging="366"/>
        <w:spacing w:after="0" w:line="266" w:lineRule="auto"/>
        <w:tabs>
          <w:tab w:leader="none" w:pos="4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IOL ratio increased slightly when comparing March 31, 2020 to December 31, 2019 and when comparing March 31, 2020 to March 31, 2019 after certain clients in the middle-market segment experienced a deterioration in their debt service capacity, which was offset in part by loan growth. The NPL ratio registered an improvement when comparing March 31, 2020 to March 31, 2019, in line with the amortization of refinanced loans, primarily in the construction sector, over the three months ended March 31, 2020.</w:t>
      </w:r>
    </w:p>
    <w:p>
      <w:pPr>
        <w:spacing w:after="0" w:line="163"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SME-Business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142875</wp:posOffset>
            </wp:positionV>
            <wp:extent cx="4734560" cy="17392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734560" cy="173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0" w:hanging="366"/>
        <w:spacing w:after="0" w:line="264" w:lineRule="auto"/>
        <w:tabs>
          <w:tab w:leader="none" w:pos="4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IOL and NPL ratios increased when comparing March 31, 2020 to December 31, 2019 and when comparing March 31, 2020 to March 31, 2019, which was primarily due to the deterioration in the debt service capacity of certain clients. All of these loans are fully provisioned but are nonetheless covered by guarantees, which means they cannot be written off and subsequently removed from the IOL portfolio. Notwithstanding increases in the IOL and NPL ratios, this business segment maintains credit quality indicators that are within the risk appetite established by Credicorp. Our objective is to maximize the portfolio’s profitability by striking an adequate balance between risk and growth.</w:t>
      </w:r>
    </w:p>
    <w:p>
      <w:pPr>
        <w:spacing w:after="0" w:line="364"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15875</wp:posOffset>
            </wp:positionV>
            <wp:extent cx="7144385"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920"/>
          </w:cols>
          <w:pgMar w:left="620" w:top="324" w:right="359" w:bottom="1440" w:gutter="0" w:footer="0" w:header="0"/>
        </w:sectPr>
      </w:pPr>
    </w:p>
    <w:bookmarkStart w:id="173" w:name="page174"/>
    <w:bookmarkEnd w:id="173"/>
    <w:p>
      <w:pPr>
        <w:jc w:val="center"/>
        <w:ind w:right="334"/>
        <w:spacing w:after="0"/>
        <w:rPr>
          <w:sz w:val="20"/>
          <w:szCs w:val="20"/>
          <w:color w:val="auto"/>
        </w:rPr>
      </w:pPr>
      <w:r>
        <w:rPr>
          <w:rFonts w:ascii="Arial" w:cs="Arial" w:eastAsia="Arial" w:hAnsi="Arial"/>
          <w:sz w:val="16"/>
          <w:szCs w:val="16"/>
          <w:b w:val="1"/>
          <w:bCs w:val="1"/>
          <w:color w:val="auto"/>
        </w:rPr>
        <w:t>SME - Pyme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142875</wp:posOffset>
            </wp:positionV>
            <wp:extent cx="4726940" cy="17786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726940" cy="177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6" w:right="60" w:hanging="366"/>
        <w:spacing w:after="0" w:line="271" w:lineRule="auto"/>
        <w:tabs>
          <w:tab w:leader="none" w:pos="366"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In the SME-Pyme loan portfolio, the early delinquency ratio is an important metric, as it excludes loans that are overdue less than 60 days (volatile loans whose percentage of recovery is very high) and those overdue more than 150 days (loans that have been provisioned but which cannot be written off due to the existence of real estate collateral, such as commercial properties, that take five years on average to liquidate).</w:t>
      </w:r>
    </w:p>
    <w:p>
      <w:pPr>
        <w:spacing w:after="0" w:line="163" w:lineRule="exact"/>
        <w:rPr>
          <w:sz w:val="20"/>
          <w:szCs w:val="20"/>
          <w:color w:val="auto"/>
        </w:rPr>
      </w:pPr>
    </w:p>
    <w:p>
      <w:pPr>
        <w:ind w:left="386" w:right="140"/>
        <w:spacing w:after="0" w:line="271" w:lineRule="auto"/>
        <w:rPr>
          <w:sz w:val="20"/>
          <w:szCs w:val="20"/>
          <w:color w:val="auto"/>
        </w:rPr>
      </w:pPr>
      <w:r>
        <w:rPr>
          <w:rFonts w:ascii="Arial" w:cs="Arial" w:eastAsia="Arial" w:hAnsi="Arial"/>
          <w:sz w:val="16"/>
          <w:szCs w:val="16"/>
          <w:color w:val="auto"/>
        </w:rPr>
        <w:t>Traditional delinquency ratios increased when comparing March 31, 2020 to December 31, 2019 and March 31, 2020 to March 31, 2019, which was mainly attributable to a decrease in loan balances and, to a lesser extent, to the deterioration seen since 2019 in revolving and long-term loans. Early delinquency also increased, which was primarily due to a deterioration in revolving loans.</w:t>
      </w:r>
    </w:p>
    <w:p>
      <w:pPr>
        <w:spacing w:after="0" w:line="159" w:lineRule="exact"/>
        <w:rPr>
          <w:sz w:val="20"/>
          <w:szCs w:val="20"/>
          <w:color w:val="auto"/>
        </w:rPr>
      </w:pPr>
    </w:p>
    <w:p>
      <w:pPr>
        <w:jc w:val="center"/>
        <w:ind w:right="334"/>
        <w:spacing w:after="0"/>
        <w:rPr>
          <w:sz w:val="20"/>
          <w:szCs w:val="20"/>
          <w:color w:val="auto"/>
        </w:rPr>
      </w:pPr>
      <w:r>
        <w:rPr>
          <w:rFonts w:ascii="Arial" w:cs="Arial" w:eastAsia="Arial" w:hAnsi="Arial"/>
          <w:sz w:val="16"/>
          <w:szCs w:val="16"/>
          <w:b w:val="1"/>
          <w:bCs w:val="1"/>
          <w:color w:val="auto"/>
        </w:rPr>
        <w:t>Mortgage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967105</wp:posOffset>
            </wp:positionH>
            <wp:positionV relativeFrom="paragraph">
              <wp:posOffset>143510</wp:posOffset>
            </wp:positionV>
            <wp:extent cx="4765675" cy="17551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765675" cy="175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66" w:hanging="366"/>
        <w:spacing w:after="0" w:line="287" w:lineRule="auto"/>
        <w:tabs>
          <w:tab w:leader="none" w:pos="36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Delinquency ratios in the mortgage segment are affected by the existence of real estate collateral, which results in a protracted recovery process (around 5 years) and as such, impedes the bank’s capacity to write off loans even if wholly provisioned.</w:t>
      </w:r>
    </w:p>
    <w:p>
      <w:pPr>
        <w:spacing w:after="0" w:line="149" w:lineRule="exact"/>
        <w:rPr>
          <w:rFonts w:ascii="Arial" w:cs="Arial" w:eastAsia="Arial" w:hAnsi="Arial"/>
          <w:sz w:val="16"/>
          <w:szCs w:val="16"/>
          <w:color w:val="auto"/>
        </w:rPr>
      </w:pPr>
    </w:p>
    <w:p>
      <w:pPr>
        <w:ind w:left="386" w:right="100"/>
        <w:spacing w:after="0" w:line="271" w:lineRule="auto"/>
        <w:rPr>
          <w:rFonts w:ascii="Arial" w:cs="Arial" w:eastAsia="Arial" w:hAnsi="Arial"/>
          <w:sz w:val="16"/>
          <w:szCs w:val="16"/>
          <w:color w:val="auto"/>
        </w:rPr>
      </w:pPr>
      <w:r>
        <w:rPr>
          <w:rFonts w:ascii="Arial" w:cs="Arial" w:eastAsia="Arial" w:hAnsi="Arial"/>
          <w:sz w:val="16"/>
          <w:szCs w:val="16"/>
          <w:color w:val="auto"/>
        </w:rPr>
        <w:t>Traditional delinquency ratios increased when comparing March 31, 2020 to December 31, 2019, which was mainly driven by an increase in Mivivienda loans in 2019 and in the three months ended March 31, 2019, which constitute riskier loans than the traditional mortgage portfolio. Comparing March 31, 2020 to March 31, 2019, the delinquency ratio improved, primarily due to loan growth.</w:t>
      </w:r>
    </w:p>
    <w:p>
      <w:pPr>
        <w:spacing w:after="0" w:line="359" w:lineRule="exact"/>
        <w:rPr>
          <w:sz w:val="20"/>
          <w:szCs w:val="20"/>
          <w:color w:val="auto"/>
        </w:rPr>
      </w:pPr>
    </w:p>
    <w:p>
      <w:pPr>
        <w:jc w:val="center"/>
        <w:ind w:right="334"/>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15875</wp:posOffset>
            </wp:positionV>
            <wp:extent cx="7144385"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886"/>
          </w:cols>
          <w:pgMar w:left="674" w:top="320" w:right="339" w:bottom="1440" w:gutter="0" w:footer="0" w:header="0"/>
        </w:sectPr>
      </w:pPr>
    </w:p>
    <w:bookmarkStart w:id="174" w:name="page175"/>
    <w:bookmarkEnd w:id="174"/>
    <w:p>
      <w:pPr>
        <w:ind w:left="386" w:right="400"/>
        <w:spacing w:after="0" w:line="287" w:lineRule="auto"/>
        <w:rPr>
          <w:sz w:val="20"/>
          <w:szCs w:val="20"/>
          <w:color w:val="auto"/>
        </w:rPr>
      </w:pPr>
      <w:r>
        <w:rPr>
          <w:rFonts w:ascii="Arial" w:cs="Arial" w:eastAsia="Arial" w:hAnsi="Arial"/>
          <w:sz w:val="16"/>
          <w:szCs w:val="16"/>
          <w:color w:val="auto"/>
        </w:rPr>
        <w:t>The early delinquency ratio, which excludes the effect of loans that are more than 150 days past due, also increased when comparing March 31, 2020 to December 31, 2019 and March 31, 2020 to March 31, 2019, which was due primarily to an increase in loans through Mivivienda.</w:t>
      </w:r>
    </w:p>
    <w:p>
      <w:pPr>
        <w:spacing w:after="0" w:line="146" w:lineRule="exact"/>
        <w:rPr>
          <w:sz w:val="20"/>
          <w:szCs w:val="20"/>
          <w:color w:val="auto"/>
        </w:rPr>
      </w:pPr>
    </w:p>
    <w:p>
      <w:pPr>
        <w:jc w:val="center"/>
        <w:ind w:right="174"/>
        <w:spacing w:after="0"/>
        <w:rPr>
          <w:sz w:val="20"/>
          <w:szCs w:val="20"/>
          <w:color w:val="auto"/>
        </w:rPr>
      </w:pPr>
      <w:r>
        <w:rPr>
          <w:rFonts w:ascii="Arial" w:cs="Arial" w:eastAsia="Arial" w:hAnsi="Arial"/>
          <w:sz w:val="16"/>
          <w:szCs w:val="16"/>
          <w:b w:val="1"/>
          <w:bCs w:val="1"/>
          <w:color w:val="auto"/>
        </w:rPr>
        <w:t>Consumer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143510</wp:posOffset>
            </wp:positionV>
            <wp:extent cx="4867275" cy="18332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867275" cy="183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6" w:right="20" w:hanging="366"/>
        <w:spacing w:after="0" w:line="327" w:lineRule="auto"/>
        <w:tabs>
          <w:tab w:leader="none" w:pos="366" w:val="left"/>
        </w:tabs>
        <w:numPr>
          <w:ilvl w:val="0"/>
          <w:numId w:val="182"/>
        </w:numPr>
        <w:rPr>
          <w:rFonts w:ascii="Arial" w:cs="Arial" w:eastAsia="Arial" w:hAnsi="Arial"/>
          <w:sz w:val="14"/>
          <w:szCs w:val="14"/>
          <w:color w:val="auto"/>
        </w:rPr>
      </w:pPr>
      <w:r>
        <w:rPr>
          <w:rFonts w:ascii="Arial" w:cs="Arial" w:eastAsia="Arial" w:hAnsi="Arial"/>
          <w:sz w:val="14"/>
          <w:szCs w:val="14"/>
          <w:color w:val="auto"/>
        </w:rPr>
        <w:t>The IOL ratio increased when comparing March 31, 2020 to December 31, 2019 and March 31, 2020 to March 31, 2019, primarily due to deterioration in the debt service capacity of over-indebted clients in the financial system, which affected clients who are current and those with refinanced loans. The NPL ratio decreased when comparing March 31, 2020 to December 31, 2019 and March 31, 2020 to March 31, 2019, as loan growth offset growth in the NPL portfolio.</w:t>
      </w:r>
    </w:p>
    <w:p>
      <w:pPr>
        <w:spacing w:after="0" w:line="128" w:lineRule="exact"/>
        <w:rPr>
          <w:sz w:val="20"/>
          <w:szCs w:val="20"/>
          <w:color w:val="auto"/>
        </w:rPr>
      </w:pPr>
    </w:p>
    <w:p>
      <w:pPr>
        <w:ind w:left="386" w:right="480"/>
        <w:spacing w:after="0" w:line="287" w:lineRule="auto"/>
        <w:rPr>
          <w:sz w:val="20"/>
          <w:szCs w:val="20"/>
          <w:color w:val="auto"/>
        </w:rPr>
      </w:pPr>
      <w:r>
        <w:rPr>
          <w:rFonts w:ascii="Arial" w:cs="Arial" w:eastAsia="Arial" w:hAnsi="Arial"/>
          <w:sz w:val="16"/>
          <w:szCs w:val="16"/>
          <w:color w:val="auto"/>
        </w:rPr>
        <w:t>The early delinquency ratio increased when comparing March 31, 2020 to December 31, 2019 and March 31, 2020 to March 31, 2019, in line with the deterioration in the debt service capacity of over-indebted clients in the financial system.</w:t>
      </w:r>
    </w:p>
    <w:p>
      <w:pPr>
        <w:spacing w:after="0" w:line="146" w:lineRule="exact"/>
        <w:rPr>
          <w:sz w:val="20"/>
          <w:szCs w:val="20"/>
          <w:color w:val="auto"/>
        </w:rPr>
      </w:pPr>
    </w:p>
    <w:p>
      <w:pPr>
        <w:jc w:val="center"/>
        <w:ind w:right="174"/>
        <w:spacing w:after="0"/>
        <w:rPr>
          <w:sz w:val="20"/>
          <w:szCs w:val="20"/>
          <w:color w:val="auto"/>
        </w:rPr>
      </w:pPr>
      <w:r>
        <w:rPr>
          <w:rFonts w:ascii="Arial" w:cs="Arial" w:eastAsia="Arial" w:hAnsi="Arial"/>
          <w:sz w:val="16"/>
          <w:szCs w:val="16"/>
          <w:b w:val="1"/>
          <w:bCs w:val="1"/>
          <w:color w:val="auto"/>
        </w:rPr>
        <w:t>Credit Card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143510</wp:posOffset>
            </wp:positionV>
            <wp:extent cx="4867275" cy="17703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867275" cy="177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66" w:hanging="366"/>
        <w:spacing w:after="0" w:line="287" w:lineRule="auto"/>
        <w:tabs>
          <w:tab w:leader="none" w:pos="36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credit card segment registered an increase in its delinquency ratios when comparing March 31, 2020 to December 31, 2019 and March 31, 2020 to March 31, 2019. This increase began in 2019 and coincides with an increase in per capita indebtedness in the Peruvian financial system.</w:t>
      </w:r>
    </w:p>
    <w:p>
      <w:pPr>
        <w:spacing w:after="0" w:line="346" w:lineRule="exact"/>
        <w:rPr>
          <w:sz w:val="20"/>
          <w:szCs w:val="20"/>
          <w:color w:val="auto"/>
        </w:rPr>
      </w:pPr>
    </w:p>
    <w:p>
      <w:pPr>
        <w:jc w:val="center"/>
        <w:ind w:right="174"/>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15875</wp:posOffset>
            </wp:positionV>
            <wp:extent cx="7144385"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726"/>
          </w:cols>
          <w:pgMar w:left="674" w:top="520" w:right="499" w:bottom="1440" w:gutter="0" w:footer="0" w:header="0"/>
        </w:sectPr>
      </w:pPr>
    </w:p>
    <w:bookmarkStart w:id="175" w:name="page176"/>
    <w:bookmarkEnd w:id="175"/>
    <w:p>
      <w:pPr>
        <w:jc w:val="center"/>
        <w:ind w:right="274"/>
        <w:spacing w:after="0"/>
        <w:rPr>
          <w:sz w:val="20"/>
          <w:szCs w:val="20"/>
          <w:color w:val="auto"/>
        </w:rPr>
      </w:pPr>
      <w:r>
        <w:rPr>
          <w:rFonts w:ascii="Arial" w:cs="Arial" w:eastAsia="Arial" w:hAnsi="Arial"/>
          <w:sz w:val="16"/>
          <w:szCs w:val="16"/>
          <w:b w:val="1"/>
          <w:bCs w:val="1"/>
          <w:color w:val="auto"/>
        </w:rPr>
        <w:t>Mibanco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143510</wp:posOffset>
            </wp:positionV>
            <wp:extent cx="4867275" cy="18954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86727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366" w:right="220" w:hanging="366"/>
        <w:spacing w:after="0" w:line="298" w:lineRule="auto"/>
        <w:tabs>
          <w:tab w:leader="none" w:pos="366" w:val="left"/>
        </w:tabs>
        <w:numPr>
          <w:ilvl w:val="0"/>
          <w:numId w:val="184"/>
        </w:numPr>
        <w:rPr>
          <w:rFonts w:ascii="Arial" w:cs="Arial" w:eastAsia="Arial" w:hAnsi="Arial"/>
          <w:sz w:val="15"/>
          <w:szCs w:val="15"/>
          <w:color w:val="auto"/>
        </w:rPr>
      </w:pPr>
      <w:r>
        <w:rPr>
          <w:rFonts w:ascii="Arial" w:cs="Arial" w:eastAsia="Arial" w:hAnsi="Arial"/>
          <w:sz w:val="15"/>
          <w:szCs w:val="15"/>
          <w:color w:val="auto"/>
        </w:rPr>
        <w:t>The IOL and NPL ratios remained stable when comparing March 31, 2020 to December 31, 2019, given that loan growth offset growth in the IOL portfolio. When comparing March 31, 2020 to March 31, 2019, the IOL portfolio increased, in line with a decrease in loans written off in 2019. The NPL ratio, on the other hand, fell due to improved measures for new loan acceptances since the beginning of 2019, which has led to a decrease in refinanced loans.</w:t>
      </w:r>
    </w:p>
    <w:p>
      <w:pPr>
        <w:spacing w:after="0" w:line="144" w:lineRule="exact"/>
        <w:rPr>
          <w:sz w:val="20"/>
          <w:szCs w:val="20"/>
          <w:color w:val="auto"/>
        </w:rPr>
      </w:pPr>
    </w:p>
    <w:p>
      <w:pPr>
        <w:ind w:left="386" w:right="340"/>
        <w:spacing w:after="0" w:line="322" w:lineRule="auto"/>
        <w:rPr>
          <w:sz w:val="20"/>
          <w:szCs w:val="20"/>
          <w:color w:val="auto"/>
        </w:rPr>
      </w:pPr>
      <w:r>
        <w:rPr>
          <w:rFonts w:ascii="Arial" w:cs="Arial" w:eastAsia="Arial" w:hAnsi="Arial"/>
          <w:sz w:val="15"/>
          <w:szCs w:val="15"/>
          <w:color w:val="auto"/>
        </w:rPr>
        <w:t>The cost of risk increased significantly when comparing March 31, 2020 to December 31, 2019 and March 31, 2020 to March 31, 2019, which reflects the impact of the economic effects of the COVID-19 pandemic on the loan portfolios as described under “—Net provisions for loan losses.”</w:t>
      </w:r>
    </w:p>
    <w:p>
      <w:pPr>
        <w:spacing w:after="0" w:line="123" w:lineRule="exact"/>
        <w:rPr>
          <w:sz w:val="20"/>
          <w:szCs w:val="20"/>
          <w:color w:val="auto"/>
        </w:rPr>
      </w:pPr>
    </w:p>
    <w:p>
      <w:pPr>
        <w:jc w:val="center"/>
        <w:ind w:right="274"/>
        <w:spacing w:after="0"/>
        <w:rPr>
          <w:sz w:val="20"/>
          <w:szCs w:val="20"/>
          <w:color w:val="auto"/>
        </w:rPr>
      </w:pPr>
      <w:r>
        <w:rPr>
          <w:rFonts w:ascii="Arial" w:cs="Arial" w:eastAsia="Arial" w:hAnsi="Arial"/>
          <w:sz w:val="16"/>
          <w:szCs w:val="16"/>
          <w:b w:val="1"/>
          <w:bCs w:val="1"/>
          <w:color w:val="auto"/>
        </w:rPr>
        <w:t>BCP Bolivia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142875</wp:posOffset>
            </wp:positionV>
            <wp:extent cx="4867275" cy="18014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867275" cy="180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366" w:hanging="366"/>
        <w:spacing w:after="0" w:line="271" w:lineRule="auto"/>
        <w:tabs>
          <w:tab w:leader="none" w:pos="36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Delinquency ratios for BCP Bolivia deteriorated when comparing March 31, 2020 to December 31, 2019, which was driven by deterioration in the SME-Pyme segment due to political unrest in the country since the third quarter of 2019. The IOL and NPL portfolios improved when comparing March 31, 2020 to March 31, 2019 after certain overdue loans were written off in 2019.</w:t>
      </w:r>
    </w:p>
    <w:p>
      <w:pPr>
        <w:spacing w:after="0" w:line="162" w:lineRule="exact"/>
        <w:rPr>
          <w:rFonts w:ascii="Arial" w:cs="Arial" w:eastAsia="Arial" w:hAnsi="Arial"/>
          <w:sz w:val="16"/>
          <w:szCs w:val="16"/>
          <w:color w:val="auto"/>
        </w:rPr>
      </w:pPr>
    </w:p>
    <w:p>
      <w:pPr>
        <w:ind w:left="386" w:right="40"/>
        <w:spacing w:after="0" w:line="271" w:lineRule="auto"/>
        <w:rPr>
          <w:rFonts w:ascii="Arial" w:cs="Arial" w:eastAsia="Arial" w:hAnsi="Arial"/>
          <w:sz w:val="16"/>
          <w:szCs w:val="16"/>
          <w:color w:val="auto"/>
        </w:rPr>
      </w:pPr>
      <w:r>
        <w:rPr>
          <w:rFonts w:ascii="Arial" w:cs="Arial" w:eastAsia="Arial" w:hAnsi="Arial"/>
          <w:sz w:val="16"/>
          <w:szCs w:val="16"/>
          <w:color w:val="auto"/>
        </w:rPr>
        <w:t>The cost of risk deteriorated when comparing March 31, 2020 to December 31, 2019 and March 31, 2020 to March 31, 2019, which was mainly attributable to provisions that were set aside in the context of the COVID-19 pandemic, which has generated a change in macroeconomic expectations for Bolivia and in the debt service capacity of BCP Bolivia’s clients.</w:t>
      </w:r>
    </w:p>
    <w:p>
      <w:pPr>
        <w:spacing w:after="0" w:line="359" w:lineRule="exact"/>
        <w:rPr>
          <w:sz w:val="20"/>
          <w:szCs w:val="20"/>
          <w:color w:val="auto"/>
        </w:rPr>
      </w:pPr>
    </w:p>
    <w:p>
      <w:pPr>
        <w:jc w:val="center"/>
        <w:ind w:right="274"/>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15875</wp:posOffset>
            </wp:positionV>
            <wp:extent cx="714438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826"/>
          </w:cols>
          <w:pgMar w:left="674" w:top="320" w:right="399" w:bottom="1440" w:gutter="0" w:footer="0" w:header="0"/>
        </w:sectPr>
      </w:pPr>
    </w:p>
    <w:bookmarkStart w:id="176" w:name="page177"/>
    <w:bookmarkEnd w:id="176"/>
    <w:p>
      <w:pPr>
        <w:spacing w:after="0"/>
        <w:rPr>
          <w:sz w:val="20"/>
          <w:szCs w:val="20"/>
          <w:color w:val="auto"/>
        </w:rPr>
      </w:pPr>
      <w:r>
        <w:rPr>
          <w:rFonts w:ascii="Arial" w:cs="Arial" w:eastAsia="Arial" w:hAnsi="Arial"/>
          <w:sz w:val="16"/>
          <w:szCs w:val="16"/>
          <w:b w:val="1"/>
          <w:bCs w:val="1"/>
          <w:color w:val="auto"/>
        </w:rPr>
        <w:t>Net Interest Income (“NII”)</w:t>
      </w:r>
    </w:p>
    <w:p>
      <w:pPr>
        <w:spacing w:after="0" w:line="213" w:lineRule="exact"/>
        <w:rPr>
          <w:sz w:val="20"/>
          <w:szCs w:val="20"/>
          <w:color w:val="auto"/>
        </w:rPr>
      </w:pPr>
    </w:p>
    <w:p>
      <w:pPr>
        <w:ind w:firstLine="295"/>
        <w:spacing w:after="0" w:line="278" w:lineRule="auto"/>
        <w:rPr>
          <w:sz w:val="20"/>
          <w:szCs w:val="20"/>
          <w:color w:val="auto"/>
        </w:rPr>
      </w:pPr>
      <w:r>
        <w:rPr>
          <w:rFonts w:ascii="Arial" w:cs="Arial" w:eastAsia="Arial" w:hAnsi="Arial"/>
          <w:sz w:val="15"/>
          <w:szCs w:val="15"/>
          <w:color w:val="auto"/>
        </w:rPr>
        <w:t>In the three months ended March 31, 2020, NII, the main component of income, increased 0.6% and 8.3% compared to the three months ended December 31, 2019 and the three months ended March 31, 2019, respectively, while average interest-earning assets increased 3.2% and 9.1% compared to the three months ended December 31, 2019 and the three months ended March 31, 2019, respectively. This led to a decrease of 14 basis points when comparing the three months ended March 31, 2020 and December 31, 2019, and a decrease of four basis points when comparing the three months ended March 31, 2020 and 2019. The increase in NII was primarily attributable to a more favorable funding structure, which led to a decrease in interest expenses as of March 31, 2020 of 2.9% and 2.5% compared to the three months ended December 31, 2019 and the three months ended March 31, 2019, respectively, and offset the contraction in interest income comparing the same periods. The decrease in interest income was insufficient to offset growth in average interest-earning assets. Risk-adjusted net interest margin (“NIM”) as of March 31, 2010 contracted 197 basis points and 212 basis points compared to the three months ended December 31, 2019 and the three months ended March 31, 2019, respectively, due primarily to an increase in the cost of risk due to a change in expectations for economic growth in Peru in the framework of the COVID-19 pandemic and the measures enacted by the Peruvian government to slow the advance of the novel coronavirus.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0" w:type="dxa"/>
            <w:vAlign w:val="bottom"/>
            <w:gridSpan w:val="5"/>
          </w:tcPr>
          <w:p>
            <w:pPr>
              <w:jc w:val="center"/>
              <w:ind w:left="918"/>
              <w:spacing w:after="0"/>
              <w:rPr>
                <w:sz w:val="20"/>
                <w:szCs w:val="20"/>
                <w:color w:val="auto"/>
              </w:rPr>
            </w:pPr>
            <w:r>
              <w:rPr>
                <w:rFonts w:ascii="Arial" w:cs="Arial" w:eastAsia="Arial" w:hAnsi="Arial"/>
                <w:sz w:val="16"/>
                <w:szCs w:val="16"/>
                <w:b w:val="1"/>
                <w:bCs w:val="1"/>
                <w:color w:val="auto"/>
                <w:w w:val="94"/>
              </w:rPr>
              <w:t>For the Three Months Ended</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4"/>
          </w:tcPr>
          <w:p>
            <w:pPr>
              <w:jc w:val="right"/>
              <w:ind w:right="1158"/>
              <w:spacing w:after="0"/>
              <w:rPr>
                <w:sz w:val="20"/>
                <w:szCs w:val="20"/>
                <w:color w:val="auto"/>
              </w:rPr>
            </w:pPr>
            <w:r>
              <w:rPr>
                <w:rFonts w:ascii="Arial" w:cs="Arial" w:eastAsia="Arial" w:hAnsi="Arial"/>
                <w:sz w:val="16"/>
                <w:szCs w:val="16"/>
                <w:b w:val="1"/>
                <w:bCs w:val="1"/>
                <w:color w:val="auto"/>
              </w:rPr>
              <w:t>% Change</w:t>
            </w:r>
          </w:p>
        </w:tc>
      </w:tr>
      <w:tr>
        <w:trPr>
          <w:trHeight w:val="173"/>
        </w:trPr>
        <w:tc>
          <w:tcPr>
            <w:tcW w:w="2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Borders>
              <w:top w:val="single" w:sz="8" w:color="auto"/>
            </w:tcBorders>
            <w:gridSpan w:val="2"/>
          </w:tcPr>
          <w:p>
            <w:pPr>
              <w:jc w:val="right"/>
              <w:ind w:right="658"/>
              <w:spacing w:after="0" w:line="173" w:lineRule="exact"/>
              <w:rPr>
                <w:sz w:val="20"/>
                <w:szCs w:val="20"/>
                <w:color w:val="auto"/>
              </w:rPr>
            </w:pPr>
            <w:r>
              <w:rPr>
                <w:rFonts w:ascii="Arial" w:cs="Arial" w:eastAsia="Arial" w:hAnsi="Arial"/>
                <w:sz w:val="16"/>
                <w:szCs w:val="16"/>
                <w:b w:val="1"/>
                <w:bCs w:val="1"/>
                <w:color w:val="auto"/>
              </w:rPr>
              <w:t>March</w:t>
            </w:r>
          </w:p>
        </w:tc>
        <w:tc>
          <w:tcPr>
            <w:tcW w:w="11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97"/>
        </w:trPr>
        <w:tc>
          <w:tcPr>
            <w:tcW w:w="2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178"/>
              <w:spacing w:after="0"/>
              <w:rPr>
                <w:sz w:val="20"/>
                <w:szCs w:val="20"/>
                <w:color w:val="auto"/>
              </w:rPr>
            </w:pPr>
            <w:r>
              <w:rPr>
                <w:rFonts w:ascii="Arial" w:cs="Arial" w:eastAsia="Arial" w:hAnsi="Arial"/>
                <w:sz w:val="16"/>
                <w:szCs w:val="16"/>
                <w:b w:val="1"/>
                <w:bCs w:val="1"/>
                <w:color w:val="auto"/>
              </w:rPr>
              <w:t>31, 2020 /</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7"/>
        </w:trPr>
        <w:tc>
          <w:tcPr>
            <w:tcW w:w="2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March</w:t>
            </w:r>
          </w:p>
        </w:tc>
        <w:tc>
          <w:tcPr>
            <w:tcW w:w="172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0"/>
              </w:rPr>
              <w:t>December</w:t>
            </w:r>
          </w:p>
        </w:tc>
        <w:tc>
          <w:tcPr>
            <w:tcW w:w="1280" w:type="dxa"/>
            <w:vAlign w:val="bottom"/>
            <w:gridSpan w:val="2"/>
          </w:tcPr>
          <w:p>
            <w:pPr>
              <w:jc w:val="right"/>
              <w:ind w:right="578"/>
              <w:spacing w:after="0"/>
              <w:rPr>
                <w:sz w:val="20"/>
                <w:szCs w:val="20"/>
                <w:color w:val="auto"/>
              </w:rPr>
            </w:pPr>
            <w:r>
              <w:rPr>
                <w:rFonts w:ascii="Arial" w:cs="Arial" w:eastAsia="Arial" w:hAnsi="Arial"/>
                <w:sz w:val="16"/>
                <w:szCs w:val="16"/>
                <w:b w:val="1"/>
                <w:bCs w:val="1"/>
                <w:color w:val="auto"/>
              </w:rPr>
              <w:t>March</w:t>
            </w:r>
          </w:p>
        </w:tc>
        <w:tc>
          <w:tcPr>
            <w:tcW w:w="1560" w:type="dxa"/>
            <w:vAlign w:val="bottom"/>
            <w:gridSpan w:val="2"/>
          </w:tcPr>
          <w:p>
            <w:pPr>
              <w:jc w:val="right"/>
              <w:ind w:right="538"/>
              <w:spacing w:after="0"/>
              <w:rPr>
                <w:sz w:val="20"/>
                <w:szCs w:val="20"/>
                <w:color w:val="auto"/>
              </w:rPr>
            </w:pPr>
            <w:r>
              <w:rPr>
                <w:rFonts w:ascii="Arial" w:cs="Arial" w:eastAsia="Arial" w:hAnsi="Arial"/>
                <w:sz w:val="16"/>
                <w:szCs w:val="16"/>
                <w:b w:val="1"/>
                <w:bCs w:val="1"/>
                <w:color w:val="auto"/>
              </w:rPr>
              <w:t>December</w:t>
            </w:r>
          </w:p>
        </w:tc>
        <w:tc>
          <w:tcPr>
            <w:tcW w:w="1420" w:type="dxa"/>
            <w:vAlign w:val="bottom"/>
            <w:gridSpan w:val="2"/>
          </w:tcPr>
          <w:p>
            <w:pPr>
              <w:jc w:val="right"/>
              <w:ind w:right="518"/>
              <w:spacing w:after="0"/>
              <w:rPr>
                <w:sz w:val="20"/>
                <w:szCs w:val="20"/>
                <w:color w:val="auto"/>
              </w:rPr>
            </w:pPr>
            <w:r>
              <w:rPr>
                <w:rFonts w:ascii="Arial" w:cs="Arial" w:eastAsia="Arial" w:hAnsi="Arial"/>
                <w:sz w:val="16"/>
                <w:szCs w:val="16"/>
                <w:b w:val="1"/>
                <w:bCs w:val="1"/>
                <w:color w:val="auto"/>
              </w:rPr>
              <w:t>March</w:t>
            </w:r>
          </w:p>
        </w:tc>
      </w:tr>
      <w:tr>
        <w:trPr>
          <w:trHeight w:val="212"/>
        </w:trPr>
        <w:tc>
          <w:tcPr>
            <w:tcW w:w="2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31, 2019</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31, 2019</w:t>
            </w: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31, 2020</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31, 2019</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31, 2020 / 2019</w:t>
            </w:r>
          </w:p>
        </w:tc>
        <w:tc>
          <w:tcPr>
            <w:tcW w:w="240" w:type="dxa"/>
            <w:vAlign w:val="bottom"/>
          </w:tcPr>
          <w:p>
            <w:pPr>
              <w:spacing w:after="0"/>
              <w:rPr>
                <w:sz w:val="18"/>
                <w:szCs w:val="18"/>
                <w:color w:val="auto"/>
              </w:rPr>
            </w:pPr>
          </w:p>
        </w:tc>
      </w:tr>
      <w:tr>
        <w:trPr>
          <w:trHeight w:val="190"/>
        </w:trPr>
        <w:tc>
          <w:tcPr>
            <w:tcW w:w="3780" w:type="dxa"/>
            <w:vAlign w:val="bottom"/>
            <w:gridSpan w:val="2"/>
          </w:tcPr>
          <w:p>
            <w:pPr>
              <w:spacing w:after="0"/>
              <w:rPr>
                <w:sz w:val="20"/>
                <w:szCs w:val="20"/>
                <w:color w:val="auto"/>
              </w:rPr>
            </w:pPr>
            <w:r>
              <w:rPr>
                <w:rFonts w:ascii="Arial" w:cs="Arial" w:eastAsia="Arial" w:hAnsi="Arial"/>
                <w:sz w:val="16"/>
                <w:szCs w:val="16"/>
                <w:color w:val="auto"/>
              </w:rPr>
              <w:t>Net interest income</w:t>
            </w: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560" w:type="dxa"/>
            <w:vAlign w:val="bottom"/>
            <w:gridSpan w:val="7"/>
          </w:tcPr>
          <w:p>
            <w:pPr>
              <w:jc w:val="right"/>
              <w:ind w:right="958"/>
              <w:spacing w:after="0"/>
              <w:rPr>
                <w:sz w:val="20"/>
                <w:szCs w:val="20"/>
                <w:color w:val="auto"/>
              </w:rPr>
            </w:pPr>
            <w:r>
              <w:rPr>
                <w:rFonts w:ascii="Arial" w:cs="Arial" w:eastAsia="Arial" w:hAnsi="Arial"/>
                <w:sz w:val="16"/>
                <w:szCs w:val="16"/>
                <w:b w:val="1"/>
                <w:bCs w:val="1"/>
                <w:color w:val="auto"/>
              </w:rPr>
              <w:t>(Soles in thousands, except percentages)</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97"/>
        </w:trPr>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Interest income</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3,001,674</w:t>
            </w:r>
          </w:p>
        </w:tc>
        <w:tc>
          <w:tcPr>
            <w:tcW w:w="2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3,172,695</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b w:val="1"/>
                <w:bCs w:val="1"/>
                <w:color w:val="auto"/>
              </w:rPr>
              <w:t>3,163,609</w:t>
            </w:r>
          </w:p>
        </w:tc>
        <w:tc>
          <w:tcPr>
            <w:tcW w:w="156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b w:val="1"/>
                <w:bCs w:val="1"/>
                <w:color w:val="auto"/>
              </w:rPr>
              <w:t>(0.3)%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5.4%</w:t>
            </w:r>
          </w:p>
        </w:tc>
      </w:tr>
      <w:tr>
        <w:trPr>
          <w:trHeight w:val="197"/>
        </w:trPr>
        <w:tc>
          <w:tcPr>
            <w:tcW w:w="3780" w:type="dxa"/>
            <w:vAlign w:val="bottom"/>
            <w:gridSpan w:val="2"/>
          </w:tcPr>
          <w:p>
            <w:pPr>
              <w:ind w:left="140"/>
              <w:spacing w:after="0"/>
              <w:rPr>
                <w:sz w:val="20"/>
                <w:szCs w:val="20"/>
                <w:color w:val="auto"/>
              </w:rPr>
            </w:pPr>
            <w:r>
              <w:rPr>
                <w:rFonts w:ascii="Arial" w:cs="Arial" w:eastAsia="Arial" w:hAnsi="Arial"/>
                <w:sz w:val="16"/>
                <w:szCs w:val="16"/>
                <w:color w:val="auto"/>
              </w:rPr>
              <w:t>Interest on loans</w:t>
            </w:r>
          </w:p>
        </w:tc>
        <w:tc>
          <w:tcPr>
            <w:tcW w:w="1200" w:type="dxa"/>
            <w:vAlign w:val="bottom"/>
          </w:tcPr>
          <w:p>
            <w:pPr>
              <w:jc w:val="right"/>
              <w:spacing w:after="0"/>
              <w:rPr>
                <w:sz w:val="20"/>
                <w:szCs w:val="20"/>
                <w:color w:val="auto"/>
              </w:rPr>
            </w:pPr>
            <w:r>
              <w:rPr>
                <w:rFonts w:ascii="Arial" w:cs="Arial" w:eastAsia="Arial" w:hAnsi="Arial"/>
                <w:sz w:val="16"/>
                <w:szCs w:val="16"/>
                <w:color w:val="auto"/>
              </w:rPr>
              <w:t>2,562,286</w:t>
            </w:r>
          </w:p>
        </w:tc>
        <w:tc>
          <w:tcPr>
            <w:tcW w:w="280" w:type="dxa"/>
            <w:vAlign w:val="bottom"/>
          </w:tcPr>
          <w:p>
            <w:pPr>
              <w:spacing w:after="0"/>
              <w:rPr>
                <w:sz w:val="17"/>
                <w:szCs w:val="17"/>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2,768,468</w:t>
            </w:r>
          </w:p>
        </w:tc>
        <w:tc>
          <w:tcPr>
            <w:tcW w:w="220" w:type="dxa"/>
            <w:vAlign w:val="bottom"/>
          </w:tcPr>
          <w:p>
            <w:pPr>
              <w:spacing w:after="0"/>
              <w:rPr>
                <w:sz w:val="17"/>
                <w:szCs w:val="17"/>
                <w:color w:val="auto"/>
              </w:rPr>
            </w:pPr>
          </w:p>
        </w:tc>
        <w:tc>
          <w:tcPr>
            <w:tcW w:w="1280" w:type="dxa"/>
            <w:vAlign w:val="bottom"/>
            <w:gridSpan w:val="2"/>
          </w:tcPr>
          <w:p>
            <w:pPr>
              <w:jc w:val="right"/>
              <w:ind w:right="198"/>
              <w:spacing w:after="0"/>
              <w:rPr>
                <w:sz w:val="20"/>
                <w:szCs w:val="20"/>
                <w:color w:val="auto"/>
              </w:rPr>
            </w:pPr>
            <w:r>
              <w:rPr>
                <w:rFonts w:ascii="Arial" w:cs="Arial" w:eastAsia="Arial" w:hAnsi="Arial"/>
                <w:sz w:val="16"/>
                <w:szCs w:val="16"/>
                <w:color w:val="auto"/>
              </w:rPr>
              <w:t>2,770,351</w:t>
            </w:r>
          </w:p>
        </w:tc>
        <w:tc>
          <w:tcPr>
            <w:tcW w:w="1560" w:type="dxa"/>
            <w:vAlign w:val="bottom"/>
            <w:gridSpan w:val="2"/>
          </w:tcPr>
          <w:p>
            <w:pPr>
              <w:jc w:val="right"/>
              <w:ind w:right="158"/>
              <w:spacing w:after="0"/>
              <w:rPr>
                <w:sz w:val="20"/>
                <w:szCs w:val="20"/>
                <w:color w:val="auto"/>
              </w:rPr>
            </w:pPr>
            <w:r>
              <w:rPr>
                <w:rFonts w:ascii="Arial" w:cs="Arial" w:eastAsia="Arial" w:hAnsi="Arial"/>
                <w:sz w:val="16"/>
                <w:szCs w:val="16"/>
                <w:color w:val="auto"/>
              </w:rPr>
              <w:t>0.1%</w:t>
            </w:r>
          </w:p>
        </w:tc>
        <w:tc>
          <w:tcPr>
            <w:tcW w:w="1420" w:type="dxa"/>
            <w:vAlign w:val="bottom"/>
            <w:gridSpan w:val="2"/>
          </w:tcPr>
          <w:p>
            <w:pPr>
              <w:jc w:val="right"/>
              <w:ind w:right="38"/>
              <w:spacing w:after="0"/>
              <w:rPr>
                <w:sz w:val="20"/>
                <w:szCs w:val="20"/>
                <w:color w:val="auto"/>
              </w:rPr>
            </w:pPr>
            <w:r>
              <w:rPr>
                <w:rFonts w:ascii="Arial" w:cs="Arial" w:eastAsia="Arial" w:hAnsi="Arial"/>
                <w:sz w:val="16"/>
                <w:szCs w:val="16"/>
                <w:color w:val="auto"/>
              </w:rPr>
              <w:t>8.1%</w:t>
            </w:r>
          </w:p>
        </w:tc>
      </w:tr>
      <w:tr>
        <w:trPr>
          <w:trHeight w:val="197"/>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Dividends on investments</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9,667</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3,764</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7,879</w:t>
            </w:r>
          </w:p>
        </w:tc>
        <w:tc>
          <w:tcPr>
            <w:tcW w:w="156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109.3%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197"/>
        </w:trPr>
        <w:tc>
          <w:tcPr>
            <w:tcW w:w="3780" w:type="dxa"/>
            <w:vAlign w:val="bottom"/>
            <w:gridSpan w:val="2"/>
          </w:tcPr>
          <w:p>
            <w:pPr>
              <w:ind w:left="140"/>
              <w:spacing w:after="0"/>
              <w:rPr>
                <w:sz w:val="20"/>
                <w:szCs w:val="20"/>
                <w:color w:val="auto"/>
              </w:rPr>
            </w:pPr>
            <w:r>
              <w:rPr>
                <w:rFonts w:ascii="Arial" w:cs="Arial" w:eastAsia="Arial" w:hAnsi="Arial"/>
                <w:sz w:val="16"/>
                <w:szCs w:val="16"/>
                <w:color w:val="auto"/>
              </w:rPr>
              <w:t>Interest on deposits with banks</w:t>
            </w: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86,699</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68,813</w:t>
            </w:r>
          </w:p>
        </w:tc>
        <w:tc>
          <w:tcPr>
            <w:tcW w:w="220" w:type="dxa"/>
            <w:vAlign w:val="bottom"/>
          </w:tcPr>
          <w:p>
            <w:pPr>
              <w:spacing w:after="0"/>
              <w:rPr>
                <w:sz w:val="17"/>
                <w:szCs w:val="17"/>
                <w:color w:val="auto"/>
              </w:rPr>
            </w:pPr>
          </w:p>
        </w:tc>
        <w:tc>
          <w:tcPr>
            <w:tcW w:w="1280" w:type="dxa"/>
            <w:vAlign w:val="bottom"/>
            <w:gridSpan w:val="2"/>
          </w:tcPr>
          <w:p>
            <w:pPr>
              <w:jc w:val="right"/>
              <w:ind w:right="198"/>
              <w:spacing w:after="0"/>
              <w:rPr>
                <w:sz w:val="20"/>
                <w:szCs w:val="20"/>
                <w:color w:val="auto"/>
              </w:rPr>
            </w:pPr>
            <w:r>
              <w:rPr>
                <w:rFonts w:ascii="Arial" w:cs="Arial" w:eastAsia="Arial" w:hAnsi="Arial"/>
                <w:sz w:val="16"/>
                <w:szCs w:val="16"/>
                <w:color w:val="auto"/>
              </w:rPr>
              <w:t>49,113</w:t>
            </w:r>
          </w:p>
        </w:tc>
        <w:tc>
          <w:tcPr>
            <w:tcW w:w="1560" w:type="dxa"/>
            <w:vAlign w:val="bottom"/>
            <w:gridSpan w:val="2"/>
          </w:tcPr>
          <w:p>
            <w:pPr>
              <w:jc w:val="right"/>
              <w:ind w:right="98"/>
              <w:spacing w:after="0"/>
              <w:rPr>
                <w:sz w:val="20"/>
                <w:szCs w:val="20"/>
                <w:color w:val="auto"/>
              </w:rPr>
            </w:pPr>
            <w:r>
              <w:rPr>
                <w:rFonts w:ascii="Arial" w:cs="Arial" w:eastAsia="Arial" w:hAnsi="Arial"/>
                <w:sz w:val="16"/>
                <w:szCs w:val="16"/>
                <w:color w:val="auto"/>
              </w:rPr>
              <w:t>(28.6)%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(43.4)%</w:t>
            </w:r>
          </w:p>
        </w:tc>
      </w:tr>
      <w:tr>
        <w:trPr>
          <w:trHeight w:val="197"/>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on securities</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332,788</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311,414</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322,734</w:t>
            </w:r>
          </w:p>
        </w:tc>
        <w:tc>
          <w:tcPr>
            <w:tcW w:w="156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3.6%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197"/>
        </w:trPr>
        <w:tc>
          <w:tcPr>
            <w:tcW w:w="3780" w:type="dxa"/>
            <w:vAlign w:val="bottom"/>
            <w:gridSpan w:val="2"/>
          </w:tcPr>
          <w:p>
            <w:pPr>
              <w:ind w:left="140"/>
              <w:spacing w:after="0"/>
              <w:rPr>
                <w:sz w:val="20"/>
                <w:szCs w:val="20"/>
                <w:color w:val="auto"/>
              </w:rPr>
            </w:pPr>
            <w:r>
              <w:rPr>
                <w:rFonts w:ascii="Arial" w:cs="Arial" w:eastAsia="Arial" w:hAnsi="Arial"/>
                <w:sz w:val="16"/>
                <w:szCs w:val="16"/>
                <w:color w:val="auto"/>
              </w:rPr>
              <w:t>Other interest income</w:t>
            </w: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10,234</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20,236</w:t>
            </w:r>
          </w:p>
        </w:tc>
        <w:tc>
          <w:tcPr>
            <w:tcW w:w="220" w:type="dxa"/>
            <w:vAlign w:val="bottom"/>
          </w:tcPr>
          <w:p>
            <w:pPr>
              <w:spacing w:after="0"/>
              <w:rPr>
                <w:sz w:val="17"/>
                <w:szCs w:val="17"/>
                <w:color w:val="auto"/>
              </w:rPr>
            </w:pPr>
          </w:p>
        </w:tc>
        <w:tc>
          <w:tcPr>
            <w:tcW w:w="1280" w:type="dxa"/>
            <w:vAlign w:val="bottom"/>
            <w:gridSpan w:val="2"/>
          </w:tcPr>
          <w:p>
            <w:pPr>
              <w:jc w:val="right"/>
              <w:ind w:right="198"/>
              <w:spacing w:after="0"/>
              <w:rPr>
                <w:sz w:val="20"/>
                <w:szCs w:val="20"/>
                <w:color w:val="auto"/>
              </w:rPr>
            </w:pPr>
            <w:r>
              <w:rPr>
                <w:rFonts w:ascii="Arial" w:cs="Arial" w:eastAsia="Arial" w:hAnsi="Arial"/>
                <w:sz w:val="16"/>
                <w:szCs w:val="16"/>
                <w:color w:val="auto"/>
              </w:rPr>
              <w:t>13,532</w:t>
            </w:r>
          </w:p>
        </w:tc>
        <w:tc>
          <w:tcPr>
            <w:tcW w:w="1560" w:type="dxa"/>
            <w:vAlign w:val="bottom"/>
            <w:gridSpan w:val="2"/>
          </w:tcPr>
          <w:p>
            <w:pPr>
              <w:jc w:val="right"/>
              <w:ind w:right="98"/>
              <w:spacing w:after="0"/>
              <w:rPr>
                <w:sz w:val="20"/>
                <w:szCs w:val="20"/>
                <w:color w:val="auto"/>
              </w:rPr>
            </w:pPr>
            <w:r>
              <w:rPr>
                <w:rFonts w:ascii="Arial" w:cs="Arial" w:eastAsia="Arial" w:hAnsi="Arial"/>
                <w:sz w:val="16"/>
                <w:szCs w:val="16"/>
                <w:color w:val="auto"/>
              </w:rPr>
              <w:t>(33.1)%</w:t>
            </w:r>
          </w:p>
        </w:tc>
        <w:tc>
          <w:tcPr>
            <w:tcW w:w="1420" w:type="dxa"/>
            <w:vAlign w:val="bottom"/>
            <w:gridSpan w:val="2"/>
          </w:tcPr>
          <w:p>
            <w:pPr>
              <w:jc w:val="right"/>
              <w:ind w:right="38"/>
              <w:spacing w:after="0"/>
              <w:rPr>
                <w:sz w:val="20"/>
                <w:szCs w:val="20"/>
                <w:color w:val="auto"/>
              </w:rPr>
            </w:pPr>
            <w:r>
              <w:rPr>
                <w:rFonts w:ascii="Arial" w:cs="Arial" w:eastAsia="Arial" w:hAnsi="Arial"/>
                <w:sz w:val="16"/>
                <w:szCs w:val="16"/>
                <w:color w:val="auto"/>
              </w:rPr>
              <w:t>32.2%</w:t>
            </w:r>
          </w:p>
        </w:tc>
      </w:tr>
      <w:tr>
        <w:trPr>
          <w:trHeight w:val="197"/>
        </w:trPr>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Interest expense</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804,506</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807,869</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b w:val="1"/>
                <w:bCs w:val="1"/>
                <w:color w:val="auto"/>
              </w:rPr>
              <w:t>784,309</w:t>
            </w:r>
          </w:p>
        </w:tc>
        <w:tc>
          <w:tcPr>
            <w:tcW w:w="156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b w:val="1"/>
                <w:bCs w:val="1"/>
                <w:color w:val="auto"/>
              </w:rPr>
              <w:t>(2.9)%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r>
      <w:tr>
        <w:trPr>
          <w:trHeight w:val="197"/>
        </w:trPr>
        <w:tc>
          <w:tcPr>
            <w:tcW w:w="3780" w:type="dxa"/>
            <w:vAlign w:val="bottom"/>
            <w:gridSpan w:val="2"/>
          </w:tcPr>
          <w:p>
            <w:pPr>
              <w:ind w:left="140"/>
              <w:spacing w:after="0"/>
              <w:rPr>
                <w:sz w:val="20"/>
                <w:szCs w:val="20"/>
                <w:color w:val="auto"/>
              </w:rPr>
            </w:pPr>
            <w:r>
              <w:rPr>
                <w:rFonts w:ascii="Arial" w:cs="Arial" w:eastAsia="Arial" w:hAnsi="Arial"/>
                <w:sz w:val="16"/>
                <w:szCs w:val="16"/>
                <w:color w:val="auto"/>
              </w:rPr>
              <w:t>Interest on deposits</w:t>
            </w: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353,834</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367,257</w:t>
            </w:r>
          </w:p>
        </w:tc>
        <w:tc>
          <w:tcPr>
            <w:tcW w:w="220" w:type="dxa"/>
            <w:vAlign w:val="bottom"/>
          </w:tcPr>
          <w:p>
            <w:pPr>
              <w:spacing w:after="0"/>
              <w:rPr>
                <w:sz w:val="17"/>
                <w:szCs w:val="17"/>
                <w:color w:val="auto"/>
              </w:rPr>
            </w:pPr>
          </w:p>
        </w:tc>
        <w:tc>
          <w:tcPr>
            <w:tcW w:w="1280" w:type="dxa"/>
            <w:vAlign w:val="bottom"/>
            <w:gridSpan w:val="2"/>
          </w:tcPr>
          <w:p>
            <w:pPr>
              <w:jc w:val="right"/>
              <w:ind w:right="198"/>
              <w:spacing w:after="0"/>
              <w:rPr>
                <w:sz w:val="20"/>
                <w:szCs w:val="20"/>
                <w:color w:val="auto"/>
              </w:rPr>
            </w:pPr>
            <w:r>
              <w:rPr>
                <w:rFonts w:ascii="Arial" w:cs="Arial" w:eastAsia="Arial" w:hAnsi="Arial"/>
                <w:sz w:val="16"/>
                <w:szCs w:val="16"/>
                <w:color w:val="auto"/>
              </w:rPr>
              <w:t>364,107</w:t>
            </w:r>
          </w:p>
        </w:tc>
        <w:tc>
          <w:tcPr>
            <w:tcW w:w="1560" w:type="dxa"/>
            <w:vAlign w:val="bottom"/>
            <w:gridSpan w:val="2"/>
          </w:tcPr>
          <w:p>
            <w:pPr>
              <w:jc w:val="right"/>
              <w:ind w:right="158"/>
              <w:spacing w:after="0"/>
              <w:rPr>
                <w:sz w:val="20"/>
                <w:szCs w:val="20"/>
                <w:color w:val="auto"/>
              </w:rPr>
            </w:pPr>
            <w:r>
              <w:rPr>
                <w:rFonts w:ascii="Arial" w:cs="Arial" w:eastAsia="Arial" w:hAnsi="Arial"/>
                <w:sz w:val="16"/>
                <w:szCs w:val="16"/>
                <w:color w:val="auto"/>
              </w:rPr>
              <w:t>(0.9%</w:t>
            </w:r>
          </w:p>
        </w:tc>
        <w:tc>
          <w:tcPr>
            <w:tcW w:w="1420" w:type="dxa"/>
            <w:vAlign w:val="bottom"/>
            <w:gridSpan w:val="2"/>
          </w:tcPr>
          <w:p>
            <w:pPr>
              <w:jc w:val="right"/>
              <w:ind w:right="38"/>
              <w:spacing w:after="0"/>
              <w:rPr>
                <w:sz w:val="20"/>
                <w:szCs w:val="20"/>
                <w:color w:val="auto"/>
              </w:rPr>
            </w:pPr>
            <w:r>
              <w:rPr>
                <w:rFonts w:ascii="Arial" w:cs="Arial" w:eastAsia="Arial" w:hAnsi="Arial"/>
                <w:sz w:val="16"/>
                <w:szCs w:val="16"/>
                <w:color w:val="auto"/>
              </w:rPr>
              <w:t>2.9%</w:t>
            </w:r>
          </w:p>
        </w:tc>
      </w:tr>
      <w:tr>
        <w:trPr>
          <w:trHeight w:val="197"/>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on borrowed funds</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145,303</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141,552</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137,126</w:t>
            </w:r>
          </w:p>
        </w:tc>
        <w:tc>
          <w:tcPr>
            <w:tcW w:w="156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(3.1)%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197"/>
        </w:trPr>
        <w:tc>
          <w:tcPr>
            <w:tcW w:w="3780" w:type="dxa"/>
            <w:vAlign w:val="bottom"/>
            <w:gridSpan w:val="2"/>
          </w:tcPr>
          <w:p>
            <w:pPr>
              <w:ind w:left="140"/>
              <w:spacing w:after="0"/>
              <w:rPr>
                <w:sz w:val="20"/>
                <w:szCs w:val="20"/>
                <w:color w:val="auto"/>
              </w:rPr>
            </w:pPr>
            <w:r>
              <w:rPr>
                <w:rFonts w:ascii="Arial" w:cs="Arial" w:eastAsia="Arial" w:hAnsi="Arial"/>
                <w:sz w:val="16"/>
                <w:szCs w:val="16"/>
                <w:color w:val="auto"/>
              </w:rPr>
              <w:t>Interest on bonds and subordinated notes</w:t>
            </w: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226,498</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209,238</w:t>
            </w:r>
          </w:p>
        </w:tc>
        <w:tc>
          <w:tcPr>
            <w:tcW w:w="220" w:type="dxa"/>
            <w:vAlign w:val="bottom"/>
          </w:tcPr>
          <w:p>
            <w:pPr>
              <w:spacing w:after="0"/>
              <w:rPr>
                <w:sz w:val="17"/>
                <w:szCs w:val="17"/>
                <w:color w:val="auto"/>
              </w:rPr>
            </w:pPr>
          </w:p>
        </w:tc>
        <w:tc>
          <w:tcPr>
            <w:tcW w:w="1280" w:type="dxa"/>
            <w:vAlign w:val="bottom"/>
            <w:gridSpan w:val="2"/>
          </w:tcPr>
          <w:p>
            <w:pPr>
              <w:jc w:val="right"/>
              <w:ind w:right="198"/>
              <w:spacing w:after="0"/>
              <w:rPr>
                <w:sz w:val="20"/>
                <w:szCs w:val="20"/>
                <w:color w:val="auto"/>
              </w:rPr>
            </w:pPr>
            <w:r>
              <w:rPr>
                <w:rFonts w:ascii="Arial" w:cs="Arial" w:eastAsia="Arial" w:hAnsi="Arial"/>
                <w:sz w:val="16"/>
                <w:szCs w:val="16"/>
                <w:color w:val="auto"/>
              </w:rPr>
              <w:t>198,114</w:t>
            </w:r>
          </w:p>
        </w:tc>
        <w:tc>
          <w:tcPr>
            <w:tcW w:w="1560" w:type="dxa"/>
            <w:vAlign w:val="bottom"/>
            <w:gridSpan w:val="2"/>
          </w:tcPr>
          <w:p>
            <w:pPr>
              <w:jc w:val="right"/>
              <w:ind w:right="98"/>
              <w:spacing w:after="0"/>
              <w:rPr>
                <w:sz w:val="20"/>
                <w:szCs w:val="20"/>
                <w:color w:val="auto"/>
              </w:rPr>
            </w:pPr>
            <w:r>
              <w:rPr>
                <w:rFonts w:ascii="Arial" w:cs="Arial" w:eastAsia="Arial" w:hAnsi="Arial"/>
                <w:sz w:val="16"/>
                <w:szCs w:val="16"/>
                <w:color w:val="auto"/>
              </w:rPr>
              <w:t>(5.3)%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(12.5)%</w:t>
            </w:r>
          </w:p>
        </w:tc>
      </w:tr>
      <w:tr>
        <w:trPr>
          <w:trHeight w:val="209"/>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interest expense</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78,871</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89,822</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98"/>
              <w:spacing w:after="0"/>
              <w:rPr>
                <w:sz w:val="20"/>
                <w:szCs w:val="20"/>
                <w:color w:val="auto"/>
              </w:rPr>
            </w:pPr>
            <w:r>
              <w:rPr>
                <w:rFonts w:ascii="Arial" w:cs="Arial" w:eastAsia="Arial" w:hAnsi="Arial"/>
                <w:sz w:val="16"/>
                <w:szCs w:val="16"/>
                <w:color w:val="auto"/>
              </w:rPr>
              <w:t>84,962</w:t>
            </w:r>
          </w:p>
        </w:tc>
        <w:tc>
          <w:tcPr>
            <w:tcW w:w="156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(5.4)%</w:t>
            </w:r>
          </w:p>
        </w:tc>
        <w:tc>
          <w:tcPr>
            <w:tcW w:w="142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7.7%</w:t>
            </w:r>
          </w:p>
        </w:tc>
      </w:tr>
      <w:tr>
        <w:trPr>
          <w:trHeight w:val="189"/>
        </w:trPr>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Net interest income</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2,197,168</w:t>
            </w:r>
          </w:p>
        </w:tc>
        <w:tc>
          <w:tcPr>
            <w:tcW w:w="28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2,364,826</w:t>
            </w:r>
          </w:p>
        </w:tc>
        <w:tc>
          <w:tcPr>
            <w:tcW w:w="2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2,379,300</w:t>
            </w:r>
          </w:p>
        </w:tc>
        <w:tc>
          <w:tcPr>
            <w:tcW w:w="28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0.6</w:t>
            </w:r>
          </w:p>
        </w:tc>
        <w:tc>
          <w:tcPr>
            <w:tcW w:w="3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w:t>
            </w:r>
          </w:p>
        </w:tc>
        <w:tc>
          <w:tcPr>
            <w:tcW w:w="2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w:t>
            </w:r>
          </w:p>
        </w:tc>
      </w:tr>
      <w:tr>
        <w:trPr>
          <w:trHeight w:val="189"/>
        </w:trPr>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Risk-adjusted Net interest income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1,813,957</w:t>
            </w:r>
          </w:p>
        </w:tc>
        <w:tc>
          <w:tcPr>
            <w:tcW w:w="28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1,853,166</w:t>
            </w:r>
          </w:p>
        </w:tc>
        <w:tc>
          <w:tcPr>
            <w:tcW w:w="2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1,037,819</w:t>
            </w:r>
          </w:p>
        </w:tc>
        <w:tc>
          <w:tcPr>
            <w:tcW w:w="28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(44.0</w:t>
            </w:r>
          </w:p>
        </w:tc>
        <w:tc>
          <w:tcPr>
            <w:tcW w:w="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(42.8</w:t>
            </w:r>
          </w:p>
        </w:tc>
        <w:tc>
          <w:tcPr>
            <w:tcW w:w="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r>
      <w:tr>
        <w:trPr>
          <w:trHeight w:val="241"/>
        </w:trPr>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Average interest earning assets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168,438,416</w:t>
            </w:r>
          </w:p>
        </w:tc>
        <w:tc>
          <w:tcPr>
            <w:tcW w:w="2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172,401,758</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177,952,973</w:t>
            </w:r>
          </w:p>
        </w:tc>
        <w:tc>
          <w:tcPr>
            <w:tcW w:w="2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t>
            </w:r>
          </w:p>
        </w:tc>
      </w:tr>
      <w:tr>
        <w:trPr>
          <w:trHeight w:val="174"/>
        </w:trPr>
        <w:tc>
          <w:tcPr>
            <w:tcW w:w="378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b w:val="1"/>
                <w:bCs w:val="1"/>
                <w:color w:val="auto"/>
              </w:rPr>
              <w:t>Net interest margin(1)</w:t>
            </w:r>
          </w:p>
        </w:tc>
        <w:tc>
          <w:tcPr>
            <w:tcW w:w="1480" w:type="dxa"/>
            <w:vAlign w:val="bottom"/>
            <w:gridSpan w:val="2"/>
            <w:shd w:val="clear" w:color="auto" w:fill="CCEEFF"/>
          </w:tcPr>
          <w:p>
            <w:pPr>
              <w:jc w:val="right"/>
              <w:ind w:right="120"/>
              <w:spacing w:after="0" w:line="174" w:lineRule="exact"/>
              <w:rPr>
                <w:sz w:val="20"/>
                <w:szCs w:val="20"/>
                <w:color w:val="auto"/>
              </w:rPr>
            </w:pPr>
            <w:r>
              <w:rPr>
                <w:rFonts w:ascii="Arial" w:cs="Arial" w:eastAsia="Arial" w:hAnsi="Arial"/>
                <w:sz w:val="16"/>
                <w:szCs w:val="16"/>
                <w:b w:val="1"/>
                <w:bCs w:val="1"/>
                <w:color w:val="auto"/>
              </w:rPr>
              <w:t>5.22%</w:t>
            </w:r>
          </w:p>
        </w:tc>
        <w:tc>
          <w:tcPr>
            <w:tcW w:w="1500" w:type="dxa"/>
            <w:vAlign w:val="bottom"/>
            <w:gridSpan w:val="2"/>
            <w:shd w:val="clear" w:color="auto" w:fill="CCEEFF"/>
          </w:tcPr>
          <w:p>
            <w:pPr>
              <w:jc w:val="right"/>
              <w:ind w:right="120"/>
              <w:spacing w:after="0" w:line="174" w:lineRule="exact"/>
              <w:rPr>
                <w:sz w:val="20"/>
                <w:szCs w:val="20"/>
                <w:color w:val="auto"/>
              </w:rPr>
            </w:pPr>
            <w:r>
              <w:rPr>
                <w:rFonts w:ascii="Arial" w:cs="Arial" w:eastAsia="Arial" w:hAnsi="Arial"/>
                <w:sz w:val="16"/>
                <w:szCs w:val="16"/>
                <w:b w:val="1"/>
                <w:bCs w:val="1"/>
                <w:color w:val="auto"/>
              </w:rPr>
              <w:t>5.49%</w:t>
            </w:r>
          </w:p>
        </w:tc>
        <w:tc>
          <w:tcPr>
            <w:tcW w:w="2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38"/>
              <w:spacing w:after="0" w:line="174" w:lineRule="exact"/>
              <w:rPr>
                <w:sz w:val="20"/>
                <w:szCs w:val="20"/>
                <w:color w:val="auto"/>
              </w:rPr>
            </w:pPr>
            <w:r>
              <w:rPr>
                <w:rFonts w:ascii="Arial" w:cs="Arial" w:eastAsia="Arial" w:hAnsi="Arial"/>
                <w:sz w:val="16"/>
                <w:szCs w:val="16"/>
                <w:b w:val="1"/>
                <w:bCs w:val="1"/>
                <w:color w:val="auto"/>
              </w:rPr>
              <w:t>5.35%</w:t>
            </w:r>
          </w:p>
        </w:tc>
        <w:tc>
          <w:tcPr>
            <w:tcW w:w="118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b w:val="1"/>
                <w:bCs w:val="1"/>
                <w:color w:val="auto"/>
              </w:rPr>
              <w:t>(14)</w:t>
            </w:r>
          </w:p>
        </w:tc>
        <w:tc>
          <w:tcPr>
            <w:tcW w:w="380" w:type="dxa"/>
            <w:vAlign w:val="bottom"/>
            <w:shd w:val="clear" w:color="auto" w:fill="CCEEFF"/>
          </w:tcPr>
          <w:p>
            <w:pPr>
              <w:jc w:val="right"/>
              <w:ind w:right="58"/>
              <w:spacing w:after="0" w:line="173" w:lineRule="exact"/>
              <w:rPr>
                <w:sz w:val="20"/>
                <w:szCs w:val="20"/>
                <w:color w:val="auto"/>
              </w:rPr>
            </w:pPr>
            <w:r>
              <w:rPr>
                <w:rFonts w:ascii="Arial" w:cs="Arial" w:eastAsia="Arial" w:hAnsi="Arial"/>
                <w:sz w:val="16"/>
                <w:szCs w:val="16"/>
                <w:b w:val="1"/>
                <w:bCs w:val="1"/>
                <w:color w:val="auto"/>
                <w:w w:val="77"/>
              </w:rPr>
              <w:t>bps</w:t>
            </w:r>
          </w:p>
        </w:tc>
        <w:tc>
          <w:tcPr>
            <w:tcW w:w="118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b w:val="1"/>
                <w:bCs w:val="1"/>
                <w:color w:val="auto"/>
              </w:rPr>
              <w:t>(4)</w:t>
            </w:r>
          </w:p>
        </w:tc>
        <w:tc>
          <w:tcPr>
            <w:tcW w:w="24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w w:val="77"/>
              </w:rPr>
              <w:t>bps</w:t>
            </w:r>
          </w:p>
        </w:tc>
      </w:tr>
      <w:tr>
        <w:trPr>
          <w:trHeight w:val="197"/>
        </w:trPr>
        <w:tc>
          <w:tcPr>
            <w:tcW w:w="3780" w:type="dxa"/>
            <w:vAlign w:val="bottom"/>
            <w:gridSpan w:val="2"/>
          </w:tcPr>
          <w:p>
            <w:pPr>
              <w:spacing w:after="0"/>
              <w:rPr>
                <w:sz w:val="20"/>
                <w:szCs w:val="20"/>
                <w:color w:val="auto"/>
              </w:rPr>
            </w:pPr>
            <w:r>
              <w:rPr>
                <w:rFonts w:ascii="Arial" w:cs="Arial" w:eastAsia="Arial" w:hAnsi="Arial"/>
                <w:sz w:val="16"/>
                <w:szCs w:val="16"/>
                <w:b w:val="1"/>
                <w:bCs w:val="1"/>
                <w:color w:val="auto"/>
              </w:rPr>
              <w:t>NIM on loans(1)</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7.38%</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7.85%</w:t>
            </w:r>
          </w:p>
        </w:tc>
        <w:tc>
          <w:tcPr>
            <w:tcW w:w="220" w:type="dxa"/>
            <w:vAlign w:val="bottom"/>
          </w:tcPr>
          <w:p>
            <w:pPr>
              <w:spacing w:after="0"/>
              <w:rPr>
                <w:sz w:val="17"/>
                <w:szCs w:val="17"/>
                <w:color w:val="auto"/>
              </w:rPr>
            </w:pPr>
          </w:p>
        </w:tc>
        <w:tc>
          <w:tcPr>
            <w:tcW w:w="1280" w:type="dxa"/>
            <w:vAlign w:val="bottom"/>
            <w:gridSpan w:val="2"/>
          </w:tcPr>
          <w:p>
            <w:pPr>
              <w:jc w:val="right"/>
              <w:ind w:right="38"/>
              <w:spacing w:after="0"/>
              <w:rPr>
                <w:sz w:val="20"/>
                <w:szCs w:val="20"/>
                <w:color w:val="auto"/>
              </w:rPr>
            </w:pPr>
            <w:r>
              <w:rPr>
                <w:rFonts w:ascii="Arial" w:cs="Arial" w:eastAsia="Arial" w:hAnsi="Arial"/>
                <w:sz w:val="16"/>
                <w:szCs w:val="16"/>
                <w:b w:val="1"/>
                <w:bCs w:val="1"/>
                <w:color w:val="auto"/>
              </w:rPr>
              <w:t>7.61%</w:t>
            </w:r>
          </w:p>
        </w:tc>
        <w:tc>
          <w:tcPr>
            <w:tcW w:w="1560" w:type="dxa"/>
            <w:vAlign w:val="bottom"/>
            <w:gridSpan w:val="2"/>
          </w:tcPr>
          <w:p>
            <w:pPr>
              <w:jc w:val="right"/>
              <w:ind w:right="58"/>
              <w:spacing w:after="0"/>
              <w:rPr>
                <w:sz w:val="20"/>
                <w:szCs w:val="20"/>
                <w:color w:val="auto"/>
              </w:rPr>
            </w:pPr>
            <w:r>
              <w:rPr>
                <w:rFonts w:ascii="Arial" w:cs="Arial" w:eastAsia="Arial" w:hAnsi="Arial"/>
                <w:sz w:val="16"/>
                <w:szCs w:val="16"/>
                <w:b w:val="1"/>
                <w:bCs w:val="1"/>
                <w:color w:val="auto"/>
              </w:rPr>
              <w:t>(24)bps</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23bps</w:t>
            </w:r>
          </w:p>
        </w:tc>
      </w:tr>
      <w:tr>
        <w:trPr>
          <w:trHeight w:val="197"/>
        </w:trPr>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Risk-adjusted Net interest margin(1)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4.31%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4.30%</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2.33%</w:t>
            </w:r>
          </w:p>
        </w:tc>
        <w:tc>
          <w:tcPr>
            <w:tcW w:w="156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(197)bps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(212)bps</w:t>
            </w:r>
          </w:p>
        </w:tc>
      </w:tr>
      <w:tr>
        <w:trPr>
          <w:trHeight w:val="180"/>
        </w:trPr>
        <w:tc>
          <w:tcPr>
            <w:tcW w:w="3780" w:type="dxa"/>
            <w:vAlign w:val="bottom"/>
            <w:gridSpan w:val="2"/>
          </w:tcPr>
          <w:p>
            <w:pPr>
              <w:spacing w:after="0" w:line="180" w:lineRule="exact"/>
              <w:rPr>
                <w:sz w:val="20"/>
                <w:szCs w:val="20"/>
                <w:color w:val="auto"/>
              </w:rPr>
            </w:pPr>
            <w:r>
              <w:rPr>
                <w:rFonts w:ascii="Arial" w:cs="Arial" w:eastAsia="Arial" w:hAnsi="Arial"/>
                <w:sz w:val="16"/>
                <w:szCs w:val="16"/>
                <w:b w:val="1"/>
                <w:bCs w:val="1"/>
                <w:color w:val="auto"/>
              </w:rPr>
              <w:t>Net provisions for loan losses / Net interest</w:t>
            </w: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2"/>
        </w:trPr>
        <w:tc>
          <w:tcPr>
            <w:tcW w:w="3780" w:type="dxa"/>
            <w:vAlign w:val="bottom"/>
            <w:gridSpan w:val="2"/>
          </w:tcPr>
          <w:p>
            <w:pPr>
              <w:ind w:left="160"/>
              <w:spacing w:after="0"/>
              <w:rPr>
                <w:sz w:val="20"/>
                <w:szCs w:val="20"/>
                <w:color w:val="auto"/>
              </w:rPr>
            </w:pPr>
            <w:r>
              <w:rPr>
                <w:rFonts w:ascii="Arial" w:cs="Arial" w:eastAsia="Arial" w:hAnsi="Arial"/>
                <w:sz w:val="16"/>
                <w:szCs w:val="16"/>
                <w:b w:val="1"/>
                <w:bCs w:val="1"/>
                <w:color w:val="auto"/>
              </w:rPr>
              <w:t>income(1)</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17.44%</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21.64%</w:t>
            </w:r>
          </w:p>
        </w:tc>
        <w:tc>
          <w:tcPr>
            <w:tcW w:w="220" w:type="dxa"/>
            <w:vAlign w:val="bottom"/>
          </w:tcPr>
          <w:p>
            <w:pPr>
              <w:spacing w:after="0"/>
              <w:rPr>
                <w:sz w:val="18"/>
                <w:szCs w:val="18"/>
                <w:color w:val="auto"/>
              </w:rPr>
            </w:pPr>
          </w:p>
        </w:tc>
        <w:tc>
          <w:tcPr>
            <w:tcW w:w="1280" w:type="dxa"/>
            <w:vAlign w:val="bottom"/>
            <w:gridSpan w:val="2"/>
          </w:tcPr>
          <w:p>
            <w:pPr>
              <w:jc w:val="right"/>
              <w:ind w:right="38"/>
              <w:spacing w:after="0"/>
              <w:rPr>
                <w:sz w:val="20"/>
                <w:szCs w:val="20"/>
                <w:color w:val="auto"/>
              </w:rPr>
            </w:pPr>
            <w:r>
              <w:rPr>
                <w:rFonts w:ascii="Arial" w:cs="Arial" w:eastAsia="Arial" w:hAnsi="Arial"/>
                <w:sz w:val="16"/>
                <w:szCs w:val="16"/>
                <w:b w:val="1"/>
                <w:bCs w:val="1"/>
                <w:color w:val="auto"/>
              </w:rPr>
              <w:t>56.38%</w:t>
            </w:r>
          </w:p>
        </w:tc>
        <w:tc>
          <w:tcPr>
            <w:tcW w:w="1560" w:type="dxa"/>
            <w:vAlign w:val="bottom"/>
            <w:gridSpan w:val="2"/>
          </w:tcPr>
          <w:p>
            <w:pPr>
              <w:jc w:val="right"/>
              <w:ind w:right="58"/>
              <w:spacing w:after="0"/>
              <w:rPr>
                <w:sz w:val="20"/>
                <w:szCs w:val="20"/>
                <w:color w:val="auto"/>
              </w:rPr>
            </w:pPr>
            <w:r>
              <w:rPr>
                <w:rFonts w:ascii="Arial" w:cs="Arial" w:eastAsia="Arial" w:hAnsi="Arial"/>
                <w:sz w:val="16"/>
                <w:szCs w:val="16"/>
                <w:b w:val="1"/>
                <w:bCs w:val="1"/>
                <w:color w:val="auto"/>
              </w:rPr>
              <w:t>3,474bps</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3,894bps</w:t>
            </w:r>
          </w:p>
        </w:tc>
      </w:tr>
      <w:tr>
        <w:trPr>
          <w:trHeight w:val="271"/>
        </w:trPr>
        <w:tc>
          <w:tcPr>
            <w:tcW w:w="2820" w:type="dxa"/>
            <w:vAlign w:val="bottom"/>
            <w:tcBorders>
              <w:bottom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49"/>
        </w:trPr>
        <w:tc>
          <w:tcPr>
            <w:tcW w:w="3780" w:type="dxa"/>
            <w:vAlign w:val="bottom"/>
            <w:gridSpan w:val="2"/>
          </w:tcPr>
          <w:p>
            <w:pPr>
              <w:spacing w:after="0"/>
              <w:rPr>
                <w:sz w:val="20"/>
                <w:szCs w:val="20"/>
                <w:color w:val="auto"/>
              </w:rPr>
            </w:pPr>
            <w:r>
              <w:rPr>
                <w:rFonts w:ascii="Arial" w:cs="Arial" w:eastAsia="Arial" w:hAnsi="Arial"/>
                <w:sz w:val="16"/>
                <w:szCs w:val="16"/>
                <w:color w:val="auto"/>
              </w:rPr>
              <w:t>(1)  Annualized.</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393"/>
        </w:trPr>
        <w:tc>
          <w:tcPr>
            <w:tcW w:w="3780" w:type="dxa"/>
            <w:vAlign w:val="bottom"/>
            <w:gridSpan w:val="2"/>
          </w:tcPr>
          <w:p>
            <w:pPr>
              <w:ind w:left="160"/>
              <w:spacing w:after="0"/>
              <w:rPr>
                <w:sz w:val="20"/>
                <w:szCs w:val="20"/>
                <w:color w:val="auto"/>
              </w:rPr>
            </w:pPr>
            <w:r>
              <w:rPr>
                <w:rFonts w:ascii="Arial" w:cs="Arial" w:eastAsia="Arial" w:hAnsi="Arial"/>
                <w:sz w:val="16"/>
                <w:szCs w:val="16"/>
                <w:b w:val="1"/>
                <w:bCs w:val="1"/>
                <w:i w:val="1"/>
                <w:iCs w:val="1"/>
                <w:color w:val="auto"/>
              </w:rPr>
              <w:t>Interest Income</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82"/>
        </w:trPr>
        <w:tc>
          <w:tcPr>
            <w:tcW w:w="3780" w:type="dxa"/>
            <w:vAlign w:val="bottom"/>
            <w:gridSpan w:val="2"/>
          </w:tcPr>
          <w:p>
            <w:pPr>
              <w:ind w:left="2080"/>
              <w:spacing w:after="0"/>
              <w:rPr>
                <w:sz w:val="20"/>
                <w:szCs w:val="20"/>
                <w:color w:val="auto"/>
              </w:rPr>
            </w:pPr>
            <w:r>
              <w:rPr>
                <w:rFonts w:ascii="Arial" w:cs="Arial" w:eastAsia="Arial" w:hAnsi="Arial"/>
                <w:sz w:val="16"/>
                <w:szCs w:val="16"/>
                <w:b w:val="1"/>
                <w:bCs w:val="1"/>
                <w:color w:val="auto"/>
              </w:rPr>
              <w:t>Interest Income - LC</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4"/>
          </w:tcPr>
          <w:p>
            <w:pPr>
              <w:jc w:val="right"/>
              <w:ind w:right="558"/>
              <w:spacing w:after="0"/>
              <w:rPr>
                <w:sz w:val="20"/>
                <w:szCs w:val="20"/>
                <w:color w:val="auto"/>
              </w:rPr>
            </w:pPr>
            <w:r>
              <w:rPr>
                <w:rFonts w:ascii="Arial" w:cs="Arial" w:eastAsia="Arial" w:hAnsi="Arial"/>
                <w:sz w:val="16"/>
                <w:szCs w:val="16"/>
                <w:b w:val="1"/>
                <w:bCs w:val="1"/>
                <w:color w:val="auto"/>
              </w:rPr>
              <w:t>Interest Income – FC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8"/>
        </w:trPr>
        <w:tc>
          <w:tcPr>
            <w:tcW w:w="3780" w:type="dxa"/>
            <w:vAlign w:val="bottom"/>
            <w:gridSpan w:val="2"/>
          </w:tcPr>
          <w:p>
            <w:pPr>
              <w:ind w:left="2400"/>
              <w:spacing w:after="0"/>
              <w:rPr>
                <w:sz w:val="20"/>
                <w:szCs w:val="20"/>
                <w:color w:val="auto"/>
              </w:rPr>
            </w:pPr>
            <w:r>
              <w:rPr>
                <w:rFonts w:ascii="Arial" w:cs="Arial" w:eastAsia="Arial" w:hAnsi="Arial"/>
                <w:sz w:val="16"/>
                <w:szCs w:val="16"/>
                <w:color w:val="auto"/>
              </w:rPr>
              <w:t>(S/ millions)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40" w:type="dxa"/>
            <w:vAlign w:val="bottom"/>
            <w:gridSpan w:val="3"/>
          </w:tcPr>
          <w:p>
            <w:pPr>
              <w:jc w:val="right"/>
              <w:ind w:right="898"/>
              <w:spacing w:after="0"/>
              <w:rPr>
                <w:sz w:val="20"/>
                <w:szCs w:val="20"/>
                <w:color w:val="auto"/>
              </w:rPr>
            </w:pPr>
            <w:r>
              <w:rPr>
                <w:rFonts w:ascii="Arial" w:cs="Arial" w:eastAsia="Arial" w:hAnsi="Arial"/>
                <w:sz w:val="16"/>
                <w:szCs w:val="16"/>
                <w:color w:val="auto"/>
              </w:rPr>
              <w:t>(S/ millions)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635</wp:posOffset>
            </wp:positionV>
            <wp:extent cx="5943600" cy="15284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43600" cy="152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4385"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77" w:name="page178"/>
    <w:bookmarkEnd w:id="177"/>
    <w:p>
      <w:pPr>
        <w:ind w:right="40" w:firstLine="295"/>
        <w:spacing w:after="0" w:line="266" w:lineRule="auto"/>
        <w:rPr>
          <w:sz w:val="20"/>
          <w:szCs w:val="20"/>
          <w:color w:val="auto"/>
        </w:rPr>
      </w:pPr>
      <w:r>
        <w:rPr>
          <w:rFonts w:ascii="Arial" w:cs="Arial" w:eastAsia="Arial" w:hAnsi="Arial"/>
          <w:sz w:val="16"/>
          <w:szCs w:val="16"/>
          <w:color w:val="auto"/>
        </w:rPr>
        <w:t>Comparing the three months ended March 31, 2020 and December 31, 2019, the 0.3% decrease in interest income was primarily attributable to a decrease of 28.6% in interest on deposits in other banks in connection with a decrease in international interest. This decrease was also associated, to a lesser extent, with the release of FC reserves, which led to a decrease in the balance of available funds in FC of 3.5% and to a decrease in the rate of return on legal reserves in FC. As a result, interest income on deposits in other banks in FC decreased 31.1%.</w:t>
      </w:r>
    </w:p>
    <w:p>
      <w:pPr>
        <w:spacing w:after="0" w:line="167" w:lineRule="exact"/>
        <w:rPr>
          <w:sz w:val="20"/>
          <w:szCs w:val="20"/>
          <w:color w:val="auto"/>
        </w:rPr>
      </w:pPr>
    </w:p>
    <w:p>
      <w:pPr>
        <w:ind w:right="340" w:firstLine="295"/>
        <w:spacing w:after="0" w:line="287" w:lineRule="auto"/>
        <w:rPr>
          <w:sz w:val="20"/>
          <w:szCs w:val="20"/>
          <w:color w:val="auto"/>
        </w:rPr>
      </w:pPr>
      <w:r>
        <w:rPr>
          <w:rFonts w:ascii="Arial" w:cs="Arial" w:eastAsia="Arial" w:hAnsi="Arial"/>
          <w:sz w:val="16"/>
          <w:szCs w:val="16"/>
          <w:color w:val="auto"/>
        </w:rPr>
        <w:t>Comparing the three months ended March 31, 2020 and 2019, interest income on loans remained mostly stable (increasing 0.1%). This result was attributable to a 0.9% decrease in interest income on LC loans, which was offset by a 3.4% increase in interest income on FC loans.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Comparing the three months ended March 31, 2020 and 2019, interest income increased 5.4%, which outpaced the increase shown in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Growth in interest income was mainly attributable to an increase in interest on loans (8.1%). This expansion was attributable to:</w:t>
      </w:r>
    </w:p>
    <w:p>
      <w:pPr>
        <w:spacing w:after="0" w:line="198" w:lineRule="exact"/>
        <w:rPr>
          <w:sz w:val="20"/>
          <w:szCs w:val="20"/>
          <w:color w:val="auto"/>
        </w:rPr>
      </w:pPr>
    </w:p>
    <w:p>
      <w:pPr>
        <w:ind w:left="720" w:right="40" w:hanging="366"/>
        <w:spacing w:after="0" w:line="271" w:lineRule="auto"/>
        <w:tabs>
          <w:tab w:leader="none" w:pos="72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volume effect, due to an acceleration in the growth of average daily balances in all segments with the exception of Atlantic Security Bank, which translated into growth of 8.0% in total loans. This increase was mainly driven by retail banking, with an increase of 11.0% in average daily loan balances comparing the three months ended March 31, 2020 and 2019.</w:t>
      </w:r>
    </w:p>
    <w:p>
      <w:pPr>
        <w:spacing w:after="0" w:line="162" w:lineRule="exact"/>
        <w:rPr>
          <w:rFonts w:ascii="Arial" w:cs="Arial" w:eastAsia="Arial" w:hAnsi="Arial"/>
          <w:sz w:val="16"/>
          <w:szCs w:val="16"/>
          <w:color w:val="auto"/>
        </w:rPr>
      </w:pPr>
    </w:p>
    <w:p>
      <w:pPr>
        <w:ind w:left="720" w:hanging="366"/>
        <w:spacing w:after="0" w:line="287" w:lineRule="auto"/>
        <w:tabs>
          <w:tab w:leader="none" w:pos="72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mix by segment given that retail banking represented 40.8% of total loans in three months ended March 31, 2020 compared to 39.8% in three months ended March 31, 2019.</w:t>
      </w:r>
    </w:p>
    <w:p>
      <w:pPr>
        <w:spacing w:after="0" w:line="149" w:lineRule="exact"/>
        <w:rPr>
          <w:rFonts w:ascii="Arial" w:cs="Arial" w:eastAsia="Arial" w:hAnsi="Arial"/>
          <w:sz w:val="16"/>
          <w:szCs w:val="16"/>
          <w:color w:val="auto"/>
        </w:rPr>
      </w:pPr>
    </w:p>
    <w:p>
      <w:pPr>
        <w:ind w:left="720" w:right="160" w:hanging="366"/>
        <w:spacing w:after="0" w:line="287" w:lineRule="auto"/>
        <w:tabs>
          <w:tab w:leader="none" w:pos="72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 favorable currency mix, given that growth in average daily balances was primarily attributable to loan expansion of 10.7% in LC loans when comparing the three months ended March 31, 2020 and 2019.</w:t>
      </w:r>
    </w:p>
    <w:p>
      <w:pPr>
        <w:spacing w:after="0" w:line="150" w:lineRule="exact"/>
        <w:rPr>
          <w:sz w:val="20"/>
          <w:szCs w:val="20"/>
          <w:color w:val="auto"/>
        </w:rPr>
      </w:pPr>
    </w:p>
    <w:p>
      <w:pPr>
        <w:ind w:right="300" w:firstLine="295"/>
        <w:spacing w:after="0" w:line="271" w:lineRule="auto"/>
        <w:rPr>
          <w:sz w:val="20"/>
          <w:szCs w:val="20"/>
          <w:color w:val="auto"/>
        </w:rPr>
      </w:pPr>
      <w:r>
        <w:rPr>
          <w:rFonts w:ascii="Arial" w:cs="Arial" w:eastAsia="Arial" w:hAnsi="Arial"/>
          <w:sz w:val="16"/>
          <w:szCs w:val="16"/>
          <w:color w:val="auto"/>
        </w:rPr>
        <w:t>The increases described above were partially offset by a decrease in income from deposits in other banks due to a decrease in local and international interest. In addition, the BCRP’s release of legal reserves in LC and FC to inject liquidity to combat the economic consequences of COVID-19 reduced the balances of deposits in others banks.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Interest Expenses</w:t>
      </w:r>
    </w:p>
    <w:p>
      <w:pPr>
        <w:sectPr>
          <w:pgSz w:w="11900" w:h="16838" w:orient="portrait"/>
          <w:cols w:equalWidth="0" w:num="1">
            <w:col w:w="11240"/>
          </w:cols>
          <w:pgMar w:left="320" w:top="324" w:right="339" w:bottom="1440" w:gutter="0" w:footer="0" w:header="0"/>
        </w:sectPr>
      </w:pPr>
    </w:p>
    <w:p>
      <w:pPr>
        <w:spacing w:after="0" w:line="205"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Interest Expenses – LC</w:t>
      </w:r>
    </w:p>
    <w:p>
      <w:pPr>
        <w:spacing w:after="0" w:line="51" w:lineRule="exact"/>
        <w:rPr>
          <w:sz w:val="20"/>
          <w:szCs w:val="20"/>
          <w:color w:val="auto"/>
        </w:rPr>
      </w:pPr>
    </w:p>
    <w:p>
      <w:pPr>
        <w:jc w:val="center"/>
        <w:ind w:right="1160"/>
        <w:spacing w:after="0"/>
        <w:rPr>
          <w:sz w:val="20"/>
          <w:szCs w:val="20"/>
          <w:color w:val="auto"/>
        </w:rPr>
      </w:pPr>
      <w:r>
        <w:rPr>
          <w:rFonts w:ascii="Arial" w:cs="Arial" w:eastAsia="Arial" w:hAnsi="Arial"/>
          <w:sz w:val="16"/>
          <w:szCs w:val="16"/>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8890</wp:posOffset>
            </wp:positionV>
            <wp:extent cx="4547235" cy="1403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547235" cy="1403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880"/>
        <w:spacing w:after="0"/>
        <w:rPr>
          <w:sz w:val="20"/>
          <w:szCs w:val="20"/>
          <w:color w:val="auto"/>
        </w:rPr>
      </w:pPr>
      <w:r>
        <w:rPr>
          <w:rFonts w:ascii="Arial" w:cs="Arial" w:eastAsia="Arial" w:hAnsi="Arial"/>
          <w:sz w:val="14"/>
          <w:szCs w:val="14"/>
          <w:b w:val="1"/>
          <w:bCs w:val="1"/>
          <w:color w:val="auto"/>
        </w:rPr>
        <w:t>Interest Expenses – FC</w:t>
      </w:r>
    </w:p>
    <w:p>
      <w:pPr>
        <w:spacing w:after="0" w:line="51"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40005</wp:posOffset>
            </wp:positionV>
            <wp:extent cx="2019935" cy="10839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clrChange>
                        <a:clrFrom>
                          <a:srgbClr val="000000"/>
                        </a:clrFrom>
                        <a:clrTo>
                          <a:srgbClr val="000000">
                            <a:alpha val="0"/>
                          </a:srgbClr>
                        </a:clrTo>
                      </a:clrChange>
                      <a:extLst>
                        <a:ext uri="{28A0092B-C50C-407E-A947-70E740481C1C}"/>
                      </a:extLst>
                    </a:blip>
                    <a:srcRect/>
                    <a:stretch>
                      <a:fillRect/>
                    </a:stretch>
                  </pic:blipFill>
                  <pic:spPr bwMode="auto">
                    <a:xfrm>
                      <a:off x="0" y="0"/>
                      <a:ext cx="2019935" cy="1083945"/>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40005</wp:posOffset>
            </wp:positionV>
            <wp:extent cx="2019935" cy="10839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2019935" cy="10839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20" w:space="720"/>
            <w:col w:w="3500"/>
          </w:cols>
          <w:pgMar w:left="320" w:top="3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40" w:firstLine="295"/>
        <w:spacing w:after="0" w:line="287" w:lineRule="auto"/>
        <w:rPr>
          <w:sz w:val="20"/>
          <w:szCs w:val="20"/>
          <w:color w:val="auto"/>
        </w:rPr>
      </w:pPr>
      <w:r>
        <w:rPr>
          <w:rFonts w:ascii="Arial" w:cs="Arial" w:eastAsia="Arial" w:hAnsi="Arial"/>
          <w:sz w:val="16"/>
          <w:szCs w:val="16"/>
          <w:color w:val="auto"/>
        </w:rPr>
        <w:t>Comparing the three months ended March 31, 2020 and December 31, 2019, interest expenses decreased 2.9%, due primarily to a decrease in interest on bonds and subordinated notes and, to a lesser extent, to the decrease in interest on loans.</w:t>
      </w:r>
    </w:p>
    <w:p>
      <w:pPr>
        <w:spacing w:after="0" w:line="150" w:lineRule="exact"/>
        <w:rPr>
          <w:sz w:val="20"/>
          <w:szCs w:val="20"/>
          <w:color w:val="auto"/>
        </w:rPr>
      </w:pPr>
    </w:p>
    <w:p>
      <w:pPr>
        <w:ind w:right="60" w:firstLine="295"/>
        <w:spacing w:after="0" w:line="362" w:lineRule="auto"/>
        <w:rPr>
          <w:sz w:val="20"/>
          <w:szCs w:val="20"/>
          <w:color w:val="auto"/>
        </w:rPr>
      </w:pPr>
      <w:r>
        <w:rPr>
          <w:rFonts w:ascii="Arial" w:cs="Arial" w:eastAsia="Arial" w:hAnsi="Arial"/>
          <w:sz w:val="14"/>
          <w:szCs w:val="14"/>
          <w:color w:val="auto"/>
        </w:rPr>
        <w:t>The 5.3% reduction in expenses for bonds and subordinated notes was the result of BCP’s liability management in the third and fourth quarters of 2019. In 2019, BCP issued bonds in LC and FC at very favorable rates which, coupled with expirations and calls for bonds, extended the tenure of BCP’s debt and reduced funding rates.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178" w:name="page179"/>
    <w:bookmarkEnd w:id="178"/>
    <w:p>
      <w:pPr>
        <w:ind w:right="320" w:firstLine="295"/>
        <w:spacing w:after="0" w:line="287" w:lineRule="auto"/>
        <w:rPr>
          <w:sz w:val="20"/>
          <w:szCs w:val="20"/>
          <w:color w:val="auto"/>
        </w:rPr>
      </w:pPr>
      <w:r>
        <w:rPr>
          <w:rFonts w:ascii="Arial" w:cs="Arial" w:eastAsia="Arial" w:hAnsi="Arial"/>
          <w:sz w:val="16"/>
          <w:szCs w:val="16"/>
          <w:color w:val="auto"/>
        </w:rPr>
        <w:t>The decrease of 3.1% in interest expense on loans was attributable to a decrease in interest rates nationally and internationally. Interest payments in LC decreased 3.8%, and payments in FC decreased 1.8%.</w:t>
      </w:r>
    </w:p>
    <w:p>
      <w:pPr>
        <w:spacing w:after="0" w:line="150" w:lineRule="exact"/>
        <w:rPr>
          <w:sz w:val="20"/>
          <w:szCs w:val="20"/>
          <w:color w:val="auto"/>
        </w:rPr>
      </w:pPr>
    </w:p>
    <w:p>
      <w:pPr>
        <w:ind w:right="160" w:firstLine="295"/>
        <w:spacing w:after="0" w:line="322" w:lineRule="auto"/>
        <w:rPr>
          <w:sz w:val="20"/>
          <w:szCs w:val="20"/>
          <w:color w:val="auto"/>
        </w:rPr>
      </w:pPr>
      <w:r>
        <w:rPr>
          <w:rFonts w:ascii="Arial" w:cs="Arial" w:eastAsia="Arial" w:hAnsi="Arial"/>
          <w:sz w:val="15"/>
          <w:szCs w:val="15"/>
          <w:color w:val="auto"/>
        </w:rPr>
        <w:t>Comparing the three months ended March 31, 2020 and 2019, interest expense decreased 2.5%. This was primarily attributable to a decrease in interest expenses on bonds and subordinated notes and also attributable to a decrease in interest expense on loans, which offset an increase in expenses on deposits.</w:t>
      </w:r>
    </w:p>
    <w:p>
      <w:pPr>
        <w:spacing w:after="0" w:line="127" w:lineRule="exact"/>
        <w:rPr>
          <w:sz w:val="20"/>
          <w:szCs w:val="20"/>
          <w:color w:val="auto"/>
        </w:rPr>
      </w:pPr>
    </w:p>
    <w:p>
      <w:pPr>
        <w:jc w:val="both"/>
        <w:ind w:right="140" w:firstLine="295"/>
        <w:spacing w:after="0" w:line="298" w:lineRule="auto"/>
        <w:rPr>
          <w:sz w:val="20"/>
          <w:szCs w:val="20"/>
          <w:color w:val="auto"/>
        </w:rPr>
      </w:pPr>
      <w:r>
        <w:rPr>
          <w:rFonts w:ascii="Arial" w:cs="Arial" w:eastAsia="Arial" w:hAnsi="Arial"/>
          <w:sz w:val="15"/>
          <w:szCs w:val="15"/>
          <w:color w:val="auto"/>
        </w:rPr>
        <w:t>Interest expense on bonds and subordinated notes fell 12.5%, after BCP implemented a debt restructuring strategy in the last two quarters of 2019. This strategy was divided into two phases. During the first phase, BCP carried out a liability management transaction for corporate bonds issued by BCP, in both LC and FC. In the second phase, BCP redeemed a perpetual subordinated debt. As a consequence of these actions, BCP increased the tenor of its debt and reduced interest rates.</w:t>
      </w:r>
    </w:p>
    <w:p>
      <w:pPr>
        <w:spacing w:after="0" w:line="144" w:lineRule="exact"/>
        <w:rPr>
          <w:sz w:val="20"/>
          <w:szCs w:val="20"/>
          <w:color w:val="auto"/>
        </w:rPr>
      </w:pPr>
    </w:p>
    <w:p>
      <w:pPr>
        <w:ind w:right="20" w:firstLine="295"/>
        <w:spacing w:after="0" w:line="287" w:lineRule="auto"/>
        <w:rPr>
          <w:sz w:val="20"/>
          <w:szCs w:val="20"/>
          <w:color w:val="auto"/>
        </w:rPr>
      </w:pPr>
      <w:r>
        <w:rPr>
          <w:rFonts w:ascii="Arial" w:cs="Arial" w:eastAsia="Arial" w:hAnsi="Arial"/>
          <w:sz w:val="16"/>
          <w:szCs w:val="16"/>
          <w:color w:val="auto"/>
        </w:rPr>
        <w:t>Interest expenses on borrowed funds decreased 5.6% in connection with the decrease in interest rates in the international market, which primarily impacted interest on borrowed funds in FC, which fell 22.5% compared to March 31, 2019.</w:t>
      </w:r>
    </w:p>
    <w:p>
      <w:pPr>
        <w:spacing w:after="0" w:line="150" w:lineRule="exact"/>
        <w:rPr>
          <w:sz w:val="20"/>
          <w:szCs w:val="20"/>
          <w:color w:val="auto"/>
        </w:rPr>
      </w:pPr>
    </w:p>
    <w:p>
      <w:pPr>
        <w:ind w:right="120" w:firstLine="295"/>
        <w:spacing w:after="0" w:line="287" w:lineRule="auto"/>
        <w:rPr>
          <w:sz w:val="20"/>
          <w:szCs w:val="20"/>
          <w:color w:val="auto"/>
        </w:rPr>
      </w:pPr>
      <w:r>
        <w:rPr>
          <w:rFonts w:ascii="Arial" w:cs="Arial" w:eastAsia="Arial" w:hAnsi="Arial"/>
          <w:sz w:val="16"/>
          <w:szCs w:val="16"/>
          <w:color w:val="auto"/>
        </w:rPr>
        <w:t>The decrease in interest expense was offset in part by a 2.9% increase in interest on deposits. This increase was mainly driven by an 11.6% increase in the volume of the most expensive deposits, time deposits.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Net Interest Margin (NIM) and Risk-Adjusted NIM</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Credicorp’s NIM and Risk-Adjusted NIM(1)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1859280</wp:posOffset>
            </wp:positionV>
            <wp:extent cx="1786255"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786255" cy="7620"/>
                    </a:xfrm>
                    <a:prstGeom prst="rect">
                      <a:avLst/>
                    </a:prstGeom>
                    <a:noFill/>
                  </pic:spPr>
                </pic:pic>
              </a:graphicData>
            </a:graphic>
          </wp:anchor>
        </w:drawing>
        <w:drawing>
          <wp:anchor simplePos="0" relativeHeight="251657728" behindDoc="1" locked="0" layoutInCell="0" allowOverlap="1">
            <wp:simplePos x="0" y="0"/>
            <wp:positionH relativeFrom="column">
              <wp:posOffset>1137920</wp:posOffset>
            </wp:positionH>
            <wp:positionV relativeFrom="paragraph">
              <wp:posOffset>142875</wp:posOffset>
            </wp:positionV>
            <wp:extent cx="4867275" cy="15443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867275" cy="154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0" w:right="360" w:hanging="196"/>
        <w:spacing w:after="0" w:line="287" w:lineRule="auto"/>
        <w:rPr>
          <w:sz w:val="20"/>
          <w:szCs w:val="20"/>
          <w:color w:val="auto"/>
        </w:rPr>
      </w:pPr>
      <w:r>
        <w:rPr>
          <w:rFonts w:ascii="Arial" w:cs="Arial" w:eastAsia="Arial" w:hAnsi="Arial"/>
          <w:sz w:val="16"/>
          <w:szCs w:val="16"/>
          <w:color w:val="auto"/>
        </w:rPr>
        <w:t>(1)Starting in the first quarter of 2017, we exclude derivatives from the NII result. For comparative purposes, figures starting from the first quarter of 2016 have been recalculated with the new methodology</w:t>
      </w:r>
    </w:p>
    <w:p>
      <w:pPr>
        <w:spacing w:after="0" w:line="346" w:lineRule="exact"/>
        <w:rPr>
          <w:sz w:val="20"/>
          <w:szCs w:val="20"/>
          <w:color w:val="auto"/>
        </w:rPr>
      </w:pPr>
    </w:p>
    <w:p>
      <w:pPr>
        <w:ind w:right="180" w:firstLine="295"/>
        <w:spacing w:after="0" w:line="287" w:lineRule="auto"/>
        <w:rPr>
          <w:sz w:val="20"/>
          <w:szCs w:val="20"/>
          <w:color w:val="auto"/>
        </w:rPr>
      </w:pPr>
      <w:r>
        <w:rPr>
          <w:rFonts w:ascii="Arial" w:cs="Arial" w:eastAsia="Arial" w:hAnsi="Arial"/>
          <w:sz w:val="16"/>
          <w:szCs w:val="16"/>
          <w:color w:val="auto"/>
        </w:rPr>
        <w:t>NIM decreased when comparing the three months ended March 31, 2020 and December 31, 2019 and when comparing the three months ended March 31, 2020 and 2019. This decrease was attributable to:</w:t>
      </w:r>
    </w:p>
    <w:p>
      <w:pPr>
        <w:spacing w:after="0" w:line="150" w:lineRule="exact"/>
        <w:rPr>
          <w:sz w:val="20"/>
          <w:szCs w:val="20"/>
          <w:color w:val="auto"/>
        </w:rPr>
      </w:pPr>
    </w:p>
    <w:p>
      <w:pPr>
        <w:ind w:left="720" w:hanging="366"/>
        <w:spacing w:after="0"/>
        <w:tabs>
          <w:tab w:leader="none" w:pos="72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The increase in average interest-earning assets of 3.2% and 9.1% with regard to the three months ended March 31, 2020 and December 31, 2019, respectively.</w:t>
      </w:r>
    </w:p>
    <w:p>
      <w:pPr>
        <w:spacing w:after="0" w:line="232" w:lineRule="exact"/>
        <w:rPr>
          <w:rFonts w:ascii="Arial" w:cs="Arial" w:eastAsia="Arial" w:hAnsi="Arial"/>
          <w:sz w:val="14"/>
          <w:szCs w:val="14"/>
          <w:color w:val="auto"/>
        </w:rPr>
      </w:pPr>
    </w:p>
    <w:p>
      <w:pPr>
        <w:ind w:left="720" w:right="400" w:hanging="366"/>
        <w:spacing w:after="0" w:line="287" w:lineRule="auto"/>
        <w:tabs>
          <w:tab w:leader="none" w:pos="72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Slower growth in net interest income, despite lower interest expenses, which was primarily attributable to an improvement in the funding structure, where deposits now account for a larger share of the funding structure.</w:t>
      </w:r>
    </w:p>
    <w:p>
      <w:pPr>
        <w:spacing w:after="0" w:line="150" w:lineRule="exact"/>
        <w:rPr>
          <w:sz w:val="20"/>
          <w:szCs w:val="20"/>
          <w:color w:val="auto"/>
        </w:rPr>
      </w:pPr>
    </w:p>
    <w:p>
      <w:pPr>
        <w:ind w:right="20" w:firstLine="295"/>
        <w:spacing w:after="0" w:line="271" w:lineRule="auto"/>
        <w:rPr>
          <w:sz w:val="20"/>
          <w:szCs w:val="20"/>
          <w:color w:val="auto"/>
        </w:rPr>
      </w:pPr>
      <w:r>
        <w:rPr>
          <w:rFonts w:ascii="Arial" w:cs="Arial" w:eastAsia="Arial" w:hAnsi="Arial"/>
          <w:sz w:val="16"/>
          <w:szCs w:val="16"/>
          <w:color w:val="auto"/>
        </w:rPr>
        <w:t>Risk-adjusted NIM as of March 31, 2020 fell 197 basis points compared to the three months ended December 31, 2019 and fell 212 basis points compared to the three months ended March 31, 2019, which was attributable to an increase in provisions after expectations for economic growth in Peru decreased due to the COVID-19 pandemic and the government’s decision to restrict movement in the country to slow the virus’s spread.</w:t>
      </w:r>
    </w:p>
    <w:p>
      <w:pPr>
        <w:spacing w:after="0" w:line="163" w:lineRule="exact"/>
        <w:rPr>
          <w:sz w:val="20"/>
          <w:szCs w:val="20"/>
          <w:color w:val="auto"/>
        </w:rPr>
      </w:pPr>
    </w:p>
    <w:p>
      <w:pPr>
        <w:ind w:firstLine="295"/>
        <w:spacing w:after="0" w:line="289" w:lineRule="auto"/>
        <w:rPr>
          <w:sz w:val="20"/>
          <w:szCs w:val="20"/>
          <w:color w:val="auto"/>
        </w:rPr>
      </w:pPr>
      <w:r>
        <w:rPr>
          <w:rFonts w:ascii="Arial" w:cs="Arial" w:eastAsia="Arial" w:hAnsi="Arial"/>
          <w:sz w:val="15"/>
          <w:szCs w:val="15"/>
          <w:color w:val="auto"/>
        </w:rPr>
        <w:t>NIM on loans as of March 31, 2020 decreased 24 basis points compared to the three months ended December 31, 2019. This decrease was attributable to a decrease in market interest rates in three months ended March 31, 2020 in both LC and FC. This decrease was attributable to government initiatives taken in an effort to stimulate economic activity in the context of the COVID-19 pandemic. When comparing the three months ended March 31, 2020 to the corresponding period of 2019, the NIM on loans increased after new pricing strategies were implemented in retail banking and at Mibanco to cover higher risks assumed in 2019.</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4385"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79" w:name="page180"/>
    <w:bookmarkEnd w:id="179"/>
    <w:p>
      <w:pPr>
        <w:ind w:left="2"/>
        <w:spacing w:after="0"/>
        <w:rPr>
          <w:sz w:val="20"/>
          <w:szCs w:val="20"/>
          <w:color w:val="auto"/>
        </w:rPr>
      </w:pPr>
      <w:r>
        <w:rPr>
          <w:rFonts w:ascii="Arial" w:cs="Arial" w:eastAsia="Arial" w:hAnsi="Arial"/>
          <w:sz w:val="16"/>
          <w:szCs w:val="16"/>
          <w:b w:val="1"/>
          <w:bCs w:val="1"/>
          <w:color w:val="auto"/>
        </w:rPr>
        <w:t>NIM on loans(1)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1274445</wp:posOffset>
            </wp:positionV>
            <wp:extent cx="1786255"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862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18415</wp:posOffset>
            </wp:positionV>
            <wp:extent cx="1669415" cy="10839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669415" cy="1083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2" w:hanging="302"/>
        <w:spacing w:after="0"/>
        <w:tabs>
          <w:tab w:leader="none" w:pos="30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NIM on loans is calculated as follows: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5" w:lineRule="exact"/>
        <w:rPr>
          <w:rFonts w:ascii="Arial" w:cs="Arial" w:eastAsia="Arial" w:hAnsi="Arial"/>
          <w:sz w:val="16"/>
          <w:szCs w:val="16"/>
          <w:color w:val="auto"/>
        </w:rPr>
      </w:pPr>
    </w:p>
    <w:p>
      <w:pPr>
        <w:ind w:left="302"/>
        <w:spacing w:after="0"/>
        <w:rPr>
          <w:rFonts w:ascii="Arial" w:cs="Arial" w:eastAsia="Arial" w:hAnsi="Arial"/>
          <w:sz w:val="16"/>
          <w:szCs w:val="16"/>
          <w:color w:val="auto"/>
        </w:rPr>
      </w:pPr>
      <w:r>
        <w:rPr>
          <w:rFonts w:ascii="Arial" w:cs="Arial" w:eastAsia="Arial" w:hAnsi="Arial"/>
          <w:sz w:val="16"/>
          <w:szCs w:val="16"/>
          <w:color w:val="auto"/>
        </w:rPr>
        <w:t>The table below contains the interest margins at each of Credicorp’s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-607695</wp:posOffset>
            </wp:positionV>
            <wp:extent cx="4453890" cy="3429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453890" cy="342900"/>
                    </a:xfrm>
                    <a:prstGeom prst="rect">
                      <a:avLst/>
                    </a:prstGeom>
                    <a:noFill/>
                  </pic:spPr>
                </pic:pic>
              </a:graphicData>
            </a:graphic>
          </wp:anchor>
        </w:drawing>
      </w:r>
    </w:p>
    <w:p>
      <w:pPr>
        <w:spacing w:after="0" w:line="185"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BCP</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BCP</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5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NIM Breakdown</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Stand-alone</w:t>
            </w:r>
          </w:p>
        </w:tc>
        <w:tc>
          <w:tcPr>
            <w:tcW w:w="2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Mibanco</w:t>
            </w:r>
          </w:p>
        </w:tc>
        <w:tc>
          <w:tcPr>
            <w:tcW w:w="2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Bolivia</w:t>
            </w:r>
          </w:p>
        </w:tc>
        <w:tc>
          <w:tcPr>
            <w:tcW w:w="2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Credicorp(1)</w:t>
            </w:r>
          </w:p>
        </w:tc>
        <w:tc>
          <w:tcPr>
            <w:tcW w:w="140" w:type="dxa"/>
            <w:vAlign w:val="bottom"/>
            <w:tcBorders>
              <w:bottom w:val="single" w:sz="8" w:color="CCEEFF"/>
            </w:tcBorders>
          </w:tcPr>
          <w:p>
            <w:pPr>
              <w:spacing w:after="0"/>
              <w:rPr>
                <w:sz w:val="18"/>
                <w:szCs w:val="18"/>
                <w:color w:val="auto"/>
              </w:rPr>
            </w:pPr>
          </w:p>
        </w:tc>
      </w:tr>
      <w:tr>
        <w:trPr>
          <w:trHeight w:val="190"/>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Year ended December 31, 2017</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15.71%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5.29%</w:t>
            </w:r>
          </w:p>
        </w:tc>
      </w:tr>
      <w:tr>
        <w:trPr>
          <w:trHeight w:val="197"/>
        </w:trPr>
        <w:tc>
          <w:tcPr>
            <w:tcW w:w="5420" w:type="dxa"/>
            <w:vAlign w:val="bottom"/>
            <w:gridSpan w:val="2"/>
          </w:tcPr>
          <w:p>
            <w:pPr>
              <w:spacing w:after="0"/>
              <w:rPr>
                <w:sz w:val="20"/>
                <w:szCs w:val="20"/>
                <w:color w:val="auto"/>
              </w:rPr>
            </w:pPr>
            <w:r>
              <w:rPr>
                <w:rFonts w:ascii="Arial" w:cs="Arial" w:eastAsia="Arial" w:hAnsi="Arial"/>
                <w:sz w:val="16"/>
                <w:szCs w:val="16"/>
                <w:color w:val="auto"/>
              </w:rPr>
              <w:t>Year ended December 31, 2018</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4.53%</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15.64%</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3.69%</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5.28%</w:t>
            </w:r>
          </w:p>
        </w:tc>
      </w:tr>
      <w:tr>
        <w:trPr>
          <w:trHeight w:val="197"/>
        </w:trPr>
        <w:tc>
          <w:tcPr>
            <w:tcW w:w="5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Year ended December 31, 2019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14.89%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5.40%</w:t>
            </w:r>
          </w:p>
        </w:tc>
      </w:tr>
      <w:tr>
        <w:trPr>
          <w:trHeight w:val="197"/>
        </w:trPr>
        <w:tc>
          <w:tcPr>
            <w:tcW w:w="5420" w:type="dxa"/>
            <w:vAlign w:val="bottom"/>
            <w:gridSpan w:val="2"/>
          </w:tcPr>
          <w:p>
            <w:pPr>
              <w:spacing w:after="0"/>
              <w:rPr>
                <w:sz w:val="20"/>
                <w:szCs w:val="20"/>
                <w:color w:val="auto"/>
              </w:rPr>
            </w:pPr>
            <w:r>
              <w:rPr>
                <w:rFonts w:ascii="Arial" w:cs="Arial" w:eastAsia="Arial" w:hAnsi="Arial"/>
                <w:sz w:val="16"/>
                <w:szCs w:val="16"/>
                <w:color w:val="auto"/>
              </w:rPr>
              <w:t>Three Months ended March 31, 2019</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4.74%</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14.70%</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3.52%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5.39%</w:t>
            </w:r>
          </w:p>
        </w:tc>
      </w:tr>
      <w:tr>
        <w:trPr>
          <w:trHeight w:val="197"/>
        </w:trPr>
        <w:tc>
          <w:tcPr>
            <w:tcW w:w="5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Three Months ended March 31, 2020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15.16%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1786255"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99" w:lineRule="exact"/>
        <w:rPr>
          <w:sz w:val="20"/>
          <w:szCs w:val="20"/>
          <w:color w:val="auto"/>
        </w:rPr>
      </w:pPr>
    </w:p>
    <w:p>
      <w:pPr>
        <w:ind w:left="2"/>
        <w:spacing w:after="0"/>
        <w:rPr>
          <w:sz w:val="20"/>
          <w:szCs w:val="20"/>
          <w:color w:val="auto"/>
        </w:rPr>
      </w:pPr>
      <w:r>
        <w:rPr>
          <w:rFonts w:ascii="Arial" w:cs="Arial" w:eastAsia="Arial" w:hAnsi="Arial"/>
          <w:sz w:val="16"/>
          <w:szCs w:val="16"/>
          <w:color w:val="auto"/>
        </w:rPr>
        <w:t>NIM: Annualized Net interest income / Average period end and period beginning interest earning assets.</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color w:val="auto"/>
        </w:rPr>
        <w:t>(1)  Credicorp also includes Credicorp Capital, Prima, Grupo Credito and Eliminations for consolidation purposes.</w:t>
      </w:r>
    </w:p>
    <w:p>
      <w:pPr>
        <w:spacing w:after="0" w:line="209" w:lineRule="exact"/>
        <w:rPr>
          <w:sz w:val="20"/>
          <w:szCs w:val="20"/>
          <w:color w:val="auto"/>
        </w:rPr>
      </w:pPr>
    </w:p>
    <w:p>
      <w:pPr>
        <w:jc w:val="both"/>
        <w:ind w:left="2" w:right="40" w:firstLine="295"/>
        <w:spacing w:after="0" w:line="271" w:lineRule="auto"/>
        <w:rPr>
          <w:sz w:val="20"/>
          <w:szCs w:val="20"/>
          <w:color w:val="auto"/>
        </w:rPr>
      </w:pPr>
      <w:r>
        <w:rPr>
          <w:rFonts w:ascii="Arial" w:cs="Arial" w:eastAsia="Arial" w:hAnsi="Arial"/>
          <w:sz w:val="16"/>
          <w:szCs w:val="16"/>
          <w:color w:val="auto"/>
        </w:rPr>
        <w:t>When comparing the three months ended March 31, 2020 to the corresponding period of 2019 at the Credicorp level, NIM decreased in line with a decrease in BCP’s NIM, which represents 68% of Credicorp’s consolidated net interest income. This decrease was weighted heavily on Credicorp’s consolidated results and was not offset by the improvement in Mibanco’s NIM.</w:t>
      </w:r>
    </w:p>
    <w:p>
      <w:pPr>
        <w:spacing w:after="0" w:line="163" w:lineRule="exact"/>
        <w:rPr>
          <w:sz w:val="20"/>
          <w:szCs w:val="20"/>
          <w:color w:val="auto"/>
        </w:rPr>
      </w:pPr>
    </w:p>
    <w:p>
      <w:pPr>
        <w:jc w:val="both"/>
        <w:ind w:left="2" w:right="60" w:firstLine="295"/>
        <w:spacing w:after="0" w:line="289" w:lineRule="auto"/>
        <w:rPr>
          <w:sz w:val="20"/>
          <w:szCs w:val="20"/>
          <w:color w:val="auto"/>
        </w:rPr>
      </w:pPr>
      <w:r>
        <w:rPr>
          <w:rFonts w:ascii="Arial" w:cs="Arial" w:eastAsia="Arial" w:hAnsi="Arial"/>
          <w:sz w:val="15"/>
          <w:szCs w:val="15"/>
          <w:color w:val="auto"/>
        </w:rPr>
        <w:t>BCP Stand-alone’s NIM deteriorated four basis points when comparing the three months ended March 31, 2020 to the corresponding period of 2019. The reduction in the margin was driven by lower market rates. This mainly affected the wholesale banking business, which is more sensitive to interest rate movements. BCP Stand-alone’s NIM increased 28 basis points from 4.53% to 4.81% between 2018 and 2019, while between 2017 and 2018 NIM increased by three basis points from 4.50% in 2017. The greater growth from 2018 to 2019 is explained by the increase in retail banking loans, which have higher margins.</w:t>
      </w:r>
    </w:p>
    <w:p>
      <w:pPr>
        <w:spacing w:after="0" w:line="152" w:lineRule="exact"/>
        <w:rPr>
          <w:sz w:val="20"/>
          <w:szCs w:val="20"/>
          <w:color w:val="auto"/>
        </w:rPr>
      </w:pPr>
    </w:p>
    <w:p>
      <w:pPr>
        <w:ind w:left="2" w:right="180" w:firstLine="295"/>
        <w:spacing w:after="0" w:line="266" w:lineRule="auto"/>
        <w:rPr>
          <w:sz w:val="20"/>
          <w:szCs w:val="20"/>
          <w:color w:val="auto"/>
        </w:rPr>
      </w:pPr>
      <w:r>
        <w:rPr>
          <w:rFonts w:ascii="Arial" w:cs="Arial" w:eastAsia="Arial" w:hAnsi="Arial"/>
          <w:sz w:val="16"/>
          <w:szCs w:val="16"/>
          <w:color w:val="auto"/>
        </w:rPr>
        <w:t>Mibanco’s NIM, which represents 20% of our net interest income, increased 46 basis points when comparing the three months ended March 31, 2020 to the corresponding period of 2019 after a new pricing strategy was implemented. The new pricing strategy and other measures allowed for an improvement in disbursement rates during the quarter. In contrast, annual growth has been affected by increased competition in the microfinance market. This caused Mibanco’s NIM to decrease from 15.71% in 2017 to 15.64% in 2018 and to decrease further to 14.89% in 2019.</w:t>
      </w:r>
    </w:p>
    <w:p>
      <w:pPr>
        <w:spacing w:after="0" w:line="167" w:lineRule="exact"/>
        <w:rPr>
          <w:sz w:val="20"/>
          <w:szCs w:val="20"/>
          <w:color w:val="auto"/>
        </w:rPr>
      </w:pPr>
    </w:p>
    <w:p>
      <w:pPr>
        <w:ind w:left="302"/>
        <w:spacing w:after="0"/>
        <w:rPr>
          <w:sz w:val="20"/>
          <w:szCs w:val="20"/>
          <w:color w:val="auto"/>
        </w:rPr>
      </w:pPr>
      <w:r>
        <w:rPr>
          <w:rFonts w:ascii="Arial" w:cs="Arial" w:eastAsia="Arial" w:hAnsi="Arial"/>
          <w:sz w:val="16"/>
          <w:szCs w:val="16"/>
          <w:color w:val="auto"/>
        </w:rPr>
        <w:t>The following table shows the net risk-adjusted margins for each of Credicorp’s main subsidiaries.</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20" w:right="339" w:bottom="1440" w:gutter="0" w:footer="0" w:header="0"/>
        </w:sectPr>
      </w:pPr>
    </w:p>
    <w:bookmarkStart w:id="180" w:name="page181"/>
    <w:bookmarkEnd w:id="180"/>
    <w:tbl>
      <w:tblPr>
        <w:tblLayout w:type="fixed"/>
        <w:tblInd w:w="2"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BCP</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BCP</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5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Risk Adjusted NIM Breakdown</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Stand-alone</w:t>
            </w:r>
          </w:p>
        </w:tc>
        <w:tc>
          <w:tcPr>
            <w:tcW w:w="2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Mibanco</w:t>
            </w:r>
          </w:p>
        </w:tc>
        <w:tc>
          <w:tcPr>
            <w:tcW w:w="2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Bolivia</w:t>
            </w:r>
          </w:p>
        </w:tc>
        <w:tc>
          <w:tcPr>
            <w:tcW w:w="2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Credicorp(1)</w:t>
            </w:r>
          </w:p>
        </w:tc>
        <w:tc>
          <w:tcPr>
            <w:tcW w:w="140" w:type="dxa"/>
            <w:vAlign w:val="bottom"/>
            <w:tcBorders>
              <w:bottom w:val="single" w:sz="8" w:color="CCEEFF"/>
            </w:tcBorders>
          </w:tcPr>
          <w:p>
            <w:pPr>
              <w:spacing w:after="0"/>
              <w:rPr>
                <w:sz w:val="18"/>
                <w:szCs w:val="18"/>
                <w:color w:val="auto"/>
              </w:rPr>
            </w:pPr>
          </w:p>
        </w:tc>
      </w:tr>
      <w:tr>
        <w:trPr>
          <w:trHeight w:val="190"/>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Year ended December 31, 2017</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4.12%</w:t>
            </w:r>
          </w:p>
        </w:tc>
      </w:tr>
      <w:tr>
        <w:trPr>
          <w:trHeight w:val="197"/>
        </w:trPr>
        <w:tc>
          <w:tcPr>
            <w:tcW w:w="5420" w:type="dxa"/>
            <w:vAlign w:val="bottom"/>
            <w:gridSpan w:val="2"/>
          </w:tcPr>
          <w:p>
            <w:pPr>
              <w:spacing w:after="0"/>
              <w:rPr>
                <w:sz w:val="20"/>
                <w:szCs w:val="20"/>
                <w:color w:val="auto"/>
              </w:rPr>
            </w:pPr>
            <w:r>
              <w:rPr>
                <w:rFonts w:ascii="Arial" w:cs="Arial" w:eastAsia="Arial" w:hAnsi="Arial"/>
                <w:sz w:val="16"/>
                <w:szCs w:val="16"/>
                <w:color w:val="auto"/>
              </w:rPr>
              <w:t>Year ended December 31, 2018</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3.69%</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12.20%</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3.07%</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4.33%</w:t>
            </w:r>
          </w:p>
        </w:tc>
      </w:tr>
      <w:tr>
        <w:trPr>
          <w:trHeight w:val="197"/>
        </w:trPr>
        <w:tc>
          <w:tcPr>
            <w:tcW w:w="5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Year ended December 31, 2019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4.30%</w:t>
            </w:r>
          </w:p>
        </w:tc>
      </w:tr>
      <w:tr>
        <w:trPr>
          <w:trHeight w:val="197"/>
        </w:trPr>
        <w:tc>
          <w:tcPr>
            <w:tcW w:w="5420" w:type="dxa"/>
            <w:vAlign w:val="bottom"/>
            <w:gridSpan w:val="2"/>
          </w:tcPr>
          <w:p>
            <w:pPr>
              <w:spacing w:after="0"/>
              <w:rPr>
                <w:sz w:val="20"/>
                <w:szCs w:val="20"/>
                <w:color w:val="auto"/>
              </w:rPr>
            </w:pPr>
            <w:r>
              <w:rPr>
                <w:rFonts w:ascii="Arial" w:cs="Arial" w:eastAsia="Arial" w:hAnsi="Arial"/>
                <w:sz w:val="16"/>
                <w:szCs w:val="16"/>
                <w:color w:val="auto"/>
              </w:rPr>
              <w:t>Three Months ended March 31, 2019</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3.86%</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11.86%</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2.86%</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4.45%</w:t>
            </w:r>
          </w:p>
        </w:tc>
      </w:tr>
      <w:tr>
        <w:trPr>
          <w:trHeight w:val="197"/>
        </w:trPr>
        <w:tc>
          <w:tcPr>
            <w:tcW w:w="5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Three Months ended March 31, 2020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9.54%</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1786255"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87" w:lineRule="exact"/>
        <w:rPr>
          <w:sz w:val="20"/>
          <w:szCs w:val="20"/>
          <w:color w:val="auto"/>
        </w:rPr>
      </w:pPr>
    </w:p>
    <w:p>
      <w:pPr>
        <w:ind w:left="2"/>
        <w:spacing w:after="0"/>
        <w:rPr>
          <w:sz w:val="20"/>
          <w:szCs w:val="20"/>
          <w:color w:val="auto"/>
        </w:rPr>
      </w:pPr>
      <w:r>
        <w:rPr>
          <w:rFonts w:ascii="Arial" w:cs="Arial" w:eastAsia="Arial" w:hAnsi="Arial"/>
          <w:sz w:val="16"/>
          <w:szCs w:val="16"/>
          <w:color w:val="auto"/>
        </w:rPr>
        <w:t>Risk-Adjusted NIM: (Annualized Net interest income less annualized provisions) / Average period end and period beginning interest earning assets.</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color w:val="auto"/>
        </w:rPr>
        <w:t>(1)  Credicorp also includes Credicorp Capital, Prima, Grupo Credito and Eliminations for consolidation purposes.</w:t>
      </w:r>
    </w:p>
    <w:p>
      <w:pPr>
        <w:spacing w:after="0" w:line="209" w:lineRule="exact"/>
        <w:rPr>
          <w:sz w:val="20"/>
          <w:szCs w:val="20"/>
          <w:color w:val="auto"/>
        </w:rPr>
      </w:pPr>
    </w:p>
    <w:p>
      <w:pPr>
        <w:ind w:left="2" w:right="20" w:firstLine="295"/>
        <w:spacing w:after="0" w:line="260" w:lineRule="auto"/>
        <w:rPr>
          <w:sz w:val="20"/>
          <w:szCs w:val="20"/>
          <w:color w:val="auto"/>
        </w:rPr>
      </w:pPr>
      <w:r>
        <w:rPr>
          <w:rFonts w:ascii="Arial" w:cs="Arial" w:eastAsia="Arial" w:hAnsi="Arial"/>
          <w:sz w:val="16"/>
          <w:szCs w:val="16"/>
          <w:color w:val="auto"/>
        </w:rPr>
        <w:t>Credicorp reported a significant deterioration in the risk-adjusted NIM of 212 basis points when comparing the three months ended March 31, 2020 to the corresponding period of 2019, which reflects deterioration at the main subsidiaries after the cost of risk rose following the change in expectations for economic growth as a consequence of the effects of the COVID-19 pandemic. This caused BCP’s risk-adjusted NIM to decrease 241 basis points when comparing the three months ended March 31, 2020 to the corresponding period of 2019. Mibanco’s risk-adjusted NIM decreased 254 basis points when comparing the three months ended March 31, 2020 to the corresponding period of 2019. BCP Stand-alone’s risk adjusted NIM has increased every year since 2017, going from 3.38% to 3.69% in 2018 and 3.75% in 2019. The lower rate of increase between 2018 and 2019 is due to the strategy to enter into segments that bring higher margins, but have higher associated risks. In contrast, Mibanco’s risk adjusted NIM has deteriorated year-over-year as a consequence of increased market competition, which has led to a decrease of 9 bps between 2017 and 2018 and a decrease of 61 bps between 2018 and 2019.</w:t>
      </w:r>
    </w:p>
    <w:p>
      <w:pPr>
        <w:spacing w:after="0" w:line="174" w:lineRule="exact"/>
        <w:rPr>
          <w:sz w:val="20"/>
          <w:szCs w:val="20"/>
          <w:color w:val="auto"/>
        </w:rPr>
      </w:pPr>
    </w:p>
    <w:p>
      <w:pPr>
        <w:ind w:left="2" w:right="100" w:firstLine="295"/>
        <w:spacing w:after="0" w:line="287" w:lineRule="auto"/>
        <w:rPr>
          <w:sz w:val="20"/>
          <w:szCs w:val="20"/>
          <w:color w:val="auto"/>
        </w:rPr>
      </w:pPr>
      <w:r>
        <w:rPr>
          <w:rFonts w:ascii="Arial" w:cs="Arial" w:eastAsia="Arial" w:hAnsi="Arial"/>
          <w:sz w:val="16"/>
          <w:szCs w:val="16"/>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14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Non-Financial Income</w:t>
      </w:r>
    </w:p>
    <w:p>
      <w:pPr>
        <w:spacing w:after="0" w:line="213" w:lineRule="exact"/>
        <w:rPr>
          <w:sz w:val="20"/>
          <w:szCs w:val="20"/>
          <w:color w:val="auto"/>
        </w:rPr>
      </w:pPr>
    </w:p>
    <w:p>
      <w:pPr>
        <w:ind w:left="2" w:right="20" w:firstLine="295"/>
        <w:spacing w:after="0" w:line="264" w:lineRule="auto"/>
        <w:rPr>
          <w:sz w:val="20"/>
          <w:szCs w:val="20"/>
          <w:color w:val="auto"/>
        </w:rPr>
      </w:pPr>
      <w:r>
        <w:rPr>
          <w:rFonts w:ascii="Arial" w:cs="Arial" w:eastAsia="Arial" w:hAnsi="Arial"/>
          <w:sz w:val="16"/>
          <w:szCs w:val="16"/>
          <w:color w:val="auto"/>
        </w:rPr>
        <w:t>In the three months ended March 31, 2020, non-financial income decreased compared to the three months ended December 31, 2019 and the three months ended March 31, 2019. This was primarily attributable to losses on net gain on securities, which stemmed from recent volatility in global financial markets due to the economic crisis related to the COVID-19 pandemic. Impacts were seen in proprietary investment portfolios, mainly at Prima AFP, Credicorp and BCP Stand-alone. The main components of non-financial income, fee income and net gain on foreign exchange transactions registered a decrease in income after transactional activity decreased due to the quarantine imposed by the Peruvian government in mid-March.</w:t>
      </w:r>
    </w:p>
    <w:p>
      <w:pPr>
        <w:spacing w:after="0" w:line="176"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3140" w:type="dxa"/>
            <w:vAlign w:val="bottom"/>
            <w:gridSpan w:val="5"/>
          </w:tcPr>
          <w:p>
            <w:pPr>
              <w:jc w:val="center"/>
              <w:ind w:left="858"/>
              <w:spacing w:after="0"/>
              <w:rPr>
                <w:sz w:val="20"/>
                <w:szCs w:val="20"/>
                <w:color w:val="auto"/>
              </w:rPr>
            </w:pPr>
            <w:r>
              <w:rPr>
                <w:rFonts w:ascii="Arial" w:cs="Arial" w:eastAsia="Arial" w:hAnsi="Arial"/>
                <w:sz w:val="16"/>
                <w:szCs w:val="16"/>
                <w:b w:val="1"/>
                <w:bCs w:val="1"/>
                <w:color w:val="auto"/>
                <w:w w:val="94"/>
              </w:rPr>
              <w:t>For the Three Months Ended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gridSpan w:val="4"/>
          </w:tcPr>
          <w:p>
            <w:pPr>
              <w:jc w:val="right"/>
              <w:ind w:right="1138"/>
              <w:spacing w:after="0"/>
              <w:rPr>
                <w:sz w:val="20"/>
                <w:szCs w:val="20"/>
                <w:color w:val="auto"/>
              </w:rPr>
            </w:pPr>
            <w:r>
              <w:rPr>
                <w:rFonts w:ascii="Arial" w:cs="Arial" w:eastAsia="Arial" w:hAnsi="Arial"/>
                <w:sz w:val="16"/>
                <w:szCs w:val="16"/>
                <w:b w:val="1"/>
                <w:bCs w:val="1"/>
                <w:color w:val="auto"/>
              </w:rPr>
              <w:t>% Change</w:t>
            </w:r>
          </w:p>
        </w:tc>
      </w:tr>
      <w:tr>
        <w:trPr>
          <w:trHeight w:val="173"/>
        </w:trPr>
        <w:tc>
          <w:tcPr>
            <w:tcW w:w="394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Borders>
              <w:top w:val="single" w:sz="8" w:color="auto"/>
            </w:tcBorders>
            <w:gridSpan w:val="2"/>
          </w:tcPr>
          <w:p>
            <w:pPr>
              <w:jc w:val="right"/>
              <w:ind w:right="638"/>
              <w:spacing w:after="0" w:line="173" w:lineRule="exact"/>
              <w:rPr>
                <w:sz w:val="20"/>
                <w:szCs w:val="20"/>
                <w:color w:val="auto"/>
              </w:rPr>
            </w:pPr>
            <w:r>
              <w:rPr>
                <w:rFonts w:ascii="Arial" w:cs="Arial" w:eastAsia="Arial" w:hAnsi="Arial"/>
                <w:sz w:val="16"/>
                <w:szCs w:val="16"/>
                <w:b w:val="1"/>
                <w:bCs w:val="1"/>
                <w:color w:val="auto"/>
              </w:rPr>
              <w:t>March</w:t>
            </w:r>
          </w:p>
        </w:tc>
        <w:tc>
          <w:tcPr>
            <w:tcW w:w="12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97"/>
        </w:trPr>
        <w:tc>
          <w:tcPr>
            <w:tcW w:w="3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198"/>
              <w:spacing w:after="0"/>
              <w:rPr>
                <w:sz w:val="20"/>
                <w:szCs w:val="20"/>
                <w:color w:val="auto"/>
              </w:rPr>
            </w:pPr>
            <w:r>
              <w:rPr>
                <w:rFonts w:ascii="Arial" w:cs="Arial" w:eastAsia="Arial" w:hAnsi="Arial"/>
                <w:sz w:val="16"/>
                <w:szCs w:val="16"/>
                <w:b w:val="1"/>
                <w:bCs w:val="1"/>
                <w:color w:val="auto"/>
              </w:rPr>
              <w:t>31, 2020 /</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7"/>
        </w:trPr>
        <w:tc>
          <w:tcPr>
            <w:tcW w:w="3940" w:type="dxa"/>
            <w:vAlign w:val="bottom"/>
          </w:tcPr>
          <w:p>
            <w:pPr>
              <w:spacing w:after="0"/>
              <w:rPr>
                <w:sz w:val="17"/>
                <w:szCs w:val="17"/>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March</w:t>
            </w:r>
          </w:p>
        </w:tc>
        <w:tc>
          <w:tcPr>
            <w:tcW w:w="17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0"/>
              </w:rPr>
              <w:t>December</w:t>
            </w:r>
          </w:p>
        </w:tc>
        <w:tc>
          <w:tcPr>
            <w:tcW w:w="118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March</w:t>
            </w:r>
          </w:p>
        </w:tc>
        <w:tc>
          <w:tcPr>
            <w:tcW w:w="1560" w:type="dxa"/>
            <w:vAlign w:val="bottom"/>
            <w:gridSpan w:val="2"/>
          </w:tcPr>
          <w:p>
            <w:pPr>
              <w:jc w:val="right"/>
              <w:ind w:right="518"/>
              <w:spacing w:after="0"/>
              <w:rPr>
                <w:sz w:val="20"/>
                <w:szCs w:val="20"/>
                <w:color w:val="auto"/>
              </w:rPr>
            </w:pPr>
            <w:r>
              <w:rPr>
                <w:rFonts w:ascii="Arial" w:cs="Arial" w:eastAsia="Arial" w:hAnsi="Arial"/>
                <w:sz w:val="16"/>
                <w:szCs w:val="16"/>
                <w:b w:val="1"/>
                <w:bCs w:val="1"/>
                <w:color w:val="auto"/>
              </w:rPr>
              <w:t>December</w:t>
            </w:r>
          </w:p>
        </w:tc>
        <w:tc>
          <w:tcPr>
            <w:tcW w:w="1420" w:type="dxa"/>
            <w:vAlign w:val="bottom"/>
            <w:gridSpan w:val="2"/>
          </w:tcPr>
          <w:p>
            <w:pPr>
              <w:jc w:val="right"/>
              <w:ind w:right="498"/>
              <w:spacing w:after="0"/>
              <w:rPr>
                <w:sz w:val="20"/>
                <w:szCs w:val="20"/>
                <w:color w:val="auto"/>
              </w:rPr>
            </w:pPr>
            <w:r>
              <w:rPr>
                <w:rFonts w:ascii="Arial" w:cs="Arial" w:eastAsia="Arial" w:hAnsi="Arial"/>
                <w:sz w:val="16"/>
                <w:szCs w:val="16"/>
                <w:b w:val="1"/>
                <w:bCs w:val="1"/>
                <w:color w:val="auto"/>
              </w:rPr>
              <w:t>March</w:t>
            </w:r>
          </w:p>
        </w:tc>
      </w:tr>
      <w:tr>
        <w:trPr>
          <w:trHeight w:val="212"/>
        </w:trPr>
        <w:tc>
          <w:tcPr>
            <w:tcW w:w="3940" w:type="dxa"/>
            <w:vAlign w:val="bottom"/>
          </w:tcPr>
          <w:p>
            <w:pPr>
              <w:spacing w:after="0"/>
              <w:rPr>
                <w:sz w:val="18"/>
                <w:szCs w:val="18"/>
                <w:color w:val="auto"/>
              </w:rPr>
            </w:pPr>
          </w:p>
        </w:tc>
        <w:tc>
          <w:tcPr>
            <w:tcW w:w="12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31, 2019</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31, 2019</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w w:val="99"/>
              </w:rPr>
              <w:t>31, 2020</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31, 2019</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31, 2020 / 2019</w:t>
            </w:r>
          </w:p>
        </w:tc>
        <w:tc>
          <w:tcPr>
            <w:tcW w:w="220" w:type="dxa"/>
            <w:vAlign w:val="bottom"/>
          </w:tcPr>
          <w:p>
            <w:pPr>
              <w:spacing w:after="0"/>
              <w:rPr>
                <w:sz w:val="18"/>
                <w:szCs w:val="18"/>
                <w:color w:val="auto"/>
              </w:rPr>
            </w:pPr>
          </w:p>
        </w:tc>
      </w:tr>
      <w:tr>
        <w:trPr>
          <w:trHeight w:val="189"/>
        </w:trPr>
        <w:tc>
          <w:tcPr>
            <w:tcW w:w="3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40" w:type="dxa"/>
            <w:vAlign w:val="bottom"/>
            <w:gridSpan w:val="7"/>
          </w:tcPr>
          <w:p>
            <w:pPr>
              <w:jc w:val="right"/>
              <w:ind w:right="858"/>
              <w:spacing w:after="0"/>
              <w:rPr>
                <w:sz w:val="20"/>
                <w:szCs w:val="20"/>
                <w:color w:val="auto"/>
              </w:rPr>
            </w:pPr>
            <w:r>
              <w:rPr>
                <w:rFonts w:ascii="Arial" w:cs="Arial" w:eastAsia="Arial" w:hAnsi="Arial"/>
                <w:sz w:val="16"/>
                <w:szCs w:val="16"/>
                <w:b w:val="1"/>
                <w:bCs w:val="1"/>
                <w:color w:val="auto"/>
              </w:rPr>
              <w:t>(Soles in thousands, except percentages)</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7"/>
        </w:trPr>
        <w:tc>
          <w:tcPr>
            <w:tcW w:w="3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Non-Financial Income</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97"/>
        </w:trPr>
        <w:tc>
          <w:tcPr>
            <w:tcW w:w="3940" w:type="dxa"/>
            <w:vAlign w:val="bottom"/>
          </w:tcPr>
          <w:p>
            <w:pPr>
              <w:spacing w:after="0"/>
              <w:rPr>
                <w:sz w:val="20"/>
                <w:szCs w:val="20"/>
                <w:color w:val="auto"/>
              </w:rPr>
            </w:pPr>
            <w:r>
              <w:rPr>
                <w:rFonts w:ascii="Arial" w:cs="Arial" w:eastAsia="Arial" w:hAnsi="Arial"/>
                <w:sz w:val="16"/>
                <w:szCs w:val="16"/>
                <w:color w:val="auto"/>
              </w:rPr>
              <w:t>Fee income</w:t>
            </w:r>
          </w:p>
        </w:tc>
        <w:tc>
          <w:tcPr>
            <w:tcW w:w="1220" w:type="dxa"/>
            <w:vAlign w:val="bottom"/>
          </w:tcPr>
          <w:p>
            <w:pPr>
              <w:jc w:val="right"/>
              <w:spacing w:after="0"/>
              <w:rPr>
                <w:sz w:val="20"/>
                <w:szCs w:val="20"/>
                <w:color w:val="auto"/>
              </w:rPr>
            </w:pPr>
            <w:r>
              <w:rPr>
                <w:rFonts w:ascii="Arial" w:cs="Arial" w:eastAsia="Arial" w:hAnsi="Arial"/>
                <w:sz w:val="16"/>
                <w:szCs w:val="16"/>
                <w:color w:val="auto"/>
              </w:rPr>
              <w:t>782,922</w:t>
            </w:r>
          </w:p>
        </w:tc>
        <w:tc>
          <w:tcPr>
            <w:tcW w:w="22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847,206</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760,329</w:t>
            </w:r>
          </w:p>
        </w:tc>
        <w:tc>
          <w:tcPr>
            <w:tcW w:w="1560" w:type="dxa"/>
            <w:vAlign w:val="bottom"/>
            <w:gridSpan w:val="2"/>
          </w:tcPr>
          <w:p>
            <w:pPr>
              <w:jc w:val="right"/>
              <w:ind w:right="58"/>
              <w:spacing w:after="0"/>
              <w:rPr>
                <w:sz w:val="20"/>
                <w:szCs w:val="20"/>
                <w:color w:val="auto"/>
              </w:rPr>
            </w:pPr>
            <w:r>
              <w:rPr>
                <w:rFonts w:ascii="Arial" w:cs="Arial" w:eastAsia="Arial" w:hAnsi="Arial"/>
                <w:sz w:val="16"/>
                <w:szCs w:val="16"/>
                <w:color w:val="auto"/>
              </w:rPr>
              <w:t>(10.3)%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197"/>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Net gain on foreign exchange transactions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178,423</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193,528</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166,983</w:t>
            </w:r>
          </w:p>
        </w:tc>
        <w:tc>
          <w:tcPr>
            <w:tcW w:w="156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(13.7)%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197"/>
        </w:trPr>
        <w:tc>
          <w:tcPr>
            <w:tcW w:w="3940" w:type="dxa"/>
            <w:vAlign w:val="bottom"/>
          </w:tcPr>
          <w:p>
            <w:pPr>
              <w:spacing w:after="0"/>
              <w:rPr>
                <w:sz w:val="20"/>
                <w:szCs w:val="20"/>
                <w:color w:val="auto"/>
              </w:rPr>
            </w:pPr>
            <w:r>
              <w:rPr>
                <w:rFonts w:ascii="Arial" w:cs="Arial" w:eastAsia="Arial" w:hAnsi="Arial"/>
                <w:sz w:val="16"/>
                <w:szCs w:val="16"/>
                <w:color w:val="auto"/>
              </w:rPr>
              <w:t>Net gain on securities</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113,545</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102,011</w:t>
            </w:r>
          </w:p>
        </w:tc>
        <w:tc>
          <w:tcPr>
            <w:tcW w:w="2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(120,633)</w:t>
            </w:r>
          </w:p>
        </w:tc>
        <w:tc>
          <w:tcPr>
            <w:tcW w:w="1560" w:type="dxa"/>
            <w:vAlign w:val="bottom"/>
            <w:gridSpan w:val="2"/>
          </w:tcPr>
          <w:p>
            <w:pPr>
              <w:jc w:val="right"/>
              <w:ind w:right="58"/>
              <w:spacing w:after="0"/>
              <w:rPr>
                <w:sz w:val="20"/>
                <w:szCs w:val="20"/>
                <w:color w:val="auto"/>
              </w:rPr>
            </w:pPr>
            <w:r>
              <w:rPr>
                <w:rFonts w:ascii="Arial" w:cs="Arial" w:eastAsia="Arial" w:hAnsi="Arial"/>
                <w:sz w:val="16"/>
                <w:szCs w:val="16"/>
                <w:color w:val="auto"/>
              </w:rPr>
              <w:t>(218.3)%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(206.2)%</w:t>
            </w:r>
          </w:p>
        </w:tc>
      </w:tr>
      <w:tr>
        <w:trPr>
          <w:trHeight w:val="197"/>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Net gain from associates(1)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14,786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22,738</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19,225</w:t>
            </w:r>
          </w:p>
        </w:tc>
        <w:tc>
          <w:tcPr>
            <w:tcW w:w="156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(15.4)%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197"/>
        </w:trPr>
        <w:tc>
          <w:tcPr>
            <w:tcW w:w="3940" w:type="dxa"/>
            <w:vAlign w:val="bottom"/>
          </w:tcPr>
          <w:p>
            <w:pPr>
              <w:spacing w:after="0"/>
              <w:rPr>
                <w:sz w:val="20"/>
                <w:szCs w:val="20"/>
                <w:color w:val="auto"/>
              </w:rPr>
            </w:pPr>
            <w:r>
              <w:rPr>
                <w:rFonts w:ascii="Arial" w:cs="Arial" w:eastAsia="Arial" w:hAnsi="Arial"/>
                <w:sz w:val="16"/>
                <w:szCs w:val="16"/>
                <w:color w:val="auto"/>
              </w:rPr>
              <w:t>Net gain on derivatives held for trading</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(2,434)</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7,043</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35,430</w:t>
            </w:r>
          </w:p>
        </w:tc>
        <w:tc>
          <w:tcPr>
            <w:tcW w:w="1560" w:type="dxa"/>
            <w:vAlign w:val="bottom"/>
            <w:gridSpan w:val="2"/>
          </w:tcPr>
          <w:p>
            <w:pPr>
              <w:jc w:val="right"/>
              <w:ind w:right="118"/>
              <w:spacing w:after="0"/>
              <w:rPr>
                <w:sz w:val="20"/>
                <w:szCs w:val="20"/>
                <w:color w:val="auto"/>
              </w:rPr>
            </w:pPr>
            <w:r>
              <w:rPr>
                <w:rFonts w:ascii="Arial" w:cs="Arial" w:eastAsia="Arial" w:hAnsi="Arial"/>
                <w:sz w:val="16"/>
                <w:szCs w:val="16"/>
                <w:color w:val="auto"/>
              </w:rPr>
              <w:t>403.1%</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(1,555.6)%</w:t>
            </w:r>
          </w:p>
        </w:tc>
      </w:tr>
      <w:tr>
        <w:trPr>
          <w:trHeight w:val="197"/>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Net gain from exchange differences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13,490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17,957</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(21,240)</w:t>
            </w:r>
          </w:p>
        </w:tc>
        <w:tc>
          <w:tcPr>
            <w:tcW w:w="156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(218.3)%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(257.4)%</w:t>
            </w:r>
          </w:p>
        </w:tc>
      </w:tr>
      <w:tr>
        <w:trPr>
          <w:trHeight w:val="208"/>
        </w:trPr>
        <w:tc>
          <w:tcPr>
            <w:tcW w:w="3940" w:type="dxa"/>
            <w:vAlign w:val="bottom"/>
          </w:tcPr>
          <w:p>
            <w:pPr>
              <w:spacing w:after="0"/>
              <w:rPr>
                <w:sz w:val="20"/>
                <w:szCs w:val="20"/>
                <w:color w:val="auto"/>
              </w:rPr>
            </w:pPr>
            <w:r>
              <w:rPr>
                <w:rFonts w:ascii="Arial" w:cs="Arial" w:eastAsia="Arial" w:hAnsi="Arial"/>
                <w:sz w:val="16"/>
                <w:szCs w:val="16"/>
                <w:color w:val="auto"/>
              </w:rPr>
              <w:t>Other non-financial income</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75,605</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74,713</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117,770</w:t>
            </w:r>
          </w:p>
        </w:tc>
        <w:tc>
          <w:tcPr>
            <w:tcW w:w="1560" w:type="dxa"/>
            <w:vAlign w:val="bottom"/>
            <w:gridSpan w:val="2"/>
          </w:tcPr>
          <w:p>
            <w:pPr>
              <w:jc w:val="right"/>
              <w:ind w:right="118"/>
              <w:spacing w:after="0"/>
              <w:rPr>
                <w:sz w:val="20"/>
                <w:szCs w:val="20"/>
                <w:color w:val="auto"/>
              </w:rPr>
            </w:pPr>
            <w:r>
              <w:rPr>
                <w:rFonts w:ascii="Arial" w:cs="Arial" w:eastAsia="Arial" w:hAnsi="Arial"/>
                <w:sz w:val="16"/>
                <w:szCs w:val="16"/>
                <w:color w:val="auto"/>
              </w:rPr>
              <w:t>57.6%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55.8%</w:t>
            </w:r>
          </w:p>
        </w:tc>
      </w:tr>
      <w:tr>
        <w:trPr>
          <w:trHeight w:val="202"/>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non-financial income, net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1,176,337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1,265,196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957,864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(24.3</w:t>
            </w:r>
          </w:p>
        </w:tc>
        <w:tc>
          <w:tcPr>
            <w:tcW w:w="34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(18.6</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0"/>
        </w:trPr>
        <w:tc>
          <w:tcPr>
            <w:tcW w:w="3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786255"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324" w:lineRule="exact"/>
        <w:rPr>
          <w:sz w:val="20"/>
          <w:szCs w:val="20"/>
          <w:color w:val="auto"/>
        </w:rPr>
      </w:pPr>
    </w:p>
    <w:p>
      <w:pPr>
        <w:ind w:left="5542" w:right="5540" w:hanging="5542"/>
        <w:spacing w:after="0" w:line="594" w:lineRule="auto"/>
        <w:tabs>
          <w:tab w:leader="none" w:pos="293" w:val="left"/>
        </w:tabs>
        <w:numPr>
          <w:ilvl w:val="0"/>
          <w:numId w:val="189"/>
        </w:numPr>
        <w:rPr>
          <w:rFonts w:ascii="Arial" w:cs="Arial" w:eastAsia="Arial" w:hAnsi="Arial"/>
          <w:sz w:val="14"/>
          <w:szCs w:val="14"/>
          <w:color w:val="auto"/>
        </w:rPr>
      </w:pPr>
      <w:r>
        <w:rPr>
          <w:rFonts w:ascii="Arial" w:cs="Arial" w:eastAsia="Arial" w:hAnsi="Arial"/>
          <w:sz w:val="14"/>
          <w:szCs w:val="14"/>
          <w:color w:val="auto"/>
        </w:rPr>
        <w:t>Includes gains on other investments, mainly made up of the profit of Banmedica.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254000</wp:posOffset>
            </wp:positionV>
            <wp:extent cx="7144385"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19" w:right="3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12"/>
        </w:trPr>
        <w:tc>
          <w:tcPr>
            <w:tcW w:w="3980" w:type="dxa"/>
            <w:vAlign w:val="bottom"/>
          </w:tcPr>
          <w:p>
            <w:pPr>
              <w:spacing w:after="0"/>
              <w:rPr>
                <w:sz w:val="18"/>
                <w:szCs w:val="18"/>
                <w:color w:val="auto"/>
              </w:rPr>
            </w:pPr>
          </w:p>
        </w:tc>
        <w:tc>
          <w:tcPr>
            <w:tcW w:w="3140" w:type="dxa"/>
            <w:vAlign w:val="bottom"/>
            <w:gridSpan w:val="5"/>
          </w:tcPr>
          <w:p>
            <w:pPr>
              <w:jc w:val="center"/>
              <w:ind w:left="898"/>
              <w:spacing w:after="0"/>
              <w:rPr>
                <w:sz w:val="20"/>
                <w:szCs w:val="20"/>
                <w:color w:val="auto"/>
              </w:rPr>
            </w:pPr>
            <w:r>
              <w:rPr>
                <w:rFonts w:ascii="Arial" w:cs="Arial" w:eastAsia="Arial" w:hAnsi="Arial"/>
                <w:sz w:val="16"/>
                <w:szCs w:val="16"/>
                <w:b w:val="1"/>
                <w:bCs w:val="1"/>
                <w:color w:val="auto"/>
                <w:w w:val="94"/>
              </w:rPr>
              <w:t>For the Three Months Ended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4"/>
          </w:tcPr>
          <w:p>
            <w:pPr>
              <w:jc w:val="right"/>
              <w:ind w:right="1098"/>
              <w:spacing w:after="0"/>
              <w:rPr>
                <w:sz w:val="20"/>
                <w:szCs w:val="20"/>
                <w:color w:val="auto"/>
              </w:rPr>
            </w:pPr>
            <w:r>
              <w:rPr>
                <w:rFonts w:ascii="Arial" w:cs="Arial" w:eastAsia="Arial" w:hAnsi="Arial"/>
                <w:sz w:val="16"/>
                <w:szCs w:val="16"/>
                <w:b w:val="1"/>
                <w:bCs w:val="1"/>
                <w:color w:val="auto"/>
              </w:rPr>
              <w:t>% Change</w:t>
            </w:r>
          </w:p>
        </w:tc>
      </w:tr>
      <w:tr>
        <w:trPr>
          <w:trHeight w:val="173"/>
        </w:trPr>
        <w:tc>
          <w:tcPr>
            <w:tcW w:w="398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Borders>
              <w:top w:val="single" w:sz="8" w:color="auto"/>
            </w:tcBorders>
            <w:gridSpan w:val="2"/>
          </w:tcPr>
          <w:p>
            <w:pPr>
              <w:jc w:val="right"/>
              <w:ind w:right="598"/>
              <w:spacing w:after="0" w:line="173" w:lineRule="exact"/>
              <w:rPr>
                <w:sz w:val="20"/>
                <w:szCs w:val="20"/>
                <w:color w:val="auto"/>
              </w:rPr>
            </w:pPr>
            <w:r>
              <w:rPr>
                <w:rFonts w:ascii="Arial" w:cs="Arial" w:eastAsia="Arial" w:hAnsi="Arial"/>
                <w:sz w:val="16"/>
                <w:szCs w:val="16"/>
                <w:b w:val="1"/>
                <w:bCs w:val="1"/>
                <w:color w:val="auto"/>
              </w:rPr>
              <w:t>March</w:t>
            </w:r>
          </w:p>
        </w:tc>
        <w:tc>
          <w:tcPr>
            <w:tcW w:w="12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97"/>
        </w:trPr>
        <w:tc>
          <w:tcPr>
            <w:tcW w:w="3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198"/>
              <w:spacing w:after="0"/>
              <w:rPr>
                <w:sz w:val="20"/>
                <w:szCs w:val="20"/>
                <w:color w:val="auto"/>
              </w:rPr>
            </w:pPr>
            <w:r>
              <w:rPr>
                <w:rFonts w:ascii="Arial" w:cs="Arial" w:eastAsia="Arial" w:hAnsi="Arial"/>
                <w:sz w:val="16"/>
                <w:szCs w:val="16"/>
                <w:b w:val="1"/>
                <w:bCs w:val="1"/>
                <w:color w:val="auto"/>
              </w:rPr>
              <w:t>31, 2020 /</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7"/>
        </w:trPr>
        <w:tc>
          <w:tcPr>
            <w:tcW w:w="3980" w:type="dxa"/>
            <w:vAlign w:val="bottom"/>
          </w:tcPr>
          <w:p>
            <w:pPr>
              <w:spacing w:after="0"/>
              <w:rPr>
                <w:sz w:val="17"/>
                <w:szCs w:val="17"/>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March</w:t>
            </w:r>
          </w:p>
        </w:tc>
        <w:tc>
          <w:tcPr>
            <w:tcW w:w="17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0"/>
              </w:rPr>
              <w:t>December</w:t>
            </w:r>
          </w:p>
        </w:tc>
        <w:tc>
          <w:tcPr>
            <w:tcW w:w="120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March</w:t>
            </w:r>
          </w:p>
        </w:tc>
        <w:tc>
          <w:tcPr>
            <w:tcW w:w="1520" w:type="dxa"/>
            <w:vAlign w:val="bottom"/>
            <w:gridSpan w:val="2"/>
          </w:tcPr>
          <w:p>
            <w:pPr>
              <w:jc w:val="right"/>
              <w:ind w:right="478"/>
              <w:spacing w:after="0"/>
              <w:rPr>
                <w:sz w:val="20"/>
                <w:szCs w:val="20"/>
                <w:color w:val="auto"/>
              </w:rPr>
            </w:pPr>
            <w:r>
              <w:rPr>
                <w:rFonts w:ascii="Arial" w:cs="Arial" w:eastAsia="Arial" w:hAnsi="Arial"/>
                <w:sz w:val="16"/>
                <w:szCs w:val="16"/>
                <w:b w:val="1"/>
                <w:bCs w:val="1"/>
                <w:color w:val="auto"/>
              </w:rPr>
              <w:t>December</w:t>
            </w:r>
          </w:p>
        </w:tc>
        <w:tc>
          <w:tcPr>
            <w:tcW w:w="1400" w:type="dxa"/>
            <w:vAlign w:val="bottom"/>
            <w:gridSpan w:val="2"/>
          </w:tcPr>
          <w:p>
            <w:pPr>
              <w:jc w:val="right"/>
              <w:ind w:right="458"/>
              <w:spacing w:after="0"/>
              <w:rPr>
                <w:sz w:val="20"/>
                <w:szCs w:val="20"/>
                <w:color w:val="auto"/>
              </w:rPr>
            </w:pPr>
            <w:r>
              <w:rPr>
                <w:rFonts w:ascii="Arial" w:cs="Arial" w:eastAsia="Arial" w:hAnsi="Arial"/>
                <w:sz w:val="16"/>
                <w:szCs w:val="16"/>
                <w:b w:val="1"/>
                <w:bCs w:val="1"/>
                <w:color w:val="auto"/>
              </w:rPr>
              <w:t>March</w:t>
            </w:r>
          </w:p>
        </w:tc>
      </w:tr>
      <w:tr>
        <w:trPr>
          <w:trHeight w:val="212"/>
        </w:trPr>
        <w:tc>
          <w:tcPr>
            <w:tcW w:w="3980" w:type="dxa"/>
            <w:vAlign w:val="bottom"/>
          </w:tcPr>
          <w:p>
            <w:pPr>
              <w:spacing w:after="0"/>
              <w:rPr>
                <w:sz w:val="18"/>
                <w:szCs w:val="18"/>
                <w:color w:val="auto"/>
              </w:rPr>
            </w:pPr>
          </w:p>
        </w:tc>
        <w:tc>
          <w:tcPr>
            <w:tcW w:w="12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31, 2019</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31, 2019</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w w:val="99"/>
              </w:rPr>
              <w:t>31, 2020</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31, 2019</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31, 2020 / 2019</w:t>
            </w:r>
          </w:p>
        </w:tc>
        <w:tc>
          <w:tcPr>
            <w:tcW w:w="160" w:type="dxa"/>
            <w:vAlign w:val="bottom"/>
          </w:tcPr>
          <w:p>
            <w:pPr>
              <w:spacing w:after="0"/>
              <w:rPr>
                <w:sz w:val="18"/>
                <w:szCs w:val="18"/>
                <w:color w:val="auto"/>
              </w:rPr>
            </w:pPr>
          </w:p>
        </w:tc>
      </w:tr>
      <w:tr>
        <w:trPr>
          <w:trHeight w:val="189"/>
        </w:trPr>
        <w:tc>
          <w:tcPr>
            <w:tcW w:w="3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20" w:type="dxa"/>
            <w:vAlign w:val="bottom"/>
            <w:gridSpan w:val="7"/>
          </w:tcPr>
          <w:p>
            <w:pPr>
              <w:jc w:val="right"/>
              <w:ind w:right="838"/>
              <w:spacing w:after="0"/>
              <w:rPr>
                <w:sz w:val="20"/>
                <w:szCs w:val="20"/>
                <w:color w:val="auto"/>
              </w:rPr>
            </w:pPr>
            <w:r>
              <w:rPr>
                <w:rFonts w:ascii="Arial" w:cs="Arial" w:eastAsia="Arial" w:hAnsi="Arial"/>
                <w:sz w:val="16"/>
                <w:szCs w:val="16"/>
                <w:b w:val="1"/>
                <w:bCs w:val="1"/>
                <w:color w:val="auto"/>
              </w:rPr>
              <w:t>(Soles in thousands, except percentages)</w:t>
            </w: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7"/>
        </w:trPr>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 EPS contribution (50%)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8,918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17,262</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17,186</w:t>
            </w:r>
          </w:p>
        </w:tc>
        <w:tc>
          <w:tcPr>
            <w:tcW w:w="15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(0.4)%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92.7%</w:t>
            </w:r>
          </w:p>
        </w:tc>
      </w:tr>
      <w:tr>
        <w:trPr>
          <w:trHeight w:val="208"/>
        </w:trPr>
        <w:tc>
          <w:tcPr>
            <w:tcW w:w="3980" w:type="dxa"/>
            <w:vAlign w:val="bottom"/>
          </w:tcPr>
          <w:p>
            <w:pPr>
              <w:spacing w:after="0"/>
              <w:rPr>
                <w:sz w:val="20"/>
                <w:szCs w:val="20"/>
                <w:color w:val="auto"/>
              </w:rPr>
            </w:pPr>
            <w:r>
              <w:rPr>
                <w:rFonts w:ascii="Arial" w:cs="Arial" w:eastAsia="Arial" w:hAnsi="Arial"/>
                <w:sz w:val="16"/>
                <w:szCs w:val="16"/>
                <w:color w:val="auto"/>
              </w:rPr>
              <w:t>(-) Private health insurance deduction (50%)</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(2,736)</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(9,806)</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(6,430)</w:t>
            </w:r>
          </w:p>
        </w:tc>
        <w:tc>
          <w:tcPr>
            <w:tcW w:w="1520" w:type="dxa"/>
            <w:vAlign w:val="bottom"/>
            <w:gridSpan w:val="2"/>
          </w:tcPr>
          <w:p>
            <w:pPr>
              <w:jc w:val="right"/>
              <w:ind w:right="18"/>
              <w:spacing w:after="0"/>
              <w:rPr>
                <w:sz w:val="20"/>
                <w:szCs w:val="20"/>
                <w:color w:val="auto"/>
              </w:rPr>
            </w:pPr>
            <w:r>
              <w:rPr>
                <w:rFonts w:ascii="Arial" w:cs="Arial" w:eastAsia="Arial" w:hAnsi="Arial"/>
                <w:sz w:val="16"/>
                <w:szCs w:val="16"/>
                <w:color w:val="auto"/>
              </w:rPr>
              <w:t>(34.4)%</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135.0%</w:t>
            </w:r>
          </w:p>
        </w:tc>
      </w:tr>
      <w:tr>
        <w:trPr>
          <w:trHeight w:val="202"/>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 Net gain from association with Banmedica</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6,182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7,456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10,756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44.3</w:t>
            </w:r>
          </w:p>
        </w:tc>
        <w:tc>
          <w:tcPr>
            <w:tcW w:w="300" w:type="dxa"/>
            <w:vAlign w:val="bottom"/>
            <w:tcBorders>
              <w:top w:val="single" w:sz="8" w:color="CCEEFF"/>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w w:val="9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r>
      <w:tr>
        <w:trPr>
          <w:trHeight w:val="20"/>
        </w:trPr>
        <w:tc>
          <w:tcPr>
            <w:tcW w:w="39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Comparing the three months ended March 31, 2020 to the three months ended December 31, 2019, non-financial income decreased 24.3% due to:</w:t>
      </w:r>
    </w:p>
    <w:p>
      <w:pPr>
        <w:spacing w:after="0" w:line="209" w:lineRule="exact"/>
        <w:rPr>
          <w:sz w:val="20"/>
          <w:szCs w:val="20"/>
          <w:color w:val="auto"/>
        </w:rPr>
      </w:pPr>
    </w:p>
    <w:p>
      <w:pPr>
        <w:ind w:left="720" w:right="40" w:hanging="366"/>
        <w:spacing w:after="0" w:line="283" w:lineRule="auto"/>
        <w:tabs>
          <w:tab w:leader="none" w:pos="72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A decrease in the net gain on securities, due to (i) Prima AFP, which posted a decrease in the profitability of its legal reserves after withdrawals from its funds amid increased market volatility, (ii) losses on proprietary investment portfolios at Credicorp Capital, which registered negative results in its trading portfolio related to mark-to-market funds, and (iii) BCP, due to realized losses after the sale of sovereign bonds. These decreases were driven by market volatility and a decline in asset values due to the impact of the COVID-19 pandemic. Finally, the decrease when comparing the three months ended March 31, 2020 to the three months ended December 31, 2019 was attributable to non-recurring positive results in the three months ended December 31, 2019 after positions were sold in the fair value through other comprehensive investments, recorded in the results of Credicorp Capital and Atlantic Security Bank.</w:t>
      </w:r>
    </w:p>
    <w:p>
      <w:pPr>
        <w:spacing w:after="0" w:line="155" w:lineRule="exact"/>
        <w:rPr>
          <w:rFonts w:ascii="Arial" w:cs="Arial" w:eastAsia="Arial" w:hAnsi="Arial"/>
          <w:sz w:val="15"/>
          <w:szCs w:val="15"/>
          <w:color w:val="auto"/>
        </w:rPr>
      </w:pPr>
    </w:p>
    <w:p>
      <w:pPr>
        <w:ind w:left="720" w:hanging="366"/>
        <w:spacing w:after="0" w:line="327" w:lineRule="auto"/>
        <w:tabs>
          <w:tab w:leader="none" w:pos="72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A decrease in fee income, (i) in line with seasonality in the first quarter of every year, in connection with the usual decrease in operations for banking services in comparison to those at the end of the year, mainly at BCP Stand-alone, and to a lesser extent, at Mibanco, and (ii) due to a decrease in the income reported by Credicorp Capital for the corporate finance business due to an unfavorable environment for executing transactions. For more information, see “—Fee income.”</w:t>
      </w:r>
    </w:p>
    <w:p>
      <w:pPr>
        <w:spacing w:after="0" w:line="128" w:lineRule="exact"/>
        <w:rPr>
          <w:rFonts w:ascii="Arial" w:cs="Arial" w:eastAsia="Arial" w:hAnsi="Arial"/>
          <w:sz w:val="14"/>
          <w:szCs w:val="14"/>
          <w:color w:val="auto"/>
        </w:rPr>
      </w:pPr>
    </w:p>
    <w:p>
      <w:pPr>
        <w:ind w:left="720" w:right="180" w:hanging="366"/>
        <w:spacing w:after="0" w:line="287" w:lineRule="auto"/>
        <w:tabs>
          <w:tab w:leader="none" w:pos="72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 decrease in net gain from exchange differences, due to the loss reported for the exchange differences relative to IFRS 16, mainly in the month of January at BCP, and to a lesser extent, at Mibanco.</w:t>
      </w:r>
    </w:p>
    <w:p>
      <w:pPr>
        <w:spacing w:after="0" w:line="149" w:lineRule="exact"/>
        <w:rPr>
          <w:rFonts w:ascii="Arial" w:cs="Arial" w:eastAsia="Arial" w:hAnsi="Arial"/>
          <w:sz w:val="16"/>
          <w:szCs w:val="16"/>
          <w:color w:val="auto"/>
        </w:rPr>
      </w:pPr>
    </w:p>
    <w:p>
      <w:pPr>
        <w:ind w:left="720" w:right="160" w:hanging="366"/>
        <w:spacing w:after="0" w:line="287" w:lineRule="auto"/>
        <w:tabs>
          <w:tab w:leader="none" w:pos="72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 decrease in net gain on foreign exchange transactions, due to lower volumes generated through wholesale banking and retail banking clients at BCP, mainly in March.</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abovementioned was offset in part by:</w:t>
      </w:r>
    </w:p>
    <w:p>
      <w:pPr>
        <w:spacing w:after="0" w:line="209" w:lineRule="exact"/>
        <w:rPr>
          <w:sz w:val="20"/>
          <w:szCs w:val="20"/>
          <w:color w:val="auto"/>
        </w:rPr>
      </w:pPr>
    </w:p>
    <w:p>
      <w:pPr>
        <w:ind w:left="720" w:right="480" w:hanging="366"/>
        <w:spacing w:after="0" w:line="287" w:lineRule="auto"/>
        <w:tabs>
          <w:tab w:leader="none" w:pos="72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An increase in other non-financial income due to (i) BCP, for the sale of a portfolio of loans under legal collection proceedings in February 2020, and (ii) Mibanco, due to the sale of a property (building on Aramburu) in March 2020.</w:t>
      </w:r>
    </w:p>
    <w:p>
      <w:pPr>
        <w:spacing w:after="0" w:line="149" w:lineRule="exact"/>
        <w:rPr>
          <w:rFonts w:ascii="Arial" w:cs="Arial" w:eastAsia="Arial" w:hAnsi="Arial"/>
          <w:sz w:val="16"/>
          <w:szCs w:val="16"/>
          <w:color w:val="auto"/>
        </w:rPr>
      </w:pPr>
    </w:p>
    <w:p>
      <w:pPr>
        <w:ind w:left="720" w:right="80" w:hanging="366"/>
        <w:spacing w:after="0" w:line="287" w:lineRule="auto"/>
        <w:tabs>
          <w:tab w:leader="none" w:pos="72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An increase in net gain on speculative derivatives after advance executions of derivatives associated with structured products in the asset management business line at Credicorp Capital.</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Comparing the three months ended March 31, 2020 to the corresponding period of 2019, non-financial income decreased 18.6% due to:</w:t>
      </w:r>
    </w:p>
    <w:p>
      <w:pPr>
        <w:spacing w:after="0" w:line="209" w:lineRule="exact"/>
        <w:rPr>
          <w:sz w:val="20"/>
          <w:szCs w:val="20"/>
          <w:color w:val="auto"/>
        </w:rPr>
      </w:pPr>
    </w:p>
    <w:p>
      <w:pPr>
        <w:ind w:left="720" w:right="400" w:hanging="366"/>
        <w:spacing w:after="0" w:line="271" w:lineRule="auto"/>
        <w:tabs>
          <w:tab w:leader="none" w:pos="72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Losses on the net gain on securities mainly at Prima AFP and Credicorp Capital, due to the market effects of the COVID-19 pandemic as described above. Losses were also attributable to an extraordinary result in the three months ended March 31, 2019, which was generated by favorable financial market conditions in 2019 manifested through Credicorp Capital, Prima AFP and Atlantic Security Bank.</w:t>
      </w:r>
    </w:p>
    <w:p>
      <w:pPr>
        <w:spacing w:after="0" w:line="162" w:lineRule="exact"/>
        <w:rPr>
          <w:rFonts w:ascii="Arial" w:cs="Arial" w:eastAsia="Arial" w:hAnsi="Arial"/>
          <w:sz w:val="16"/>
          <w:szCs w:val="16"/>
          <w:color w:val="auto"/>
        </w:rPr>
      </w:pPr>
    </w:p>
    <w:p>
      <w:pPr>
        <w:ind w:left="720" w:hanging="366"/>
        <w:spacing w:after="0"/>
        <w:tabs>
          <w:tab w:leader="none" w:pos="72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The negative result for the net gain from exchange differences, which was attributable to the market effects of the COVID-19 pandemic as described above.</w:t>
      </w:r>
    </w:p>
    <w:p>
      <w:pPr>
        <w:spacing w:after="0" w:line="220" w:lineRule="exact"/>
        <w:rPr>
          <w:rFonts w:ascii="Arial" w:cs="Arial" w:eastAsia="Arial" w:hAnsi="Arial"/>
          <w:sz w:val="15"/>
          <w:szCs w:val="15"/>
          <w:color w:val="auto"/>
        </w:rPr>
      </w:pPr>
    </w:p>
    <w:p>
      <w:pPr>
        <w:ind w:left="720" w:right="80" w:hanging="366"/>
        <w:spacing w:after="0" w:line="266" w:lineRule="auto"/>
        <w:tabs>
          <w:tab w:leader="none" w:pos="72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 decrease in fee income, which was attributable to (i) the facilities and fees exemptions extended to our clients in the framework of the economic crisis resulting from the COVID-19 pandemic, (ii) the decrease in consumption and service volumes due to the obligatory quarantine imposed by the Peruvian government in mid-March, and (iii) the decrease in transactional activity in the banking businesses at BCP Stand-alone and Mibanco, as described below under “—Fee Income”.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82" w:name="page183"/>
    <w:bookmarkEnd w:id="182"/>
    <w:p>
      <w:pPr>
        <w:ind w:left="302"/>
        <w:spacing w:after="0"/>
        <w:rPr>
          <w:sz w:val="20"/>
          <w:szCs w:val="20"/>
          <w:color w:val="auto"/>
        </w:rPr>
      </w:pPr>
      <w:r>
        <w:rPr>
          <w:rFonts w:ascii="Arial" w:cs="Arial" w:eastAsia="Arial" w:hAnsi="Arial"/>
          <w:sz w:val="14"/>
          <w:szCs w:val="14"/>
          <w:color w:val="auto"/>
        </w:rPr>
        <w:t>These decreases were partially offset by increases in other non-financial income and the net gain on speculative derivatives for the reasons described above.</w:t>
      </w:r>
    </w:p>
    <w:p>
      <w:pPr>
        <w:spacing w:after="0" w:line="22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Fee Income</w:t>
      </w:r>
    </w:p>
    <w:p>
      <w:pPr>
        <w:spacing w:after="0" w:line="213" w:lineRule="exact"/>
        <w:rPr>
          <w:sz w:val="20"/>
          <w:szCs w:val="20"/>
          <w:color w:val="auto"/>
        </w:rPr>
      </w:pPr>
    </w:p>
    <w:p>
      <w:pPr>
        <w:ind w:left="162"/>
        <w:spacing w:after="0"/>
        <w:rPr>
          <w:sz w:val="20"/>
          <w:szCs w:val="20"/>
          <w:color w:val="auto"/>
        </w:rPr>
      </w:pPr>
      <w:r>
        <w:rPr>
          <w:rFonts w:ascii="Arial" w:cs="Arial" w:eastAsia="Arial" w:hAnsi="Arial"/>
          <w:sz w:val="16"/>
          <w:szCs w:val="16"/>
          <w:b w:val="1"/>
          <w:bCs w:val="1"/>
          <w:i w:val="1"/>
          <w:iCs w:val="1"/>
          <w:color w:val="auto"/>
        </w:rPr>
        <w:t>By Subsidiary</w:t>
      </w:r>
    </w:p>
    <w:p>
      <w:pPr>
        <w:spacing w:after="0" w:line="209" w:lineRule="exact"/>
        <w:rPr>
          <w:sz w:val="20"/>
          <w:szCs w:val="20"/>
          <w:color w:val="auto"/>
        </w:rPr>
      </w:pPr>
    </w:p>
    <w:p>
      <w:pPr>
        <w:ind w:left="302"/>
        <w:spacing w:after="0"/>
        <w:rPr>
          <w:sz w:val="20"/>
          <w:szCs w:val="20"/>
          <w:color w:val="auto"/>
        </w:rPr>
      </w:pPr>
      <w:r>
        <w:rPr>
          <w:rFonts w:ascii="Arial" w:cs="Arial" w:eastAsia="Arial" w:hAnsi="Arial"/>
          <w:sz w:val="14"/>
          <w:szCs w:val="14"/>
          <w:color w:val="auto"/>
        </w:rPr>
        <w:t>The chart below shows the contribution of each of Credicorp’s subsidiaries to growth in Credicorp’s fee income in the three months ended March 31, 2020.</w:t>
      </w:r>
    </w:p>
    <w:p>
      <w:pPr>
        <w:spacing w:after="0" w:line="228" w:lineRule="exact"/>
        <w:rPr>
          <w:sz w:val="20"/>
          <w:szCs w:val="20"/>
          <w:color w:val="auto"/>
        </w:rPr>
      </w:pPr>
    </w:p>
    <w:p>
      <w:pPr>
        <w:jc w:val="center"/>
        <w:ind w:right="-741"/>
        <w:spacing w:after="0"/>
        <w:rPr>
          <w:sz w:val="20"/>
          <w:szCs w:val="20"/>
          <w:color w:val="auto"/>
        </w:rPr>
      </w:pPr>
      <w:r>
        <w:rPr>
          <w:rFonts w:ascii="Arial" w:cs="Arial" w:eastAsia="Arial" w:hAnsi="Arial"/>
          <w:sz w:val="16"/>
          <w:szCs w:val="16"/>
          <w:b w:val="1"/>
          <w:bCs w:val="1"/>
          <w:color w:val="auto"/>
        </w:rPr>
        <w:t>Evolution of Fee Income by Subsidiary, Three Months Ended March 31, 2020</w:t>
      </w:r>
    </w:p>
    <w:p>
      <w:pPr>
        <w:spacing w:after="0" w:line="28" w:lineRule="exact"/>
        <w:rPr>
          <w:sz w:val="20"/>
          <w:szCs w:val="20"/>
          <w:color w:val="auto"/>
        </w:rPr>
      </w:pPr>
    </w:p>
    <w:p>
      <w:pPr>
        <w:jc w:val="center"/>
        <w:ind w:right="-741"/>
        <w:spacing w:after="0"/>
        <w:rPr>
          <w:sz w:val="20"/>
          <w:szCs w:val="20"/>
          <w:color w:val="auto"/>
        </w:rPr>
      </w:pPr>
      <w:r>
        <w:rPr>
          <w:rFonts w:ascii="Arial" w:cs="Arial" w:eastAsia="Arial" w:hAnsi="Arial"/>
          <w:sz w:val="16"/>
          <w:szCs w:val="16"/>
          <w:b w:val="1"/>
          <w:bCs w:val="1"/>
          <w:color w:val="auto"/>
        </w:rPr>
        <w:t>Compared to the Three Months Ended December 31, 2019 (S/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1599565</wp:posOffset>
            </wp:positionV>
            <wp:extent cx="1786255"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786255" cy="7620"/>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133350</wp:posOffset>
            </wp:positionV>
            <wp:extent cx="4071620" cy="127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071620" cy="127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02" w:right="3540" w:hanging="302"/>
        <w:spacing w:after="0" w:line="510" w:lineRule="auto"/>
        <w:tabs>
          <w:tab w:leader="none" w:pos="302" w:val="left"/>
        </w:tabs>
        <w:numPr>
          <w:ilvl w:val="0"/>
          <w:numId w:val="193"/>
        </w:numPr>
        <w:rPr>
          <w:rFonts w:ascii="Arial" w:cs="Arial" w:eastAsia="Arial" w:hAnsi="Arial"/>
          <w:sz w:val="16"/>
          <w:szCs w:val="16"/>
          <w:color w:val="auto"/>
        </w:rPr>
      </w:pPr>
      <w:r>
        <w:rPr>
          <w:rFonts w:ascii="Arial" w:cs="Arial" w:eastAsia="Arial" w:hAnsi="Arial"/>
          <w:sz w:val="16"/>
          <w:szCs w:val="16"/>
          <w:color w:val="auto"/>
        </w:rPr>
        <w:t>Others include Encumbra, Bancompartir, Grupo Pacifico and eliminations for consolidation purposes. The chart below shows the annual evolution of fee income by subsidiary:</w:t>
      </w:r>
    </w:p>
    <w:p>
      <w:pPr>
        <w:jc w:val="center"/>
        <w:ind w:right="-741"/>
        <w:spacing w:after="0"/>
        <w:rPr>
          <w:sz w:val="20"/>
          <w:szCs w:val="20"/>
          <w:color w:val="auto"/>
        </w:rPr>
      </w:pPr>
      <w:r>
        <w:rPr>
          <w:rFonts w:ascii="Arial" w:cs="Arial" w:eastAsia="Arial" w:hAnsi="Arial"/>
          <w:sz w:val="16"/>
          <w:szCs w:val="16"/>
          <w:b w:val="1"/>
          <w:bCs w:val="1"/>
          <w:color w:val="auto"/>
        </w:rPr>
        <w:t>Evolution of Fee Income by Subsidiary, Three Months Ended March 31, 2020</w:t>
      </w:r>
    </w:p>
    <w:p>
      <w:pPr>
        <w:spacing w:after="0" w:line="28" w:lineRule="exact"/>
        <w:rPr>
          <w:sz w:val="20"/>
          <w:szCs w:val="20"/>
          <w:color w:val="auto"/>
        </w:rPr>
      </w:pPr>
    </w:p>
    <w:p>
      <w:pPr>
        <w:jc w:val="center"/>
        <w:ind w:right="-741"/>
        <w:spacing w:after="0"/>
        <w:rPr>
          <w:sz w:val="20"/>
          <w:szCs w:val="20"/>
          <w:color w:val="auto"/>
        </w:rPr>
      </w:pPr>
      <w:r>
        <w:rPr>
          <w:rFonts w:ascii="Arial" w:cs="Arial" w:eastAsia="Arial" w:hAnsi="Arial"/>
          <w:sz w:val="16"/>
          <w:szCs w:val="16"/>
          <w:b w:val="1"/>
          <w:bCs w:val="1"/>
          <w:color w:val="auto"/>
        </w:rPr>
        <w:t>Compared to the Corresponding Period of 2019 (S/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1818005</wp:posOffset>
            </wp:positionV>
            <wp:extent cx="1786255"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786255" cy="762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133350</wp:posOffset>
            </wp:positionV>
            <wp:extent cx="4086860" cy="14973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086860" cy="149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42" w:right="3540" w:hanging="5542"/>
        <w:spacing w:after="0" w:line="800" w:lineRule="auto"/>
        <w:tabs>
          <w:tab w:leader="none" w:pos="293" w:val="left"/>
        </w:tabs>
        <w:numPr>
          <w:ilvl w:val="0"/>
          <w:numId w:val="194"/>
        </w:numPr>
        <w:rPr>
          <w:rFonts w:ascii="Arial" w:cs="Arial" w:eastAsia="Arial" w:hAnsi="Arial"/>
          <w:sz w:val="16"/>
          <w:szCs w:val="16"/>
          <w:color w:val="auto"/>
        </w:rPr>
      </w:pPr>
      <w:r>
        <w:rPr>
          <w:rFonts w:ascii="Arial" w:cs="Arial" w:eastAsia="Arial" w:hAnsi="Arial"/>
          <w:sz w:val="16"/>
          <w:szCs w:val="16"/>
          <w:color w:val="auto"/>
        </w:rPr>
        <w:t>Others include Encumbra, Bancompartir, Grupo Pacifico and eliminations for consolidation purposes.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-271145</wp:posOffset>
            </wp:positionV>
            <wp:extent cx="7144385"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502"/>
          </w:cols>
          <w:pgMar w:left="318" w:top="520" w:right="1079" w:bottom="1440" w:gutter="0" w:footer="0" w:header="0"/>
        </w:sectPr>
      </w:pPr>
    </w:p>
    <w:bookmarkStart w:id="183" w:name="page184"/>
    <w:bookmarkEnd w:id="183"/>
    <w:tbl>
      <w:tblPr>
        <w:tblLayout w:type="fixed"/>
        <w:tblInd w:w="2" w:type="dxa"/>
        <w:tblCellMar>
          <w:top w:w="0" w:type="dxa"/>
          <w:left w:w="0" w:type="dxa"/>
          <w:bottom w:w="0" w:type="dxa"/>
          <w:right w:w="0" w:type="dxa"/>
        </w:tblCellMar>
      </w:tblPr>
      <w:tr>
        <w:trPr>
          <w:trHeight w:val="208"/>
        </w:trPr>
        <w:tc>
          <w:tcPr>
            <w:tcW w:w="324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Fee Income in the Banking Business</w:t>
            </w: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93"/>
        </w:trPr>
        <w:tc>
          <w:tcPr>
            <w:tcW w:w="10020" w:type="dxa"/>
            <w:vAlign w:val="bottom"/>
            <w:gridSpan w:val="12"/>
          </w:tcPr>
          <w:p>
            <w:pPr>
              <w:ind w:left="300"/>
              <w:spacing w:after="0"/>
              <w:rPr>
                <w:sz w:val="20"/>
                <w:szCs w:val="20"/>
                <w:color w:val="auto"/>
              </w:rPr>
            </w:pPr>
            <w:r>
              <w:rPr>
                <w:rFonts w:ascii="Arial" w:cs="Arial" w:eastAsia="Arial" w:hAnsi="Arial"/>
                <w:sz w:val="16"/>
                <w:szCs w:val="16"/>
                <w:color w:val="auto"/>
                <w:w w:val="99"/>
              </w:rPr>
              <w:t>The following table shows a breakdown of the main components of fee income in the banking business for each of the periods presented:</w:t>
            </w:r>
          </w:p>
        </w:tc>
        <w:tc>
          <w:tcPr>
            <w:tcW w:w="1220" w:type="dxa"/>
            <w:vAlign w:val="bottom"/>
          </w:tcPr>
          <w:p>
            <w:pPr>
              <w:spacing w:after="0"/>
              <w:rPr>
                <w:sz w:val="24"/>
                <w:szCs w:val="24"/>
                <w:color w:val="auto"/>
              </w:rPr>
            </w:pPr>
          </w:p>
        </w:tc>
      </w:tr>
      <w:tr>
        <w:trPr>
          <w:trHeight w:val="393"/>
        </w:trPr>
        <w:tc>
          <w:tcPr>
            <w:tcW w:w="3240" w:type="dxa"/>
            <w:vAlign w:val="bottom"/>
          </w:tcPr>
          <w:p>
            <w:pPr>
              <w:spacing w:after="0"/>
              <w:rPr>
                <w:sz w:val="24"/>
                <w:szCs w:val="24"/>
                <w:color w:val="auto"/>
              </w:rPr>
            </w:pPr>
          </w:p>
        </w:tc>
        <w:tc>
          <w:tcPr>
            <w:tcW w:w="5020" w:type="dxa"/>
            <w:vAlign w:val="bottom"/>
            <w:gridSpan w:val="8"/>
          </w:tcPr>
          <w:p>
            <w:pPr>
              <w:ind w:left="580"/>
              <w:spacing w:after="0"/>
              <w:rPr>
                <w:sz w:val="20"/>
                <w:szCs w:val="20"/>
                <w:color w:val="auto"/>
              </w:rPr>
            </w:pPr>
            <w:r>
              <w:rPr>
                <w:rFonts w:ascii="Arial" w:cs="Arial" w:eastAsia="Arial" w:hAnsi="Arial"/>
                <w:sz w:val="16"/>
                <w:szCs w:val="16"/>
                <w:b w:val="1"/>
                <w:bCs w:val="1"/>
                <w:color w:val="auto"/>
              </w:rPr>
              <w:t>Composition of Fee Income in the Banking Business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4"/>
        </w:trPr>
        <w:tc>
          <w:tcPr>
            <w:tcW w:w="3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80" w:type="dxa"/>
            <w:vAlign w:val="bottom"/>
            <w:tcBorders>
              <w:bottom w:val="single" w:sz="8" w:color="auto"/>
            </w:tcBorders>
            <w:gridSpan w:val="5"/>
          </w:tcPr>
          <w:p>
            <w:pPr>
              <w:ind w:left="1040"/>
              <w:spacing w:after="0"/>
              <w:rPr>
                <w:sz w:val="20"/>
                <w:szCs w:val="20"/>
                <w:color w:val="auto"/>
              </w:rPr>
            </w:pPr>
            <w:r>
              <w:rPr>
                <w:rFonts w:ascii="Arial" w:cs="Arial" w:eastAsia="Arial" w:hAnsi="Arial"/>
                <w:sz w:val="16"/>
                <w:szCs w:val="16"/>
                <w:b w:val="1"/>
                <w:bCs w:val="1"/>
                <w:color w:val="auto"/>
                <w:w w:val="97"/>
              </w:rPr>
              <w:t>For the Three Months Ended</w:t>
            </w: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6"/>
                <w:szCs w:val="16"/>
                <w:b w:val="1"/>
                <w:bCs w:val="1"/>
                <w:color w:val="auto"/>
                <w:w w:val="93"/>
              </w:rPr>
              <w:t>% Change</w:t>
            </w:r>
          </w:p>
        </w:tc>
        <w:tc>
          <w:tcPr>
            <w:tcW w:w="1220" w:type="dxa"/>
            <w:vAlign w:val="bottom"/>
            <w:tcBorders>
              <w:bottom w:val="single" w:sz="8" w:color="auto"/>
            </w:tcBorders>
          </w:tcPr>
          <w:p>
            <w:pPr>
              <w:spacing w:after="0"/>
              <w:rPr>
                <w:sz w:val="24"/>
                <w:szCs w:val="24"/>
                <w:color w:val="auto"/>
              </w:rPr>
            </w:pPr>
          </w:p>
        </w:tc>
      </w:tr>
      <w:tr>
        <w:trPr>
          <w:trHeight w:val="173"/>
        </w:trPr>
        <w:tc>
          <w:tcPr>
            <w:tcW w:w="3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3"/>
          </w:tcPr>
          <w:p>
            <w:pPr>
              <w:jc w:val="center"/>
              <w:ind w:right="440"/>
              <w:spacing w:after="0" w:line="173" w:lineRule="exact"/>
              <w:rPr>
                <w:sz w:val="20"/>
                <w:szCs w:val="20"/>
                <w:color w:val="auto"/>
              </w:rPr>
            </w:pPr>
            <w:r>
              <w:rPr>
                <w:rFonts w:ascii="Arial" w:cs="Arial" w:eastAsia="Arial" w:hAnsi="Arial"/>
                <w:sz w:val="16"/>
                <w:szCs w:val="16"/>
                <w:b w:val="1"/>
                <w:bCs w:val="1"/>
                <w:color w:val="auto"/>
              </w:rPr>
              <w:t>March</w:t>
            </w:r>
          </w:p>
        </w:tc>
        <w:tc>
          <w:tcPr>
            <w:tcW w:w="1220" w:type="dxa"/>
            <w:vAlign w:val="bottom"/>
          </w:tcPr>
          <w:p>
            <w:pPr>
              <w:spacing w:after="0"/>
              <w:rPr>
                <w:sz w:val="15"/>
                <w:szCs w:val="15"/>
                <w:color w:val="auto"/>
              </w:rPr>
            </w:pPr>
          </w:p>
        </w:tc>
      </w:tr>
      <w:tr>
        <w:trPr>
          <w:trHeight w:val="197"/>
        </w:trPr>
        <w:tc>
          <w:tcPr>
            <w:tcW w:w="3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ind w:right="58"/>
              <w:spacing w:after="0"/>
              <w:rPr>
                <w:sz w:val="20"/>
                <w:szCs w:val="20"/>
                <w:color w:val="auto"/>
              </w:rPr>
            </w:pPr>
            <w:r>
              <w:rPr>
                <w:rFonts w:ascii="Arial" w:cs="Arial" w:eastAsia="Arial" w:hAnsi="Arial"/>
                <w:sz w:val="16"/>
                <w:szCs w:val="16"/>
                <w:b w:val="1"/>
                <w:bCs w:val="1"/>
                <w:color w:val="auto"/>
                <w:w w:val="92"/>
              </w:rPr>
              <w:t>31, 2020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7"/>
        </w:trPr>
        <w:tc>
          <w:tcPr>
            <w:tcW w:w="3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March</w:t>
            </w:r>
          </w:p>
        </w:tc>
        <w:tc>
          <w:tcPr>
            <w:tcW w:w="1740" w:type="dxa"/>
            <w:vAlign w:val="bottom"/>
            <w:gridSpan w:val="3"/>
          </w:tcPr>
          <w:p>
            <w:pPr>
              <w:ind w:left="320"/>
              <w:spacing w:after="0"/>
              <w:rPr>
                <w:sz w:val="20"/>
                <w:szCs w:val="20"/>
                <w:color w:val="auto"/>
              </w:rPr>
            </w:pPr>
            <w:r>
              <w:rPr>
                <w:rFonts w:ascii="Arial" w:cs="Arial" w:eastAsia="Arial" w:hAnsi="Arial"/>
                <w:sz w:val="16"/>
                <w:szCs w:val="16"/>
                <w:b w:val="1"/>
                <w:bCs w:val="1"/>
                <w:color w:val="auto"/>
              </w:rPr>
              <w:t>December</w:t>
            </w:r>
          </w:p>
        </w:tc>
        <w:tc>
          <w:tcPr>
            <w:tcW w:w="116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9"/>
              </w:rPr>
              <w:t>March</w:t>
            </w:r>
          </w:p>
        </w:tc>
        <w:tc>
          <w:tcPr>
            <w:tcW w:w="176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3"/>
              </w:rPr>
              <w:t>December</w:t>
            </w:r>
          </w:p>
        </w:tc>
        <w:tc>
          <w:tcPr>
            <w:tcW w:w="1220" w:type="dxa"/>
            <w:vAlign w:val="bottom"/>
          </w:tcPr>
          <w:p>
            <w:pPr>
              <w:jc w:val="right"/>
              <w:ind w:right="479"/>
              <w:spacing w:after="0"/>
              <w:rPr>
                <w:sz w:val="20"/>
                <w:szCs w:val="20"/>
                <w:color w:val="auto"/>
              </w:rPr>
            </w:pPr>
            <w:r>
              <w:rPr>
                <w:rFonts w:ascii="Arial" w:cs="Arial" w:eastAsia="Arial" w:hAnsi="Arial"/>
                <w:sz w:val="15"/>
                <w:szCs w:val="15"/>
                <w:b w:val="1"/>
                <w:bCs w:val="1"/>
                <w:color w:val="auto"/>
              </w:rPr>
              <w:t>March</w:t>
            </w:r>
          </w:p>
        </w:tc>
      </w:tr>
      <w:tr>
        <w:trPr>
          <w:trHeight w:val="197"/>
        </w:trPr>
        <w:tc>
          <w:tcPr>
            <w:tcW w:w="3240" w:type="dxa"/>
            <w:vAlign w:val="bottom"/>
          </w:tcPr>
          <w:p>
            <w:pPr>
              <w:spacing w:after="0"/>
              <w:rPr>
                <w:sz w:val="17"/>
                <w:szCs w:val="17"/>
                <w:color w:val="auto"/>
              </w:rPr>
            </w:pPr>
          </w:p>
        </w:tc>
        <w:tc>
          <w:tcPr>
            <w:tcW w:w="1900" w:type="dxa"/>
            <w:vAlign w:val="bottom"/>
            <w:gridSpan w:val="2"/>
          </w:tcPr>
          <w:p>
            <w:pPr>
              <w:jc w:val="right"/>
              <w:ind w:right="178"/>
              <w:spacing w:after="0"/>
              <w:rPr>
                <w:sz w:val="20"/>
                <w:szCs w:val="20"/>
                <w:color w:val="auto"/>
              </w:rPr>
            </w:pPr>
            <w:r>
              <w:rPr>
                <w:rFonts w:ascii="Arial" w:cs="Arial" w:eastAsia="Arial" w:hAnsi="Arial"/>
                <w:sz w:val="16"/>
                <w:szCs w:val="16"/>
                <w:b w:val="1"/>
                <w:bCs w:val="1"/>
                <w:color w:val="auto"/>
              </w:rPr>
              <w:t>31, 2019</w:t>
            </w:r>
          </w:p>
        </w:tc>
        <w:tc>
          <w:tcPr>
            <w:tcW w:w="220" w:type="dxa"/>
            <w:vAlign w:val="bottom"/>
          </w:tcPr>
          <w:p>
            <w:pPr>
              <w:spacing w:after="0"/>
              <w:rPr>
                <w:sz w:val="17"/>
                <w:szCs w:val="17"/>
                <w:color w:val="auto"/>
              </w:rPr>
            </w:pPr>
          </w:p>
        </w:tc>
        <w:tc>
          <w:tcPr>
            <w:tcW w:w="1240" w:type="dxa"/>
            <w:vAlign w:val="bottom"/>
          </w:tcPr>
          <w:p>
            <w:pPr>
              <w:jc w:val="right"/>
              <w:ind w:right="198"/>
              <w:spacing w:after="0"/>
              <w:rPr>
                <w:sz w:val="20"/>
                <w:szCs w:val="20"/>
                <w:color w:val="auto"/>
              </w:rPr>
            </w:pPr>
            <w:r>
              <w:rPr>
                <w:rFonts w:ascii="Arial" w:cs="Arial" w:eastAsia="Arial" w:hAnsi="Arial"/>
                <w:sz w:val="16"/>
                <w:szCs w:val="16"/>
                <w:b w:val="1"/>
                <w:bCs w:val="1"/>
                <w:color w:val="auto"/>
              </w:rPr>
              <w:t>31, 2019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259"/>
              <w:spacing w:after="0"/>
              <w:rPr>
                <w:sz w:val="20"/>
                <w:szCs w:val="20"/>
                <w:color w:val="auto"/>
              </w:rPr>
            </w:pPr>
            <w:r>
              <w:rPr>
                <w:rFonts w:ascii="Arial" w:cs="Arial" w:eastAsia="Arial" w:hAnsi="Arial"/>
                <w:sz w:val="15"/>
                <w:szCs w:val="15"/>
                <w:b w:val="1"/>
                <w:bCs w:val="1"/>
                <w:color w:val="auto"/>
                <w:w w:val="99"/>
              </w:rPr>
              <w:t>31, 2020</w:t>
            </w:r>
          </w:p>
        </w:tc>
        <w:tc>
          <w:tcPr>
            <w:tcW w:w="220" w:type="dxa"/>
            <w:vAlign w:val="bottom"/>
          </w:tcPr>
          <w:p>
            <w:pPr>
              <w:spacing w:after="0"/>
              <w:rPr>
                <w:sz w:val="17"/>
                <w:szCs w:val="17"/>
                <w:color w:val="auto"/>
              </w:rPr>
            </w:pPr>
          </w:p>
        </w:tc>
        <w:tc>
          <w:tcPr>
            <w:tcW w:w="1440" w:type="dxa"/>
            <w:vAlign w:val="bottom"/>
          </w:tcPr>
          <w:p>
            <w:pPr>
              <w:jc w:val="right"/>
              <w:ind w:right="458"/>
              <w:spacing w:after="0"/>
              <w:rPr>
                <w:sz w:val="20"/>
                <w:szCs w:val="20"/>
                <w:color w:val="auto"/>
              </w:rPr>
            </w:pPr>
            <w:r>
              <w:rPr>
                <w:rFonts w:ascii="Arial" w:cs="Arial" w:eastAsia="Arial" w:hAnsi="Arial"/>
                <w:sz w:val="16"/>
                <w:szCs w:val="16"/>
                <w:b w:val="1"/>
                <w:bCs w:val="1"/>
                <w:color w:val="auto"/>
              </w:rPr>
              <w:t>31, 2019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19"/>
              <w:spacing w:after="0"/>
              <w:rPr>
                <w:sz w:val="20"/>
                <w:szCs w:val="20"/>
                <w:color w:val="auto"/>
              </w:rPr>
            </w:pPr>
            <w:r>
              <w:rPr>
                <w:rFonts w:ascii="Arial" w:cs="Arial" w:eastAsia="Arial" w:hAnsi="Arial"/>
                <w:sz w:val="15"/>
                <w:szCs w:val="15"/>
                <w:b w:val="1"/>
                <w:bCs w:val="1"/>
                <w:color w:val="auto"/>
                <w:w w:val="86"/>
              </w:rPr>
              <w:t>31, 2020 / 2019</w:t>
            </w:r>
          </w:p>
        </w:tc>
      </w:tr>
      <w:tr>
        <w:trPr>
          <w:trHeight w:val="212"/>
        </w:trPr>
        <w:tc>
          <w:tcPr>
            <w:tcW w:w="3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8"/>
          </w:tcPr>
          <w:p>
            <w:pPr>
              <w:jc w:val="center"/>
              <w:ind w:right="420"/>
              <w:spacing w:after="0"/>
              <w:rPr>
                <w:sz w:val="20"/>
                <w:szCs w:val="20"/>
                <w:color w:val="auto"/>
              </w:rPr>
            </w:pPr>
            <w:r>
              <w:rPr>
                <w:rFonts w:ascii="Arial" w:cs="Arial" w:eastAsia="Arial" w:hAnsi="Arial"/>
                <w:sz w:val="16"/>
                <w:szCs w:val="16"/>
                <w:b w:val="1"/>
                <w:bCs w:val="1"/>
                <w:color w:val="auto"/>
                <w:w w:val="88"/>
              </w:rPr>
              <w:t>(Soles in thousands, except percentages)</w:t>
            </w:r>
          </w:p>
        </w:tc>
        <w:tc>
          <w:tcPr>
            <w:tcW w:w="1220" w:type="dxa"/>
            <w:vAlign w:val="bottom"/>
          </w:tcPr>
          <w:p>
            <w:pPr>
              <w:spacing w:after="0"/>
              <w:rPr>
                <w:sz w:val="18"/>
                <w:szCs w:val="18"/>
                <w:color w:val="auto"/>
              </w:rPr>
            </w:pPr>
          </w:p>
        </w:tc>
      </w:tr>
      <w:tr>
        <w:trPr>
          <w:trHeight w:val="198"/>
        </w:trPr>
        <w:tc>
          <w:tcPr>
            <w:tcW w:w="3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Fee Income</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Miscellaneous accounts(1)</w:t>
            </w:r>
          </w:p>
        </w:tc>
        <w:tc>
          <w:tcPr>
            <w:tcW w:w="2120" w:type="dxa"/>
            <w:vAlign w:val="bottom"/>
            <w:gridSpan w:val="3"/>
          </w:tcPr>
          <w:p>
            <w:pPr>
              <w:jc w:val="right"/>
              <w:ind w:right="220"/>
              <w:spacing w:after="0"/>
              <w:rPr>
                <w:sz w:val="20"/>
                <w:szCs w:val="20"/>
                <w:color w:val="auto"/>
              </w:rPr>
            </w:pPr>
            <w:r>
              <w:rPr>
                <w:rFonts w:ascii="Arial" w:cs="Arial" w:eastAsia="Arial" w:hAnsi="Arial"/>
                <w:sz w:val="16"/>
                <w:szCs w:val="16"/>
                <w:color w:val="auto"/>
              </w:rPr>
              <w:t>177,517</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186,506</w:t>
            </w:r>
          </w:p>
        </w:tc>
        <w:tc>
          <w:tcPr>
            <w:tcW w:w="2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164,963</w:t>
            </w:r>
          </w:p>
        </w:tc>
        <w:tc>
          <w:tcPr>
            <w:tcW w:w="144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197"/>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Credit cards(2)</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69,499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72,051</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60,435</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Drafts and transfers</w:t>
            </w:r>
          </w:p>
        </w:tc>
        <w:tc>
          <w:tcPr>
            <w:tcW w:w="2120" w:type="dxa"/>
            <w:vAlign w:val="bottom"/>
            <w:gridSpan w:val="3"/>
          </w:tcPr>
          <w:p>
            <w:pPr>
              <w:jc w:val="right"/>
              <w:ind w:right="220"/>
              <w:spacing w:after="0"/>
              <w:rPr>
                <w:sz w:val="20"/>
                <w:szCs w:val="20"/>
                <w:color w:val="auto"/>
              </w:rPr>
            </w:pPr>
            <w:r>
              <w:rPr>
                <w:rFonts w:ascii="Arial" w:cs="Arial" w:eastAsia="Arial" w:hAnsi="Arial"/>
                <w:sz w:val="16"/>
                <w:szCs w:val="16"/>
                <w:color w:val="auto"/>
              </w:rPr>
              <w:t>60,232</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71,547</w:t>
            </w:r>
          </w:p>
        </w:tc>
        <w:tc>
          <w:tcPr>
            <w:tcW w:w="2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61,846</w:t>
            </w:r>
          </w:p>
        </w:tc>
        <w:tc>
          <w:tcPr>
            <w:tcW w:w="144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97"/>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Personal loans(2)</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23,590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28,125</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28,352</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SME loans(2)</w:t>
            </w:r>
          </w:p>
        </w:tc>
        <w:tc>
          <w:tcPr>
            <w:tcW w:w="2120" w:type="dxa"/>
            <w:vAlign w:val="bottom"/>
            <w:gridSpan w:val="3"/>
          </w:tcPr>
          <w:p>
            <w:pPr>
              <w:jc w:val="right"/>
              <w:ind w:right="220"/>
              <w:spacing w:after="0"/>
              <w:rPr>
                <w:sz w:val="20"/>
                <w:szCs w:val="20"/>
                <w:color w:val="auto"/>
              </w:rPr>
            </w:pPr>
            <w:r>
              <w:rPr>
                <w:rFonts w:ascii="Arial" w:cs="Arial" w:eastAsia="Arial" w:hAnsi="Arial"/>
                <w:sz w:val="16"/>
                <w:szCs w:val="16"/>
                <w:color w:val="auto"/>
              </w:rPr>
              <w:t>18,565</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18,452</w:t>
            </w:r>
          </w:p>
        </w:tc>
        <w:tc>
          <w:tcPr>
            <w:tcW w:w="2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18,808</w:t>
            </w:r>
          </w:p>
        </w:tc>
        <w:tc>
          <w:tcPr>
            <w:tcW w:w="14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97"/>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Insurance(2)</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22,210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25,776</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25,179</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Mortgage loans(2)</w:t>
            </w:r>
          </w:p>
        </w:tc>
        <w:tc>
          <w:tcPr>
            <w:tcW w:w="2120" w:type="dxa"/>
            <w:vAlign w:val="bottom"/>
            <w:gridSpan w:val="3"/>
          </w:tcPr>
          <w:p>
            <w:pPr>
              <w:jc w:val="right"/>
              <w:ind w:right="220"/>
              <w:spacing w:after="0"/>
              <w:rPr>
                <w:sz w:val="20"/>
                <w:szCs w:val="20"/>
                <w:color w:val="auto"/>
              </w:rPr>
            </w:pPr>
            <w:r>
              <w:rPr>
                <w:rFonts w:ascii="Arial" w:cs="Arial" w:eastAsia="Arial" w:hAnsi="Arial"/>
                <w:sz w:val="16"/>
                <w:szCs w:val="16"/>
                <w:color w:val="auto"/>
              </w:rPr>
              <w:t>9,428</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10,678</w:t>
            </w:r>
          </w:p>
        </w:tc>
        <w:tc>
          <w:tcPr>
            <w:tcW w:w="2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9,402</w:t>
            </w:r>
          </w:p>
        </w:tc>
        <w:tc>
          <w:tcPr>
            <w:tcW w:w="144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197"/>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Off-balance sheet(3)</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47,302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48,215</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50,093</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Payments and collections(3)</w:t>
            </w:r>
          </w:p>
        </w:tc>
        <w:tc>
          <w:tcPr>
            <w:tcW w:w="2120" w:type="dxa"/>
            <w:vAlign w:val="bottom"/>
            <w:gridSpan w:val="3"/>
          </w:tcPr>
          <w:p>
            <w:pPr>
              <w:jc w:val="right"/>
              <w:ind w:right="220"/>
              <w:spacing w:after="0"/>
              <w:rPr>
                <w:sz w:val="20"/>
                <w:szCs w:val="20"/>
                <w:color w:val="auto"/>
              </w:rPr>
            </w:pPr>
            <w:r>
              <w:rPr>
                <w:rFonts w:ascii="Arial" w:cs="Arial" w:eastAsia="Arial" w:hAnsi="Arial"/>
                <w:sz w:val="16"/>
                <w:szCs w:val="16"/>
                <w:color w:val="auto"/>
              </w:rPr>
              <w:t>103,763</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109,311</w:t>
            </w:r>
          </w:p>
        </w:tc>
        <w:tc>
          <w:tcPr>
            <w:tcW w:w="2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101,283</w:t>
            </w:r>
          </w:p>
        </w:tc>
        <w:tc>
          <w:tcPr>
            <w:tcW w:w="144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97"/>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Commercial loans(3)</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22,423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24,391</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17,978</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Foreign trade(3)</w:t>
            </w:r>
          </w:p>
        </w:tc>
        <w:tc>
          <w:tcPr>
            <w:tcW w:w="2120" w:type="dxa"/>
            <w:vAlign w:val="bottom"/>
            <w:gridSpan w:val="3"/>
          </w:tcPr>
          <w:p>
            <w:pPr>
              <w:jc w:val="right"/>
              <w:ind w:right="220"/>
              <w:spacing w:after="0"/>
              <w:rPr>
                <w:sz w:val="20"/>
                <w:szCs w:val="20"/>
                <w:color w:val="auto"/>
              </w:rPr>
            </w:pPr>
            <w:r>
              <w:rPr>
                <w:rFonts w:ascii="Arial" w:cs="Arial" w:eastAsia="Arial" w:hAnsi="Arial"/>
                <w:sz w:val="16"/>
                <w:szCs w:val="16"/>
                <w:color w:val="auto"/>
              </w:rPr>
              <w:t>14,948</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13,516</w:t>
            </w:r>
          </w:p>
        </w:tc>
        <w:tc>
          <w:tcPr>
            <w:tcW w:w="2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11,576</w:t>
            </w:r>
          </w:p>
        </w:tc>
        <w:tc>
          <w:tcPr>
            <w:tcW w:w="144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197"/>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Corporate finance and mutual funds</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15,028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18,690</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16,673</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197"/>
        </w:trPr>
        <w:tc>
          <w:tcPr>
            <w:tcW w:w="3240" w:type="dxa"/>
            <w:vAlign w:val="bottom"/>
          </w:tcPr>
          <w:p>
            <w:pPr>
              <w:spacing w:after="0"/>
              <w:rPr>
                <w:sz w:val="20"/>
                <w:szCs w:val="20"/>
                <w:color w:val="auto"/>
              </w:rPr>
            </w:pPr>
            <w:r>
              <w:rPr>
                <w:rFonts w:ascii="Arial" w:cs="Arial" w:eastAsia="Arial" w:hAnsi="Arial"/>
                <w:sz w:val="16"/>
                <w:szCs w:val="16"/>
                <w:color w:val="auto"/>
              </w:rPr>
              <w:t>Atlantic Security Bank</w:t>
            </w:r>
          </w:p>
        </w:tc>
        <w:tc>
          <w:tcPr>
            <w:tcW w:w="2120" w:type="dxa"/>
            <w:vAlign w:val="bottom"/>
            <w:gridSpan w:val="3"/>
          </w:tcPr>
          <w:p>
            <w:pPr>
              <w:jc w:val="right"/>
              <w:ind w:right="220"/>
              <w:spacing w:after="0"/>
              <w:rPr>
                <w:sz w:val="20"/>
                <w:szCs w:val="20"/>
                <w:color w:val="auto"/>
              </w:rPr>
            </w:pPr>
            <w:r>
              <w:rPr>
                <w:rFonts w:ascii="Arial" w:cs="Arial" w:eastAsia="Arial" w:hAnsi="Arial"/>
                <w:sz w:val="16"/>
                <w:szCs w:val="16"/>
                <w:color w:val="auto"/>
              </w:rPr>
              <w:t>10,271</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11,550</w:t>
            </w:r>
          </w:p>
        </w:tc>
        <w:tc>
          <w:tcPr>
            <w:tcW w:w="2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8,412</w:t>
            </w:r>
          </w:p>
        </w:tc>
        <w:tc>
          <w:tcPr>
            <w:tcW w:w="1440" w:type="dxa"/>
            <w:vAlign w:val="bottom"/>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197"/>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Others(4)</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69,836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79,916</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62,067</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189"/>
        </w:trPr>
        <w:tc>
          <w:tcPr>
            <w:tcW w:w="3240" w:type="dxa"/>
            <w:vAlign w:val="bottom"/>
          </w:tcPr>
          <w:p>
            <w:pPr>
              <w:spacing w:after="0"/>
              <w:rPr>
                <w:sz w:val="20"/>
                <w:szCs w:val="20"/>
                <w:color w:val="auto"/>
              </w:rPr>
            </w:pPr>
            <w:r>
              <w:rPr>
                <w:rFonts w:ascii="Arial" w:cs="Arial" w:eastAsia="Arial" w:hAnsi="Arial"/>
                <w:sz w:val="16"/>
                <w:szCs w:val="16"/>
                <w:b w:val="1"/>
                <w:bCs w:val="1"/>
                <w:color w:val="auto"/>
              </w:rPr>
              <w:t>Total fee income</w:t>
            </w:r>
          </w:p>
        </w:tc>
        <w:tc>
          <w:tcPr>
            <w:tcW w:w="68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664,612</w:t>
            </w:r>
          </w:p>
        </w:tc>
        <w:tc>
          <w:tcPr>
            <w:tcW w:w="22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718,725</w:t>
            </w:r>
          </w:p>
        </w:tc>
        <w:tc>
          <w:tcPr>
            <w:tcW w:w="2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637,067</w:t>
            </w:r>
          </w:p>
        </w:tc>
        <w:tc>
          <w:tcPr>
            <w:tcW w:w="220" w:type="dxa"/>
            <w:vAlign w:val="bottom"/>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w:t>
            </w:r>
          </w:p>
        </w:tc>
      </w:tr>
      <w:tr>
        <w:trPr>
          <w:trHeight w:val="20"/>
        </w:trPr>
        <w:tc>
          <w:tcPr>
            <w:tcW w:w="3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1786255"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287"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 BCP</w:t>
      </w:r>
    </w:p>
    <w:p>
      <w:pPr>
        <w:spacing w:after="0" w:line="209" w:lineRule="exact"/>
        <w:rPr>
          <w:sz w:val="20"/>
          <w:szCs w:val="20"/>
          <w:color w:val="auto"/>
        </w:rPr>
      </w:pPr>
    </w:p>
    <w:p>
      <w:pPr>
        <w:ind w:left="302" w:hanging="302"/>
        <w:spacing w:after="0"/>
        <w:tabs>
          <w:tab w:leader="none" w:pos="30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Saving accounts, current accounts, debit card and master account.</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Mainly Retail fees.</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Mainly Wholesale fees.</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Includes fees from BCP Bolivia, Mibanco, network usage and other services to third parties, among others.</w:t>
      </w:r>
    </w:p>
    <w:p>
      <w:pPr>
        <w:spacing w:after="0" w:line="209" w:lineRule="exact"/>
        <w:rPr>
          <w:sz w:val="20"/>
          <w:szCs w:val="20"/>
          <w:color w:val="auto"/>
        </w:rPr>
      </w:pPr>
    </w:p>
    <w:p>
      <w:pPr>
        <w:ind w:left="2" w:right="20" w:firstLine="295"/>
        <w:spacing w:after="0" w:line="271" w:lineRule="auto"/>
        <w:rPr>
          <w:sz w:val="20"/>
          <w:szCs w:val="20"/>
          <w:color w:val="auto"/>
        </w:rPr>
      </w:pPr>
      <w:r>
        <w:rPr>
          <w:rFonts w:ascii="Arial" w:cs="Arial" w:eastAsia="Arial" w:hAnsi="Arial"/>
          <w:sz w:val="16"/>
          <w:szCs w:val="16"/>
          <w:color w:val="auto"/>
        </w:rPr>
        <w:t>Total fee income increased by 5.64% between 2019 and 2018, from S/2,615,461 to S/2,763,232. This is less than the growth of 6.55% reached between 2017 and 2018 (total fee income was S/2,454,573 in 2017). Comparing the three months ended March 31, 2020 to the three months ended December 31, 2019, fee income in the banking business decreased 11.4%. The line items that registered the most significant decreases included:</w:t>
      </w:r>
    </w:p>
    <w:p>
      <w:pPr>
        <w:spacing w:after="0" w:line="163" w:lineRule="exact"/>
        <w:rPr>
          <w:sz w:val="20"/>
          <w:szCs w:val="20"/>
          <w:color w:val="auto"/>
        </w:rPr>
      </w:pPr>
    </w:p>
    <w:p>
      <w:pPr>
        <w:ind w:left="722" w:right="120" w:hanging="366"/>
        <w:spacing w:after="0" w:line="287" w:lineRule="auto"/>
        <w:tabs>
          <w:tab w:leader="none" w:pos="722" w:val="left"/>
        </w:tabs>
        <w:numPr>
          <w:ilvl w:val="0"/>
          <w:numId w:val="196"/>
        </w:numPr>
        <w:rPr>
          <w:rFonts w:ascii="Arial" w:cs="Arial" w:eastAsia="Arial" w:hAnsi="Arial"/>
          <w:sz w:val="16"/>
          <w:szCs w:val="16"/>
          <w:color w:val="auto"/>
        </w:rPr>
      </w:pPr>
      <w:r>
        <w:rPr>
          <w:rFonts w:ascii="Arial" w:cs="Arial" w:eastAsia="Arial" w:hAnsi="Arial"/>
          <w:sz w:val="16"/>
          <w:szCs w:val="16"/>
          <w:i w:val="1"/>
          <w:iCs w:val="1"/>
          <w:color w:val="auto"/>
        </w:rPr>
        <w:t>Miscellaneous accounts</w:t>
      </w:r>
      <w:r>
        <w:rPr>
          <w:rFonts w:ascii="Arial" w:cs="Arial" w:eastAsia="Arial" w:hAnsi="Arial"/>
          <w:sz w:val="16"/>
          <w:szCs w:val="16"/>
          <w:color w:val="auto"/>
        </w:rPr>
        <w:t>, mainly for (a) debit cards, due to the reduction in fees for card replacement and a decrease in cash withdrawals, and to a lesser extent,</w:t>
      </w:r>
      <w:r>
        <w:rPr>
          <w:rFonts w:ascii="Arial" w:cs="Arial" w:eastAsia="Arial" w:hAnsi="Arial"/>
          <w:sz w:val="16"/>
          <w:szCs w:val="16"/>
          <w:i w:val="1"/>
          <w:iCs w:val="1"/>
          <w:color w:val="auto"/>
        </w:rPr>
        <w:t xml:space="preserve"> </w:t>
      </w:r>
      <w:r>
        <w:rPr>
          <w:rFonts w:ascii="Arial" w:cs="Arial" w:eastAsia="Arial" w:hAnsi="Arial"/>
          <w:sz w:val="16"/>
          <w:szCs w:val="16"/>
          <w:color w:val="auto"/>
        </w:rPr>
        <w:t>due to (b) savings accounts and (c) current accounts, for which fees generated for account maintenance decreased;</w:t>
      </w:r>
    </w:p>
    <w:p>
      <w:pPr>
        <w:spacing w:after="0" w:line="149" w:lineRule="exact"/>
        <w:rPr>
          <w:rFonts w:ascii="Arial" w:cs="Arial" w:eastAsia="Arial" w:hAnsi="Arial"/>
          <w:sz w:val="16"/>
          <w:szCs w:val="16"/>
          <w:color w:val="auto"/>
        </w:rPr>
      </w:pPr>
    </w:p>
    <w:p>
      <w:pPr>
        <w:ind w:left="722" w:right="140" w:hanging="366"/>
        <w:spacing w:after="0" w:line="271" w:lineRule="auto"/>
        <w:tabs>
          <w:tab w:leader="none" w:pos="722" w:val="left"/>
        </w:tabs>
        <w:numPr>
          <w:ilvl w:val="0"/>
          <w:numId w:val="196"/>
        </w:numPr>
        <w:rPr>
          <w:rFonts w:ascii="Arial" w:cs="Arial" w:eastAsia="Arial" w:hAnsi="Arial"/>
          <w:sz w:val="16"/>
          <w:szCs w:val="16"/>
          <w:color w:val="auto"/>
        </w:rPr>
      </w:pPr>
      <w:r>
        <w:rPr>
          <w:rFonts w:ascii="Arial" w:cs="Arial" w:eastAsia="Arial" w:hAnsi="Arial"/>
          <w:sz w:val="16"/>
          <w:szCs w:val="16"/>
          <w:i w:val="1"/>
          <w:iCs w:val="1"/>
          <w:color w:val="auto"/>
        </w:rPr>
        <w:t>Others</w:t>
      </w:r>
      <w:r>
        <w:rPr>
          <w:rFonts w:ascii="Arial" w:cs="Arial" w:eastAsia="Arial" w:hAnsi="Arial"/>
          <w:sz w:val="16"/>
          <w:szCs w:val="16"/>
          <w:color w:val="auto"/>
        </w:rPr>
        <w:t>, mainly at Mibanco, which represents 90% of the decrease due to a decrease in income from obligatory insurance and a decrease in fees assessed on</w:t>
      </w:r>
      <w:r>
        <w:rPr>
          <w:rFonts w:ascii="Arial" w:cs="Arial" w:eastAsia="Arial" w:hAnsi="Arial"/>
          <w:sz w:val="16"/>
          <w:szCs w:val="16"/>
          <w:i w:val="1"/>
          <w:iCs w:val="1"/>
          <w:color w:val="auto"/>
        </w:rPr>
        <w:t xml:space="preserve"> </w:t>
      </w:r>
      <w:r>
        <w:rPr>
          <w:rFonts w:ascii="Arial" w:cs="Arial" w:eastAsia="Arial" w:hAnsi="Arial"/>
          <w:sz w:val="16"/>
          <w:szCs w:val="16"/>
          <w:color w:val="auto"/>
        </w:rPr>
        <w:t>overdue loans. This last decrease was generated after the bank waived certain fees and offered to freeze installment payments for up to two pay cycles without penalties, in each case in connection with the economic crisis related to the COVID-19 pandemic.</w:t>
      </w:r>
    </w:p>
    <w:p>
      <w:pPr>
        <w:spacing w:after="0" w:line="162" w:lineRule="exact"/>
        <w:rPr>
          <w:rFonts w:ascii="Arial" w:cs="Arial" w:eastAsia="Arial" w:hAnsi="Arial"/>
          <w:sz w:val="16"/>
          <w:szCs w:val="16"/>
          <w:color w:val="auto"/>
        </w:rPr>
      </w:pPr>
    </w:p>
    <w:p>
      <w:pPr>
        <w:ind w:left="722" w:right="40" w:hanging="366"/>
        <w:spacing w:after="0" w:line="316" w:lineRule="auto"/>
        <w:tabs>
          <w:tab w:leader="none" w:pos="722" w:val="left"/>
        </w:tabs>
        <w:numPr>
          <w:ilvl w:val="0"/>
          <w:numId w:val="196"/>
        </w:numPr>
        <w:rPr>
          <w:rFonts w:ascii="Arial" w:cs="Arial" w:eastAsia="Arial" w:hAnsi="Arial"/>
          <w:sz w:val="14"/>
          <w:szCs w:val="14"/>
          <w:color w:val="auto"/>
        </w:rPr>
      </w:pPr>
      <w:r>
        <w:rPr>
          <w:rFonts w:ascii="Arial" w:cs="Arial" w:eastAsia="Arial" w:hAnsi="Arial"/>
          <w:sz w:val="14"/>
          <w:szCs w:val="14"/>
          <w:i w:val="1"/>
          <w:iCs w:val="1"/>
          <w:color w:val="auto"/>
        </w:rPr>
        <w:t>Credit cards</w:t>
      </w:r>
      <w:r>
        <w:rPr>
          <w:rFonts w:ascii="Arial" w:cs="Arial" w:eastAsia="Arial" w:hAnsi="Arial"/>
          <w:sz w:val="14"/>
          <w:szCs w:val="14"/>
          <w:color w:val="auto"/>
        </w:rPr>
        <w:t>, due to (a) seasonality evident in the first quarter of every year due to an increase in transactional activity for year-end transactions and the</w:t>
      </w:r>
      <w:r>
        <w:rPr>
          <w:rFonts w:ascii="Arial" w:cs="Arial" w:eastAsia="Arial" w:hAnsi="Arial"/>
          <w:sz w:val="14"/>
          <w:szCs w:val="14"/>
          <w:i w:val="1"/>
          <w:iCs w:val="1"/>
          <w:color w:val="auto"/>
        </w:rPr>
        <w:t xml:space="preserve"> </w:t>
      </w:r>
      <w:r>
        <w:rPr>
          <w:rFonts w:ascii="Arial" w:cs="Arial" w:eastAsia="Arial" w:hAnsi="Arial"/>
          <w:sz w:val="14"/>
          <w:szCs w:val="14"/>
          <w:color w:val="auto"/>
        </w:rPr>
        <w:t>ordinary-course decrease in activity in the first quarter of every year, (b) a decrease in fees from establishments due to a decrease in consumption, (c) a decrease in fees for overdue loans due to our initiatives not to collect from clients who have availed themselves of our loan freeze programs, and (d) a decrease in card membership fees (which have been suspended until July 2020), in each case in connection with the economic crisis related to the COVID-19 pandemic.</w:t>
      </w:r>
    </w:p>
    <w:p>
      <w:pPr>
        <w:spacing w:after="0" w:line="33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24" w:right="339" w:bottom="1440" w:gutter="0" w:footer="0" w:header="0"/>
        </w:sectPr>
      </w:pPr>
    </w:p>
    <w:bookmarkStart w:id="184" w:name="page185"/>
    <w:bookmarkEnd w:id="184"/>
    <w:p>
      <w:pPr>
        <w:ind w:left="722" w:right="40" w:hanging="366"/>
        <w:spacing w:after="0" w:line="266" w:lineRule="auto"/>
        <w:tabs>
          <w:tab w:leader="none" w:pos="722" w:val="left"/>
        </w:tabs>
        <w:numPr>
          <w:ilvl w:val="0"/>
          <w:numId w:val="197"/>
        </w:numPr>
        <w:rPr>
          <w:rFonts w:ascii="Arial" w:cs="Arial" w:eastAsia="Arial" w:hAnsi="Arial"/>
          <w:sz w:val="16"/>
          <w:szCs w:val="16"/>
          <w:color w:val="auto"/>
        </w:rPr>
      </w:pPr>
      <w:r>
        <w:rPr>
          <w:rFonts w:ascii="Arial" w:cs="Arial" w:eastAsia="Arial" w:hAnsi="Arial"/>
          <w:sz w:val="16"/>
          <w:szCs w:val="16"/>
          <w:i w:val="1"/>
          <w:iCs w:val="1"/>
          <w:color w:val="auto"/>
        </w:rPr>
        <w:t>Drafts and transfers</w:t>
      </w:r>
      <w:r>
        <w:rPr>
          <w:rFonts w:ascii="Arial" w:cs="Arial" w:eastAsia="Arial" w:hAnsi="Arial"/>
          <w:sz w:val="16"/>
          <w:szCs w:val="16"/>
          <w:color w:val="auto"/>
        </w:rPr>
        <w:t>, due to (a) a decrease in transactions of approximately 50% in the month of March (as compared to February), which affected the volume</w:t>
      </w:r>
      <w:r>
        <w:rPr>
          <w:rFonts w:ascii="Arial" w:cs="Arial" w:eastAsia="Arial" w:hAnsi="Arial"/>
          <w:sz w:val="16"/>
          <w:szCs w:val="16"/>
          <w:i w:val="1"/>
          <w:iCs w:val="1"/>
          <w:color w:val="auto"/>
        </w:rPr>
        <w:t xml:space="preserve"> </w:t>
      </w:r>
      <w:r>
        <w:rPr>
          <w:rFonts w:ascii="Arial" w:cs="Arial" w:eastAsia="Arial" w:hAnsi="Arial"/>
          <w:sz w:val="16"/>
          <w:szCs w:val="16"/>
          <w:color w:val="auto"/>
        </w:rPr>
        <w:t>of local and foreign transfers, (b) facilities offered for free local transfers for 30 days, which led fee income for this component to fall 50% in comparison to the level recorded in February, and (c) ordinary-course seasonality when comparing the fourth quarter to the first quarter of every year, whereby a higher number of transactions are carried out in the fourth quarter.</w:t>
      </w:r>
    </w:p>
    <w:p>
      <w:pPr>
        <w:spacing w:after="0" w:line="167" w:lineRule="exact"/>
        <w:rPr>
          <w:sz w:val="20"/>
          <w:szCs w:val="20"/>
          <w:color w:val="auto"/>
        </w:rPr>
      </w:pPr>
    </w:p>
    <w:p>
      <w:pPr>
        <w:ind w:left="2" w:right="180" w:firstLine="295"/>
        <w:spacing w:after="0" w:line="266" w:lineRule="auto"/>
        <w:rPr>
          <w:sz w:val="20"/>
          <w:szCs w:val="20"/>
          <w:color w:val="auto"/>
        </w:rPr>
      </w:pPr>
      <w:r>
        <w:rPr>
          <w:rFonts w:ascii="Arial" w:cs="Arial" w:eastAsia="Arial" w:hAnsi="Arial"/>
          <w:sz w:val="16"/>
          <w:szCs w:val="16"/>
          <w:color w:val="auto"/>
        </w:rPr>
        <w:t>Comparing the three months ended March 31, 2020 to the corresponding period of 2019, the 4.1% decrease was attributable to (i) miscellaneous accounts, (ii) credit cards and (iii) others, which was attributable to the same factors discussed in the comparison between the three months ended March 31, 2020 and three months ended December 31, 2019 and to a decrease in transactional activity during the COVID-19 pandemic. Additionally, the decrease in income is in line with our transactional strategy to encourage clients to migrate to digital channels.</w:t>
      </w:r>
    </w:p>
    <w:p>
      <w:pPr>
        <w:spacing w:after="0" w:line="16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Insurance Underwriting Result</w:t>
      </w:r>
    </w:p>
    <w:p>
      <w:pPr>
        <w:spacing w:after="0" w:line="213" w:lineRule="exact"/>
        <w:rPr>
          <w:sz w:val="20"/>
          <w:szCs w:val="20"/>
          <w:color w:val="auto"/>
        </w:rPr>
      </w:pPr>
    </w:p>
    <w:p>
      <w:pPr>
        <w:ind w:left="2" w:right="220" w:firstLine="295"/>
        <w:spacing w:after="0" w:line="301" w:lineRule="auto"/>
        <w:rPr>
          <w:sz w:val="20"/>
          <w:szCs w:val="20"/>
          <w:color w:val="auto"/>
        </w:rPr>
      </w:pPr>
      <w:r>
        <w:rPr>
          <w:rFonts w:ascii="Arial" w:cs="Arial" w:eastAsia="Arial" w:hAnsi="Arial"/>
          <w:sz w:val="14"/>
          <w:szCs w:val="14"/>
          <w:color w:val="auto"/>
        </w:rPr>
        <w:t>The insurance underwriting result fell 1.8% comparing the three months ended March 31, 2020 to the three months ended December 31, 2019, which was primarily attributable to an increase in the acquisition costs in both P&amp;C and Life insurance. This was mitigated by a decrease in claims in P&amp;C and an increase in net premiums</w:t>
      </w:r>
    </w:p>
    <w:p>
      <w:pPr>
        <w:spacing w:after="0" w:line="1" w:lineRule="exact"/>
        <w:rPr>
          <w:sz w:val="20"/>
          <w:szCs w:val="20"/>
          <w:color w:val="auto"/>
        </w:rPr>
      </w:pPr>
    </w:p>
    <w:p>
      <w:pPr>
        <w:ind w:left="2" w:right="40"/>
        <w:spacing w:after="0" w:line="264" w:lineRule="auto"/>
        <w:rPr>
          <w:sz w:val="20"/>
          <w:szCs w:val="20"/>
          <w:color w:val="auto"/>
        </w:rPr>
      </w:pPr>
      <w:r>
        <w:rPr>
          <w:rFonts w:ascii="Arial" w:cs="Arial" w:eastAsia="Arial" w:hAnsi="Arial"/>
          <w:sz w:val="16"/>
          <w:szCs w:val="16"/>
          <w:color w:val="auto"/>
        </w:rPr>
        <w:t>in Life insurance. Comparing the three months ended March 31, 2020 to the corresponding period of 2019, the underwriting result rose 30.1%, which was driven primarily by an increase in net earned premiums in both the life insurance and the P&amp;C businesses; and by a decrease in claims in the P&amp;C business, which was mitigated by an increase in customer acquisition costs in both businesses.</w:t>
      </w:r>
    </w:p>
    <w:p>
      <w:pPr>
        <w:spacing w:after="0" w:line="176"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3960" w:type="dxa"/>
            <w:vAlign w:val="bottom"/>
          </w:tcPr>
          <w:p>
            <w:pPr>
              <w:spacing w:after="0"/>
              <w:rPr>
                <w:sz w:val="18"/>
                <w:szCs w:val="18"/>
                <w:color w:val="auto"/>
              </w:rPr>
            </w:pPr>
          </w:p>
        </w:tc>
        <w:tc>
          <w:tcPr>
            <w:tcW w:w="3140" w:type="dxa"/>
            <w:vAlign w:val="bottom"/>
            <w:tcBorders>
              <w:bottom w:val="single" w:sz="8" w:color="auto"/>
            </w:tcBorders>
            <w:gridSpan w:val="5"/>
          </w:tcPr>
          <w:p>
            <w:pPr>
              <w:jc w:val="center"/>
              <w:ind w:left="858"/>
              <w:spacing w:after="0"/>
              <w:rPr>
                <w:sz w:val="20"/>
                <w:szCs w:val="20"/>
                <w:color w:val="auto"/>
              </w:rPr>
            </w:pPr>
            <w:r>
              <w:rPr>
                <w:rFonts w:ascii="Arial" w:cs="Arial" w:eastAsia="Arial" w:hAnsi="Arial"/>
                <w:sz w:val="16"/>
                <w:szCs w:val="16"/>
                <w:b w:val="1"/>
                <w:bCs w:val="1"/>
                <w:color w:val="auto"/>
                <w:w w:val="94"/>
              </w:rPr>
              <w:t>For the Three Months Ended</w:t>
            </w:r>
          </w:p>
        </w:tc>
        <w:tc>
          <w:tcPr>
            <w:tcW w:w="9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Borders>
              <w:bottom w:val="single" w:sz="8" w:color="auto"/>
            </w:tcBorders>
            <w:gridSpan w:val="3"/>
          </w:tcPr>
          <w:p>
            <w:pPr>
              <w:jc w:val="right"/>
              <w:ind w:right="11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center"/>
              <w:ind w:right="340"/>
              <w:spacing w:after="0" w:line="173" w:lineRule="exact"/>
              <w:rPr>
                <w:sz w:val="20"/>
                <w:szCs w:val="20"/>
                <w:color w:val="auto"/>
              </w:rPr>
            </w:pPr>
            <w:r>
              <w:rPr>
                <w:rFonts w:ascii="Arial" w:cs="Arial" w:eastAsia="Arial" w:hAnsi="Arial"/>
                <w:sz w:val="16"/>
                <w:szCs w:val="16"/>
                <w:b w:val="1"/>
                <w:bCs w:val="1"/>
                <w:color w:val="auto"/>
                <w:w w:val="97"/>
              </w:rPr>
              <w:t>March</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419"/>
              <w:spacing w:after="0"/>
              <w:rPr>
                <w:sz w:val="20"/>
                <w:szCs w:val="20"/>
                <w:color w:val="auto"/>
              </w:rPr>
            </w:pPr>
            <w:r>
              <w:rPr>
                <w:rFonts w:ascii="Arial" w:cs="Arial" w:eastAsia="Arial" w:hAnsi="Arial"/>
                <w:sz w:val="16"/>
                <w:szCs w:val="16"/>
                <w:b w:val="1"/>
                <w:bCs w:val="1"/>
                <w:color w:val="auto"/>
              </w:rPr>
              <w:t>31, 2020 /</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6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March</w:t>
            </w:r>
          </w:p>
        </w:tc>
        <w:tc>
          <w:tcPr>
            <w:tcW w:w="170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3"/>
              </w:rPr>
              <w:t>December</w:t>
            </w:r>
          </w:p>
        </w:tc>
        <w:tc>
          <w:tcPr>
            <w:tcW w:w="118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March</w:t>
            </w:r>
          </w:p>
        </w:tc>
        <w:tc>
          <w:tcPr>
            <w:tcW w:w="15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December</w:t>
            </w:r>
          </w:p>
        </w:tc>
        <w:tc>
          <w:tcPr>
            <w:tcW w:w="1400" w:type="dxa"/>
            <w:vAlign w:val="bottom"/>
          </w:tcPr>
          <w:p>
            <w:pPr>
              <w:jc w:val="right"/>
              <w:ind w:right="480"/>
              <w:spacing w:after="0"/>
              <w:rPr>
                <w:sz w:val="20"/>
                <w:szCs w:val="20"/>
                <w:color w:val="auto"/>
              </w:rPr>
            </w:pPr>
            <w:r>
              <w:rPr>
                <w:rFonts w:ascii="Arial" w:cs="Arial" w:eastAsia="Arial" w:hAnsi="Arial"/>
                <w:sz w:val="16"/>
                <w:szCs w:val="16"/>
                <w:b w:val="1"/>
                <w:bCs w:val="1"/>
                <w:color w:val="auto"/>
              </w:rPr>
              <w:t>March</w:t>
            </w:r>
          </w:p>
        </w:tc>
        <w:tc>
          <w:tcPr>
            <w:tcW w:w="0" w:type="dxa"/>
            <w:vAlign w:val="bottom"/>
          </w:tcPr>
          <w:p>
            <w:pPr>
              <w:spacing w:after="0"/>
              <w:rPr>
                <w:sz w:val="1"/>
                <w:szCs w:val="1"/>
                <w:color w:val="auto"/>
              </w:rPr>
            </w:pPr>
          </w:p>
        </w:tc>
      </w:tr>
      <w:tr>
        <w:trPr>
          <w:trHeight w:val="212"/>
        </w:trPr>
        <w:tc>
          <w:tcPr>
            <w:tcW w:w="3960" w:type="dxa"/>
            <w:vAlign w:val="bottom"/>
          </w:tcPr>
          <w:p>
            <w:pPr>
              <w:spacing w:after="0"/>
              <w:rPr>
                <w:sz w:val="18"/>
                <w:szCs w:val="18"/>
                <w:color w:val="auto"/>
              </w:rPr>
            </w:pPr>
          </w:p>
        </w:tc>
        <w:tc>
          <w:tcPr>
            <w:tcW w:w="12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31, 2019</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31, 2019</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w w:val="96"/>
              </w:rPr>
              <w:t>31, 2020</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31, 2019</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8"/>
              </w:rPr>
              <w:t>31, 2020 / 2019</w:t>
            </w:r>
          </w:p>
        </w:tc>
        <w:tc>
          <w:tcPr>
            <w:tcW w:w="0" w:type="dxa"/>
            <w:vAlign w:val="bottom"/>
          </w:tcPr>
          <w:p>
            <w:pPr>
              <w:spacing w:after="0"/>
              <w:rPr>
                <w:sz w:val="1"/>
                <w:szCs w:val="1"/>
                <w:color w:val="auto"/>
              </w:rPr>
            </w:pPr>
          </w:p>
        </w:tc>
      </w:tr>
      <w:tr>
        <w:trPr>
          <w:trHeight w:val="189"/>
        </w:trPr>
        <w:tc>
          <w:tcPr>
            <w:tcW w:w="3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40" w:type="dxa"/>
            <w:vAlign w:val="bottom"/>
            <w:gridSpan w:val="7"/>
          </w:tcPr>
          <w:p>
            <w:pPr>
              <w:ind w:left="720"/>
              <w:spacing w:after="0"/>
              <w:rPr>
                <w:sz w:val="20"/>
                <w:szCs w:val="20"/>
                <w:color w:val="auto"/>
              </w:rPr>
            </w:pPr>
            <w:r>
              <w:rPr>
                <w:rFonts w:ascii="Arial" w:cs="Arial" w:eastAsia="Arial" w:hAnsi="Arial"/>
                <w:sz w:val="16"/>
                <w:szCs w:val="16"/>
                <w:b w:val="1"/>
                <w:bCs w:val="1"/>
                <w:color w:val="auto"/>
              </w:rPr>
              <w:t>(Soles in thousands, except percentages)</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Insurance underwriting result(1)</w:t>
            </w: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60" w:type="dxa"/>
            <w:vAlign w:val="bottom"/>
          </w:tcPr>
          <w:p>
            <w:pPr>
              <w:spacing w:after="0"/>
              <w:rPr>
                <w:sz w:val="20"/>
                <w:szCs w:val="20"/>
                <w:color w:val="auto"/>
              </w:rPr>
            </w:pPr>
            <w:r>
              <w:rPr>
                <w:rFonts w:ascii="Arial" w:cs="Arial" w:eastAsia="Arial" w:hAnsi="Arial"/>
                <w:sz w:val="16"/>
                <w:szCs w:val="16"/>
                <w:color w:val="auto"/>
              </w:rPr>
              <w:t>Net earned premiums</w:t>
            </w: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584,209</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620,578</w:t>
            </w:r>
          </w:p>
        </w:tc>
        <w:tc>
          <w:tcPr>
            <w:tcW w:w="2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627,935</w:t>
            </w:r>
          </w:p>
        </w:tc>
        <w:tc>
          <w:tcPr>
            <w:tcW w:w="14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97"/>
        </w:trPr>
        <w:tc>
          <w:tcPr>
            <w:tcW w:w="3960" w:type="dxa"/>
            <w:vAlign w:val="bottom"/>
            <w:shd w:val="clear" w:color="auto" w:fill="CCEEFF"/>
          </w:tcPr>
          <w:p>
            <w:pPr>
              <w:spacing w:after="0"/>
              <w:rPr>
                <w:sz w:val="20"/>
                <w:szCs w:val="20"/>
                <w:color w:val="auto"/>
              </w:rPr>
            </w:pPr>
            <w:r>
              <w:rPr>
                <w:rFonts w:ascii="Arial" w:cs="Arial" w:eastAsia="Arial" w:hAnsi="Arial"/>
                <w:sz w:val="16"/>
                <w:szCs w:val="16"/>
                <w:color w:val="auto"/>
              </w:rPr>
              <w:t>Net claims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(383,817)</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(387,426)</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(373,502)</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8"/>
        </w:trPr>
        <w:tc>
          <w:tcPr>
            <w:tcW w:w="3960" w:type="dxa"/>
            <w:vAlign w:val="bottom"/>
          </w:tcPr>
          <w:p>
            <w:pPr>
              <w:spacing w:after="0"/>
              <w:rPr>
                <w:sz w:val="20"/>
                <w:szCs w:val="20"/>
                <w:color w:val="auto"/>
              </w:rPr>
            </w:pPr>
            <w:r>
              <w:rPr>
                <w:rFonts w:ascii="Arial" w:cs="Arial" w:eastAsia="Arial" w:hAnsi="Arial"/>
                <w:sz w:val="16"/>
                <w:szCs w:val="16"/>
                <w:color w:val="auto"/>
              </w:rPr>
              <w:t>Acquisition costs(2)</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(91,281)</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(88,662)</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(112,507)</w:t>
            </w:r>
          </w:p>
        </w:tc>
        <w:tc>
          <w:tcPr>
            <w:tcW w:w="144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0"/>
        </w:trPr>
        <w:tc>
          <w:tcPr>
            <w:tcW w:w="396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Total insurance underwriting result</w:t>
            </w: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960" w:type="dxa"/>
            <w:vAlign w:val="bottom"/>
            <w:vMerge w:val="continue"/>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109,111</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144,490</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141,926</w:t>
            </w:r>
          </w:p>
        </w:tc>
        <w:tc>
          <w:tcPr>
            <w:tcW w:w="1440" w:type="dxa"/>
            <w:vAlign w:val="bottom"/>
            <w:shd w:val="clear" w:color="auto" w:fill="CCEEFF"/>
          </w:tcPr>
          <w:p>
            <w:pPr>
              <w:jc w:val="right"/>
              <w:spacing w:after="0" w:line="226" w:lineRule="exact"/>
              <w:rPr>
                <w:sz w:val="20"/>
                <w:szCs w:val="20"/>
                <w:color w:val="auto"/>
              </w:rPr>
            </w:pPr>
            <w:r>
              <w:rPr>
                <w:rFonts w:ascii="Arial" w:cs="Arial" w:eastAsia="Arial" w:hAnsi="Arial"/>
                <w:sz w:val="14"/>
                <w:szCs w:val="14"/>
                <w:b w:val="1"/>
                <w:bCs w:val="1"/>
                <w:color w:val="auto"/>
              </w:rPr>
              <w:t>(1.8</w:t>
            </w:r>
            <w:r>
              <w:rPr>
                <w:rFonts w:ascii="Arial" w:cs="Arial" w:eastAsia="Arial" w:hAnsi="Arial"/>
                <w:sz w:val="26"/>
                <w:szCs w:val="26"/>
                <w:b w:val="1"/>
                <w:bCs w:val="1"/>
                <w:color w:val="auto"/>
                <w:vertAlign w:val="superscript"/>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line="226" w:lineRule="exact"/>
              <w:rPr>
                <w:sz w:val="20"/>
                <w:szCs w:val="20"/>
                <w:color w:val="auto"/>
              </w:rPr>
            </w:pPr>
            <w:r>
              <w:rPr>
                <w:rFonts w:ascii="Arial" w:cs="Arial" w:eastAsia="Arial" w:hAnsi="Arial"/>
                <w:sz w:val="14"/>
                <w:szCs w:val="14"/>
                <w:b w:val="1"/>
                <w:bCs w:val="1"/>
                <w:color w:val="auto"/>
              </w:rPr>
              <w:t>30.1</w:t>
            </w:r>
            <w:r>
              <w:rPr>
                <w:rFonts w:ascii="Arial" w:cs="Arial" w:eastAsia="Arial" w:hAnsi="Arial"/>
                <w:sz w:val="26"/>
                <w:szCs w:val="26"/>
                <w:b w:val="1"/>
                <w:bCs w:val="1"/>
                <w:color w:val="auto"/>
                <w:vertAlign w:val="superscript"/>
              </w:rPr>
              <w:t>%</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786255"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786255" cy="7620"/>
                    </a:xfrm>
                    <a:prstGeom prst="rect">
                      <a:avLst/>
                    </a:prstGeom>
                    <a:noFill/>
                  </pic:spPr>
                </pic:pic>
              </a:graphicData>
            </a:graphic>
          </wp:anchor>
        </w:drawing>
      </w:r>
    </w:p>
    <w:p>
      <w:pPr>
        <w:spacing w:after="0" w:line="311" w:lineRule="exact"/>
        <w:rPr>
          <w:sz w:val="20"/>
          <w:szCs w:val="20"/>
          <w:color w:val="auto"/>
        </w:rPr>
      </w:pPr>
    </w:p>
    <w:p>
      <w:pPr>
        <w:ind w:left="302" w:hanging="302"/>
        <w:spacing w:after="0"/>
        <w:tabs>
          <w:tab w:leader="none" w:pos="302"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Includes the results of the Life, Property and Casualty and Crediseguros business</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Includes net fees and underwriting expenses.</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23" w:right="339" w:bottom="1440" w:gutter="0" w:footer="0" w:header="0"/>
        </w:sectPr>
      </w:pPr>
    </w:p>
    <w:bookmarkStart w:id="185" w:name="page186"/>
    <w:bookmarkEnd w:id="185"/>
    <w:p>
      <w:pPr>
        <w:ind w:left="160"/>
        <w:spacing w:after="0"/>
        <w:rPr>
          <w:sz w:val="20"/>
          <w:szCs w:val="20"/>
          <w:color w:val="auto"/>
        </w:rPr>
      </w:pPr>
      <w:r>
        <w:rPr>
          <w:rFonts w:ascii="Arial" w:cs="Arial" w:eastAsia="Arial" w:hAnsi="Arial"/>
          <w:sz w:val="16"/>
          <w:szCs w:val="16"/>
          <w:b w:val="1"/>
          <w:bCs w:val="1"/>
          <w:i w:val="1"/>
          <w:iCs w:val="1"/>
          <w:color w:val="auto"/>
        </w:rPr>
        <w:t>Life Insurance</w:t>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Life Insurance Total Premiums</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1590040</wp:posOffset>
            </wp:positionH>
            <wp:positionV relativeFrom="paragraph">
              <wp:posOffset>133350</wp:posOffset>
            </wp:positionV>
            <wp:extent cx="3962400" cy="16459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96240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firstLine="295"/>
        <w:spacing w:after="0" w:line="306" w:lineRule="auto"/>
        <w:rPr>
          <w:sz w:val="20"/>
          <w:szCs w:val="20"/>
          <w:color w:val="auto"/>
        </w:rPr>
      </w:pPr>
      <w:r>
        <w:rPr>
          <w:rFonts w:ascii="Arial" w:cs="Arial" w:eastAsia="Arial" w:hAnsi="Arial"/>
          <w:sz w:val="14"/>
          <w:szCs w:val="14"/>
          <w:color w:val="auto"/>
        </w:rPr>
        <w:t>Total premiums increased 0.4% when comparing the three months ended March 31, 2020 to the three months ended December 31, 2019, which was attributable to (i) an increase in group life policies, mainly through statutory life due to new regulations that went into effect in January 2020 in which companies must insure their employees upon the first day of employment; (ii) credit life policies, through the alliance channel after solidarity payments (late payments assumed by the entity) were made; and (iii) D&amp;S, after an increase in premiums was registered through SISCO IV. These increases were offset in part by annuities and driven primarily by a decrease in sales of individual annuities and individual life policies after issuances of individual policies decreased in the direct channel; both annuities and individual life policies were affected by a decrease in the number of selling days due to the quarantine measures instituted by the government in connection with the COVID-19 pandemic.</w:t>
      </w: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120"/>
          </w:cols>
          <w:pgMar w:left="320" w:top="324" w:right="459" w:bottom="1440" w:gutter="0" w:footer="0" w:header="0"/>
        </w:sectPr>
      </w:pPr>
    </w:p>
    <w:bookmarkStart w:id="186" w:name="page187"/>
    <w:bookmarkEnd w:id="186"/>
    <w:p>
      <w:pPr>
        <w:jc w:val="both"/>
        <w:ind w:left="2" w:right="240" w:firstLine="295"/>
        <w:spacing w:after="0" w:line="301" w:lineRule="auto"/>
        <w:rPr>
          <w:sz w:val="20"/>
          <w:szCs w:val="20"/>
          <w:color w:val="auto"/>
        </w:rPr>
      </w:pPr>
      <w:r>
        <w:rPr>
          <w:rFonts w:ascii="Arial" w:cs="Arial" w:eastAsia="Arial" w:hAnsi="Arial"/>
          <w:sz w:val="14"/>
          <w:szCs w:val="14"/>
          <w:color w:val="auto"/>
        </w:rPr>
        <w:t>Comparing the three months ended March 31, 2020 to the corresponding period of 2019, total premiums increased 0.5%, which was mainly driven by (i) credit life policies, where growth was attributable to an increase in premiums in the alliance and bancassurance channels and to solidarity payments (debts assumed by the entity);</w:t>
      </w:r>
    </w:p>
    <w:p>
      <w:pPr>
        <w:spacing w:after="0" w:line="1" w:lineRule="exact"/>
        <w:rPr>
          <w:sz w:val="20"/>
          <w:szCs w:val="20"/>
          <w:color w:val="auto"/>
        </w:rPr>
      </w:pPr>
    </w:p>
    <w:p>
      <w:pPr>
        <w:ind w:left="2" w:right="220" w:hanging="2"/>
        <w:spacing w:after="0" w:line="292" w:lineRule="auto"/>
        <w:tabs>
          <w:tab w:leader="none" w:pos="243" w:val="left"/>
        </w:tabs>
        <w:numPr>
          <w:ilvl w:val="0"/>
          <w:numId w:val="199"/>
        </w:numPr>
        <w:rPr>
          <w:rFonts w:ascii="Arial" w:cs="Arial" w:eastAsia="Arial" w:hAnsi="Arial"/>
          <w:sz w:val="14"/>
          <w:szCs w:val="14"/>
          <w:color w:val="auto"/>
        </w:rPr>
      </w:pPr>
      <w:r>
        <w:rPr>
          <w:rFonts w:ascii="Arial" w:cs="Arial" w:eastAsia="Arial" w:hAnsi="Arial"/>
          <w:sz w:val="14"/>
          <w:szCs w:val="14"/>
          <w:color w:val="auto"/>
        </w:rPr>
        <w:t>group life, due to an increase in statutory life insurance products after a new regulation went into effect in January 2020 in which companies must insure their employees upon the first day of employment, and to growth in collective life policies, which was reflected in an increase in premium turnover in the bancassurance line;</w:t>
      </w:r>
    </w:p>
    <w:p>
      <w:pPr>
        <w:spacing w:after="0" w:line="1" w:lineRule="exact"/>
        <w:rPr>
          <w:rFonts w:ascii="Arial" w:cs="Arial" w:eastAsia="Arial" w:hAnsi="Arial"/>
          <w:sz w:val="14"/>
          <w:szCs w:val="14"/>
          <w:color w:val="auto"/>
        </w:rPr>
      </w:pPr>
    </w:p>
    <w:p>
      <w:pPr>
        <w:ind w:left="2" w:right="160" w:hanging="2"/>
        <w:spacing w:after="0" w:line="264" w:lineRule="auto"/>
        <w:tabs>
          <w:tab w:leader="none" w:pos="28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individual life policies, due to an increase in premium turnover for renewals; and (iv) D&amp;S, due to an increase in premiums through SISCO IV. These increases were offset in part by a decrease in premiums in annuities due to individual annuities and to a decrease in selling days due to the quarantine measures instituted by the government in connection with the COVID-19 pandemic.</w:t>
      </w:r>
    </w:p>
    <w:p>
      <w:pPr>
        <w:spacing w:after="0" w:line="164"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Life Insurance Net Earned Premiums(1)</w:t>
      </w:r>
    </w:p>
    <w:p>
      <w:pPr>
        <w:spacing w:after="0" w:line="28"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1857375</wp:posOffset>
            </wp:positionV>
            <wp:extent cx="1786255"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786255" cy="7620"/>
                    </a:xfrm>
                    <a:prstGeom prst="rect">
                      <a:avLst/>
                    </a:prstGeom>
                    <a:noFill/>
                  </pic:spPr>
                </pic:pic>
              </a:graphicData>
            </a:graphic>
          </wp:anchor>
        </w:drawing>
        <w:drawing>
          <wp:anchor simplePos="0" relativeHeight="251657728" behindDoc="1" locked="0" layoutInCell="0" allowOverlap="1">
            <wp:simplePos x="0" y="0"/>
            <wp:positionH relativeFrom="column">
              <wp:posOffset>1450975</wp:posOffset>
            </wp:positionH>
            <wp:positionV relativeFrom="paragraph">
              <wp:posOffset>133350</wp:posOffset>
            </wp:positionV>
            <wp:extent cx="4211955" cy="15367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211955" cy="1536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
        <w:spacing w:after="0"/>
        <w:rPr>
          <w:sz w:val="20"/>
          <w:szCs w:val="20"/>
          <w:color w:val="auto"/>
        </w:rPr>
      </w:pPr>
      <w:r>
        <w:rPr>
          <w:rFonts w:ascii="Arial" w:cs="Arial" w:eastAsia="Arial" w:hAnsi="Arial"/>
          <w:sz w:val="16"/>
          <w:szCs w:val="16"/>
          <w:color w:val="auto"/>
        </w:rPr>
        <w:t>(1)  Total premiums without considering reinsurance nor reserve premiums.</w:t>
      </w:r>
    </w:p>
    <w:p>
      <w:pPr>
        <w:spacing w:after="0" w:line="209" w:lineRule="exact"/>
        <w:rPr>
          <w:sz w:val="20"/>
          <w:szCs w:val="20"/>
          <w:color w:val="auto"/>
        </w:rPr>
      </w:pPr>
    </w:p>
    <w:p>
      <w:pPr>
        <w:jc w:val="both"/>
        <w:ind w:left="2" w:right="660" w:firstLine="295"/>
        <w:spacing w:after="0" w:line="271" w:lineRule="auto"/>
        <w:rPr>
          <w:sz w:val="20"/>
          <w:szCs w:val="20"/>
          <w:color w:val="auto"/>
        </w:rPr>
      </w:pPr>
      <w:r>
        <w:rPr>
          <w:rFonts w:ascii="Arial" w:cs="Arial" w:eastAsia="Arial" w:hAnsi="Arial"/>
          <w:sz w:val="16"/>
          <w:szCs w:val="16"/>
          <w:color w:val="auto"/>
        </w:rPr>
        <w:t>Net earned premiums increased 5.5% comparing the three months ended March 31, 2020 to the three months ended December 31, 2019. This was primarily attributable to growth in credit life policies and statutory life policies, which mirrored growth observed in total premiums, and was also due to the performance of annuities, which was driven by a decrease in reserves due to adjustments in the parameters for investment rates.</w:t>
      </w:r>
    </w:p>
    <w:p>
      <w:pPr>
        <w:spacing w:after="0" w:line="163" w:lineRule="exact"/>
        <w:rPr>
          <w:sz w:val="20"/>
          <w:szCs w:val="20"/>
          <w:color w:val="auto"/>
        </w:rPr>
      </w:pPr>
    </w:p>
    <w:p>
      <w:pPr>
        <w:ind w:left="2" w:firstLine="295"/>
        <w:spacing w:after="0" w:line="264" w:lineRule="auto"/>
        <w:rPr>
          <w:sz w:val="20"/>
          <w:szCs w:val="20"/>
          <w:color w:val="auto"/>
        </w:rPr>
      </w:pPr>
      <w:r>
        <w:rPr>
          <w:rFonts w:ascii="Arial" w:cs="Arial" w:eastAsia="Arial" w:hAnsi="Arial"/>
          <w:sz w:val="16"/>
          <w:szCs w:val="16"/>
          <w:color w:val="auto"/>
        </w:rPr>
        <w:t>Comparing the three months ended March 31, 2020 to the corresponding period of 2019, net earned premiums increased 11.1%. This was primarily driven by: (i) credit life policies, which reported an increase in sales through the alliance and bancassurance channels and to the increase registered for solidarity payment; (ii) group life policies, which was mainly attributable to an increase in sales of the collective life product through the bancassurance channel; (iii) annuities, due to a decrease in reserves after adjustments were made to the parameters for investment rates; and (iv) D&amp;S, due to an increase in the premiums reported in SISCO IV. These increases were offset in part by a decrease in individual life policies after a higher adjustment was made to reserves.</w:t>
      </w:r>
    </w:p>
    <w:p>
      <w:pPr>
        <w:spacing w:after="0" w:line="163"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Life Insurance Net Claims</w:t>
      </w:r>
    </w:p>
    <w:p>
      <w:pPr>
        <w:spacing w:after="0" w:line="28"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1216660</wp:posOffset>
            </wp:positionH>
            <wp:positionV relativeFrom="paragraph">
              <wp:posOffset>133350</wp:posOffset>
            </wp:positionV>
            <wp:extent cx="4679950" cy="18249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679950" cy="182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2"/>
        <w:spacing w:after="0"/>
        <w:rPr>
          <w:sz w:val="20"/>
          <w:szCs w:val="20"/>
          <w:color w:val="auto"/>
        </w:rPr>
      </w:pPr>
      <w:r>
        <w:rPr>
          <w:rFonts w:ascii="Arial" w:cs="Arial" w:eastAsia="Arial" w:hAnsi="Arial"/>
          <w:sz w:val="15"/>
          <w:szCs w:val="15"/>
          <w:color w:val="auto"/>
        </w:rPr>
        <w:t>Net claims increased 1.2% comparing the three months ended March 31, 2020 to the three months ended December 31, 2019. This was attributable to: (i) credit</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5"/>
          <w:szCs w:val="15"/>
          <w:color w:val="auto"/>
        </w:rPr>
        <w:t>life, which reported higher claims in the bancassurance channel; (ii) group life, after more IBNR reserves were set aside for statutory life and collective life products; and,</w:t>
      </w:r>
    </w:p>
    <w:p>
      <w:pPr>
        <w:spacing w:after="0" w:line="24" w:lineRule="exact"/>
        <w:rPr>
          <w:sz w:val="20"/>
          <w:szCs w:val="20"/>
          <w:color w:val="auto"/>
        </w:rPr>
      </w:pPr>
    </w:p>
    <w:p>
      <w:pPr>
        <w:ind w:left="2" w:right="220" w:hanging="2"/>
        <w:spacing w:after="0" w:line="272" w:lineRule="auto"/>
        <w:tabs>
          <w:tab w:leader="none" w:pos="28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annuities due to an increase in pension payments for individual annuities. These increases were offset in part by D&amp;S after provisions for claims through SISCO IV were released.</w:t>
      </w:r>
    </w:p>
    <w:p>
      <w:pPr>
        <w:spacing w:after="0" w:line="358"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24" w:right="339" w:bottom="1440" w:gutter="0" w:footer="0" w:header="0"/>
        </w:sectPr>
      </w:pPr>
    </w:p>
    <w:bookmarkStart w:id="187" w:name="page188"/>
    <w:bookmarkEnd w:id="187"/>
    <w:p>
      <w:pPr>
        <w:ind w:right="360" w:firstLine="295"/>
        <w:spacing w:after="0" w:line="322" w:lineRule="auto"/>
        <w:rPr>
          <w:sz w:val="20"/>
          <w:szCs w:val="20"/>
          <w:color w:val="auto"/>
        </w:rPr>
      </w:pPr>
      <w:r>
        <w:rPr>
          <w:rFonts w:ascii="Arial" w:cs="Arial" w:eastAsia="Arial" w:hAnsi="Arial"/>
          <w:sz w:val="15"/>
          <w:szCs w:val="15"/>
          <w:color w:val="auto"/>
        </w:rPr>
        <w:t>Comparing the three months ended March 31, 2020 to the corresponding period of 2019, net claims increased 7.9%, which was primarily driven by D&amp;S through SISCO II and SISCO III due to a decrease in interest rates and in annuities due to an increase in pension payments through individual annuities.</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Property and Casualty Insurance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Property and Casualty Total Premiums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1137920</wp:posOffset>
            </wp:positionH>
            <wp:positionV relativeFrom="paragraph">
              <wp:posOffset>133350</wp:posOffset>
            </wp:positionV>
            <wp:extent cx="4867275" cy="17786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867275" cy="177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firstLine="295"/>
        <w:spacing w:after="0" w:line="262" w:lineRule="auto"/>
        <w:rPr>
          <w:sz w:val="20"/>
          <w:szCs w:val="20"/>
          <w:color w:val="auto"/>
        </w:rPr>
      </w:pPr>
      <w:r>
        <w:rPr>
          <w:rFonts w:ascii="Arial" w:cs="Arial" w:eastAsia="Arial" w:hAnsi="Arial"/>
          <w:sz w:val="16"/>
          <w:szCs w:val="16"/>
          <w:color w:val="auto"/>
        </w:rPr>
        <w:t>Total premiums in property and casualty insurance decreased 10.8% comparing the three months ended March 31, 2020 to the three months ended December 31, 2019, which was attributable to (i) commercial lines, due to a decrease in renewals in the fire and third-party liability lines, which was mitigated by an increase in sales in the agriculture and aviation lines; (ii) cars, due to a decrease in sales of new policies through the brokers channel and to a decrease in production due to the quarantine imposed by the Peruvian government in mid-March in connection with the COVID-19 pandemic; and (iii) SOAT, due a decrease in sales through brokers. These decreases were offset in part by increases in (i) personal lines, due to renewed premiums for mortgage products; and (ii) medical assistance, due to an increase in sales of comprehensive health products through brokers.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88" w:name="page189"/>
    <w:bookmarkEnd w:id="188"/>
    <w:p>
      <w:pPr>
        <w:ind w:firstLine="295"/>
        <w:spacing w:after="0" w:line="285" w:lineRule="auto"/>
        <w:rPr>
          <w:sz w:val="20"/>
          <w:szCs w:val="20"/>
          <w:color w:val="auto"/>
        </w:rPr>
      </w:pPr>
      <w:r>
        <w:rPr>
          <w:rFonts w:ascii="Arial" w:cs="Arial" w:eastAsia="Arial" w:hAnsi="Arial"/>
          <w:sz w:val="15"/>
          <w:szCs w:val="15"/>
          <w:color w:val="auto"/>
        </w:rPr>
        <w:t>Comparing the three months ended March 31, 2020 to the corresponding period of 2019, total premiums in property and casualty insurance increased 2.0% due to (i) commercial lines, which experienced growth in the agriculture and aviation lines; (ii) medical assistance, due to an increase in sales of oncological and comprehensive health products; and (iii) personal lines, due to an increase in the price of the credit card protection product and to an increase in sales of personal accident products. These increases were offset in part by a decrease in sales of new policies for cars and SOAT through brokers and to the decrease in the number of selling days after the quarantine was imposed by the Peruvian government in mid-March in connection with the COVID-19 pandemic.</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Property and Casualty Net Earned Premiums(1)</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1935480</wp:posOffset>
            </wp:positionV>
            <wp:extent cx="1786255"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786255" cy="7620"/>
                    </a:xfrm>
                    <a:prstGeom prst="rect">
                      <a:avLst/>
                    </a:prstGeom>
                    <a:noFill/>
                  </pic:spPr>
                </pic:pic>
              </a:graphicData>
            </a:graphic>
          </wp:anchor>
        </w:drawing>
        <w:drawing>
          <wp:anchor simplePos="0" relativeHeight="251657728" behindDoc="1" locked="0" layoutInCell="0" allowOverlap="1">
            <wp:simplePos x="0" y="0"/>
            <wp:positionH relativeFrom="column">
              <wp:posOffset>1504315</wp:posOffset>
            </wp:positionH>
            <wp:positionV relativeFrom="paragraph">
              <wp:posOffset>133350</wp:posOffset>
            </wp:positionV>
            <wp:extent cx="4102735" cy="16148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102735" cy="1614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(1)  Total premiums without considering reinsurance nor reserve premiums.</w:t>
      </w:r>
    </w:p>
    <w:p>
      <w:pPr>
        <w:spacing w:after="0" w:line="209" w:lineRule="exact"/>
        <w:rPr>
          <w:sz w:val="20"/>
          <w:szCs w:val="20"/>
          <w:color w:val="auto"/>
        </w:rPr>
      </w:pPr>
    </w:p>
    <w:p>
      <w:pPr>
        <w:jc w:val="both"/>
        <w:ind w:right="60" w:firstLine="295"/>
        <w:spacing w:after="0" w:line="271" w:lineRule="auto"/>
        <w:rPr>
          <w:sz w:val="20"/>
          <w:szCs w:val="20"/>
          <w:color w:val="auto"/>
        </w:rPr>
      </w:pPr>
      <w:r>
        <w:rPr>
          <w:rFonts w:ascii="Arial" w:cs="Arial" w:eastAsia="Arial" w:hAnsi="Arial"/>
          <w:sz w:val="16"/>
          <w:szCs w:val="16"/>
          <w:color w:val="auto"/>
        </w:rPr>
        <w:t>Net earned premiums in property and casualty insurance decreased 3.3% comparing the three months ended March 31, 2020 to the three months ended December 31, 2019, which was primarily attributable to the factors described above in relation to total premiums, as well as to an increase in unexpired risk reserves (URR) for products in the personal lines and medical assistance.</w:t>
      </w:r>
    </w:p>
    <w:p>
      <w:pPr>
        <w:spacing w:after="0" w:line="163" w:lineRule="exact"/>
        <w:rPr>
          <w:sz w:val="20"/>
          <w:szCs w:val="20"/>
          <w:color w:val="auto"/>
        </w:rPr>
      </w:pPr>
    </w:p>
    <w:p>
      <w:pPr>
        <w:ind w:right="180" w:firstLine="295"/>
        <w:spacing w:after="0" w:line="327" w:lineRule="auto"/>
        <w:rPr>
          <w:sz w:val="20"/>
          <w:szCs w:val="20"/>
          <w:color w:val="auto"/>
        </w:rPr>
      </w:pPr>
      <w:r>
        <w:rPr>
          <w:rFonts w:ascii="Arial" w:cs="Arial" w:eastAsia="Arial" w:hAnsi="Arial"/>
          <w:sz w:val="14"/>
          <w:szCs w:val="14"/>
          <w:color w:val="auto"/>
        </w:rPr>
        <w:t>Comparing the three months ended March 31, 2020 to the corresponding period of 2019, net premiums in property and casualty insurance increased 3.5%. This was primarily attributable to increases in medical assistance premiums and personal lines premiums, for the same reasons as those attributable to the evolution of total premiums described above, and to the performance of cars, which was marked by a decrease in the reserves set aside for unexpired risk after direct premiums decreased.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Property and Casualty Net Claims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133350</wp:posOffset>
            </wp:positionV>
            <wp:extent cx="3900170" cy="1551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900170"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0" w:firstLine="295"/>
        <w:spacing w:after="0" w:line="289" w:lineRule="auto"/>
        <w:rPr>
          <w:sz w:val="20"/>
          <w:szCs w:val="20"/>
          <w:color w:val="auto"/>
        </w:rPr>
      </w:pPr>
      <w:r>
        <w:rPr>
          <w:rFonts w:ascii="Arial" w:cs="Arial" w:eastAsia="Arial" w:hAnsi="Arial"/>
          <w:sz w:val="15"/>
          <w:szCs w:val="15"/>
          <w:color w:val="auto"/>
        </w:rPr>
        <w:t>Net claims in property and casualty insurance decreased 11.3% comparing the three months ended March 31, 2020 to the three months ended December 31, 2019, which was attributable to a decrease in claims notifications after the quarantine was imposed by the Peruvian government in mid-March in connection with the COVID-19 pandemic. This decrease was mainly registered in cars, SOAT and personal lines. The decrease in claims was also attributable to an improvement in claims management in cars. The factors described above were offset in part by increases in claims for medical assistance, which registered an increase in IBNR reserves.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4385"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189" w:name="page190"/>
    <w:bookmarkEnd w:id="189"/>
    <w:p>
      <w:pPr>
        <w:ind w:right="100" w:firstLine="295"/>
        <w:spacing w:after="0" w:line="271" w:lineRule="auto"/>
        <w:rPr>
          <w:sz w:val="20"/>
          <w:szCs w:val="20"/>
          <w:color w:val="auto"/>
        </w:rPr>
      </w:pPr>
      <w:r>
        <w:rPr>
          <w:rFonts w:ascii="Arial" w:cs="Arial" w:eastAsia="Arial" w:hAnsi="Arial"/>
          <w:sz w:val="16"/>
          <w:szCs w:val="16"/>
          <w:color w:val="auto"/>
        </w:rPr>
        <w:t>Comparing the three months ended March 31, 2020 to the corresponding period of 2019, net claims fell 17.3%. The decrease in claims was seen across business lines after fewer notifications for claims were received due to the quarantine that was instituted by the Peruvian government in mid-March in connection with the COVID-19 pandemic and to an improvement in claims management in cars.</w:t>
      </w:r>
    </w:p>
    <w:p>
      <w:pPr>
        <w:sectPr>
          <w:pgSz w:w="11900" w:h="16838" w:orient="portrait"/>
          <w:cols w:equalWidth="0" w:num="1">
            <w:col w:w="11240"/>
          </w:cols>
          <w:pgMar w:left="320" w:top="520" w:right="339" w:bottom="1440" w:gutter="0" w:footer="0" w:header="0"/>
        </w:sectPr>
      </w:pPr>
    </w:p>
    <w:p>
      <w:pPr>
        <w:spacing w:after="0" w:line="163"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Acquisition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Acquisition Costs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Net Fees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Underwriting Expenses</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Underwriting Income</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Acquisition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jc w:val="center"/>
        <w:ind w:right="4540"/>
        <w:spacing w:after="0"/>
        <w:rPr>
          <w:sz w:val="20"/>
          <w:szCs w:val="20"/>
          <w:color w:val="auto"/>
        </w:rPr>
      </w:pPr>
      <w:r>
        <w:rPr>
          <w:rFonts w:ascii="Arial" w:cs="Arial" w:eastAsia="Arial" w:hAnsi="Arial"/>
          <w:sz w:val="14"/>
          <w:szCs w:val="14"/>
          <w:b w:val="1"/>
          <w:bCs w:val="1"/>
          <w:color w:val="auto"/>
        </w:rPr>
        <w:t>Acquisition Costs per Business</w:t>
      </w:r>
    </w:p>
    <w:p>
      <w:pPr>
        <w:spacing w:after="0" w:line="51" w:lineRule="exact"/>
        <w:rPr>
          <w:sz w:val="20"/>
          <w:szCs w:val="20"/>
          <w:color w:val="auto"/>
        </w:rPr>
      </w:pPr>
    </w:p>
    <w:p>
      <w:pPr>
        <w:jc w:val="center"/>
        <w:ind w:right="4540"/>
        <w:spacing w:after="0"/>
        <w:rPr>
          <w:sz w:val="20"/>
          <w:szCs w:val="20"/>
          <w:color w:val="auto"/>
        </w:rPr>
      </w:pPr>
      <w:r>
        <w:rPr>
          <w:rFonts w:ascii="Arial" w:cs="Arial" w:eastAsia="Arial" w:hAnsi="Arial"/>
          <w:sz w:val="16"/>
          <w:szCs w:val="16"/>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133350</wp:posOffset>
            </wp:positionV>
            <wp:extent cx="2886075" cy="19577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886075" cy="1957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540" w:type="dxa"/>
        <w:tblCellMar>
          <w:top w:w="0" w:type="dxa"/>
          <w:left w:w="0" w:type="dxa"/>
          <w:bottom w:w="0" w:type="dxa"/>
          <w:right w:w="0" w:type="dxa"/>
        </w:tblCellMar>
      </w:tblPr>
      <w:tr>
        <w:trPr>
          <w:trHeight w:val="194"/>
        </w:trPr>
        <w:tc>
          <w:tcPr>
            <w:tcW w:w="2680" w:type="dxa"/>
            <w:vAlign w:val="bottom"/>
            <w:gridSpan w:val="5"/>
          </w:tcPr>
          <w:p>
            <w:pPr>
              <w:jc w:val="center"/>
              <w:ind w:left="686"/>
              <w:spacing w:after="0"/>
              <w:rPr>
                <w:sz w:val="20"/>
                <w:szCs w:val="20"/>
                <w:color w:val="auto"/>
              </w:rPr>
            </w:pPr>
            <w:r>
              <w:rPr>
                <w:rFonts w:ascii="Arial" w:cs="Arial" w:eastAsia="Arial" w:hAnsi="Arial"/>
                <w:sz w:val="15"/>
                <w:szCs w:val="15"/>
                <w:b w:val="1"/>
                <w:bCs w:val="1"/>
                <w:color w:val="auto"/>
                <w:w w:val="90"/>
              </w:rPr>
              <w:t>For the Three Months Ended</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gridSpan w:val="4"/>
          </w:tcPr>
          <w:p>
            <w:pPr>
              <w:jc w:val="right"/>
              <w:ind w:right="906"/>
              <w:spacing w:after="0"/>
              <w:rPr>
                <w:sz w:val="20"/>
                <w:szCs w:val="20"/>
                <w:color w:val="auto"/>
              </w:rPr>
            </w:pPr>
            <w:r>
              <w:rPr>
                <w:rFonts w:ascii="Arial" w:cs="Arial" w:eastAsia="Arial" w:hAnsi="Arial"/>
                <w:sz w:val="15"/>
                <w:szCs w:val="15"/>
                <w:b w:val="1"/>
                <w:bCs w:val="1"/>
                <w:color w:val="auto"/>
              </w:rPr>
              <w:t>% Change</w:t>
            </w:r>
          </w:p>
        </w:tc>
      </w:tr>
      <w:tr>
        <w:trPr>
          <w:trHeight w:val="167"/>
        </w:trPr>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Borders>
              <w:top w:val="single" w:sz="8" w:color="auto"/>
            </w:tcBorders>
            <w:gridSpan w:val="2"/>
          </w:tcPr>
          <w:p>
            <w:pPr>
              <w:jc w:val="right"/>
              <w:ind w:right="506"/>
              <w:spacing w:after="0" w:line="167" w:lineRule="exact"/>
              <w:rPr>
                <w:sz w:val="20"/>
                <w:szCs w:val="20"/>
                <w:color w:val="auto"/>
              </w:rPr>
            </w:pPr>
            <w:r>
              <w:rPr>
                <w:rFonts w:ascii="Arial" w:cs="Arial" w:eastAsia="Arial" w:hAnsi="Arial"/>
                <w:sz w:val="15"/>
                <w:szCs w:val="15"/>
                <w:b w:val="1"/>
                <w:bCs w:val="1"/>
                <w:color w:val="auto"/>
              </w:rPr>
              <w:t>March</w:t>
            </w:r>
          </w:p>
        </w:tc>
        <w:tc>
          <w:tcPr>
            <w:tcW w:w="10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84"/>
        </w:trPr>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126"/>
              <w:spacing w:after="0"/>
              <w:rPr>
                <w:sz w:val="20"/>
                <w:szCs w:val="20"/>
                <w:color w:val="auto"/>
              </w:rPr>
            </w:pPr>
            <w:r>
              <w:rPr>
                <w:rFonts w:ascii="Arial" w:cs="Arial" w:eastAsia="Arial" w:hAnsi="Arial"/>
                <w:sz w:val="15"/>
                <w:szCs w:val="15"/>
                <w:b w:val="1"/>
                <w:bCs w:val="1"/>
                <w:color w:val="auto"/>
              </w:rPr>
              <w:t>31, 2020 /</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4"/>
        </w:trPr>
        <w:tc>
          <w:tcPr>
            <w:tcW w:w="1220" w:type="dxa"/>
            <w:vAlign w:val="bottom"/>
            <w:gridSpan w:val="2"/>
          </w:tcPr>
          <w:p>
            <w:pPr>
              <w:jc w:val="right"/>
              <w:ind w:right="426"/>
              <w:spacing w:after="0"/>
              <w:rPr>
                <w:sz w:val="20"/>
                <w:szCs w:val="20"/>
                <w:color w:val="auto"/>
              </w:rPr>
            </w:pPr>
            <w:r>
              <w:rPr>
                <w:rFonts w:ascii="Arial" w:cs="Arial" w:eastAsia="Arial" w:hAnsi="Arial"/>
                <w:sz w:val="15"/>
                <w:szCs w:val="15"/>
                <w:b w:val="1"/>
                <w:bCs w:val="1"/>
                <w:color w:val="auto"/>
              </w:rPr>
              <w:t>March</w:t>
            </w:r>
          </w:p>
        </w:tc>
        <w:tc>
          <w:tcPr>
            <w:tcW w:w="1460" w:type="dxa"/>
            <w:vAlign w:val="bottom"/>
            <w:gridSpan w:val="3"/>
          </w:tcPr>
          <w:p>
            <w:pPr>
              <w:jc w:val="center"/>
              <w:ind w:right="460"/>
              <w:spacing w:after="0"/>
              <w:rPr>
                <w:sz w:val="20"/>
                <w:szCs w:val="20"/>
                <w:color w:val="auto"/>
              </w:rPr>
            </w:pPr>
            <w:r>
              <w:rPr>
                <w:rFonts w:ascii="Arial" w:cs="Arial" w:eastAsia="Arial" w:hAnsi="Arial"/>
                <w:sz w:val="15"/>
                <w:szCs w:val="15"/>
                <w:b w:val="1"/>
                <w:bCs w:val="1"/>
                <w:color w:val="auto"/>
                <w:w w:val="88"/>
              </w:rPr>
              <w:t>December</w:t>
            </w:r>
          </w:p>
        </w:tc>
        <w:tc>
          <w:tcPr>
            <w:tcW w:w="1000" w:type="dxa"/>
            <w:vAlign w:val="bottom"/>
            <w:gridSpan w:val="2"/>
          </w:tcPr>
          <w:p>
            <w:pPr>
              <w:jc w:val="right"/>
              <w:ind w:right="478"/>
              <w:spacing w:after="0"/>
              <w:rPr>
                <w:sz w:val="20"/>
                <w:szCs w:val="20"/>
                <w:color w:val="auto"/>
              </w:rPr>
            </w:pPr>
            <w:r>
              <w:rPr>
                <w:rFonts w:ascii="Arial" w:cs="Arial" w:eastAsia="Arial" w:hAnsi="Arial"/>
                <w:sz w:val="15"/>
                <w:szCs w:val="15"/>
                <w:b w:val="1"/>
                <w:bCs w:val="1"/>
                <w:color w:val="auto"/>
              </w:rPr>
              <w:t>March</w:t>
            </w:r>
          </w:p>
        </w:tc>
        <w:tc>
          <w:tcPr>
            <w:tcW w:w="1300" w:type="dxa"/>
            <w:vAlign w:val="bottom"/>
            <w:gridSpan w:val="2"/>
          </w:tcPr>
          <w:p>
            <w:pPr>
              <w:jc w:val="right"/>
              <w:ind w:right="406"/>
              <w:spacing w:after="0"/>
              <w:rPr>
                <w:sz w:val="20"/>
                <w:szCs w:val="20"/>
                <w:color w:val="auto"/>
              </w:rPr>
            </w:pPr>
            <w:r>
              <w:rPr>
                <w:rFonts w:ascii="Arial" w:cs="Arial" w:eastAsia="Arial" w:hAnsi="Arial"/>
                <w:sz w:val="15"/>
                <w:szCs w:val="15"/>
                <w:b w:val="1"/>
                <w:bCs w:val="1"/>
                <w:color w:val="auto"/>
              </w:rPr>
              <w:t>December</w:t>
            </w:r>
          </w:p>
        </w:tc>
        <w:tc>
          <w:tcPr>
            <w:tcW w:w="1160" w:type="dxa"/>
            <w:vAlign w:val="bottom"/>
            <w:gridSpan w:val="2"/>
          </w:tcPr>
          <w:p>
            <w:pPr>
              <w:jc w:val="right"/>
              <w:ind w:right="386"/>
              <w:spacing w:after="0"/>
              <w:rPr>
                <w:sz w:val="20"/>
                <w:szCs w:val="20"/>
                <w:color w:val="auto"/>
              </w:rPr>
            </w:pPr>
            <w:r>
              <w:rPr>
                <w:rFonts w:ascii="Arial" w:cs="Arial" w:eastAsia="Arial" w:hAnsi="Arial"/>
                <w:sz w:val="15"/>
                <w:szCs w:val="15"/>
                <w:b w:val="1"/>
                <w:bCs w:val="1"/>
                <w:color w:val="auto"/>
              </w:rPr>
              <w:t>March</w:t>
            </w:r>
          </w:p>
        </w:tc>
      </w:tr>
      <w:tr>
        <w:trPr>
          <w:trHeight w:val="194"/>
        </w:trPr>
        <w:tc>
          <w:tcPr>
            <w:tcW w:w="10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31, 2019</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31, 2019</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w w:val="88"/>
              </w:rPr>
              <w:t>31, 2020</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31, 2019</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0"/>
              </w:rPr>
              <w:t>31, 2020 / 2019</w:t>
            </w:r>
          </w:p>
        </w:tc>
        <w:tc>
          <w:tcPr>
            <w:tcW w:w="160" w:type="dxa"/>
            <w:vAlign w:val="bottom"/>
          </w:tcPr>
          <w:p>
            <w:pPr>
              <w:spacing w:after="0"/>
              <w:rPr>
                <w:sz w:val="16"/>
                <w:szCs w:val="16"/>
                <w:color w:val="auto"/>
              </w:rPr>
            </w:pPr>
          </w:p>
        </w:tc>
      </w:t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60" w:type="dxa"/>
            <w:vAlign w:val="bottom"/>
            <w:gridSpan w:val="7"/>
          </w:tcPr>
          <w:p>
            <w:pPr>
              <w:jc w:val="right"/>
              <w:ind w:right="526"/>
              <w:spacing w:after="0"/>
              <w:rPr>
                <w:sz w:val="20"/>
                <w:szCs w:val="20"/>
                <w:color w:val="auto"/>
              </w:rPr>
            </w:pPr>
            <w:r>
              <w:rPr>
                <w:rFonts w:ascii="Arial" w:cs="Arial" w:eastAsia="Arial" w:hAnsi="Arial"/>
                <w:sz w:val="16"/>
                <w:szCs w:val="16"/>
                <w:b w:val="1"/>
                <w:bCs w:val="1"/>
                <w:color w:val="auto"/>
                <w:w w:val="99"/>
              </w:rPr>
              <w:t>(Soles in thousands, except percentages)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45"/>
        </w:trPr>
        <w:tc>
          <w:tcPr>
            <w:tcW w:w="1220" w:type="dxa"/>
            <w:vAlign w:val="bottom"/>
            <w:gridSpan w:val="2"/>
          </w:tcPr>
          <w:p>
            <w:pPr>
              <w:jc w:val="right"/>
              <w:ind w:right="86"/>
              <w:spacing w:after="0"/>
              <w:rPr>
                <w:sz w:val="20"/>
                <w:szCs w:val="20"/>
                <w:color w:val="auto"/>
              </w:rPr>
            </w:pPr>
            <w:r>
              <w:rPr>
                <w:rFonts w:ascii="Arial" w:cs="Arial" w:eastAsia="Arial" w:hAnsi="Arial"/>
                <w:sz w:val="15"/>
                <w:szCs w:val="15"/>
                <w:color w:val="auto"/>
              </w:rPr>
              <w:t>(60,013)</w:t>
            </w:r>
          </w:p>
        </w:tc>
        <w:tc>
          <w:tcPr>
            <w:tcW w:w="1240" w:type="dxa"/>
            <w:vAlign w:val="bottom"/>
            <w:gridSpan w:val="2"/>
          </w:tcPr>
          <w:p>
            <w:pPr>
              <w:jc w:val="right"/>
              <w:ind w:right="138"/>
              <w:spacing w:after="0"/>
              <w:rPr>
                <w:sz w:val="20"/>
                <w:szCs w:val="20"/>
                <w:color w:val="auto"/>
              </w:rPr>
            </w:pPr>
            <w:r>
              <w:rPr>
                <w:rFonts w:ascii="Arial" w:cs="Arial" w:eastAsia="Arial" w:hAnsi="Arial"/>
                <w:sz w:val="15"/>
                <w:szCs w:val="15"/>
                <w:color w:val="auto"/>
              </w:rPr>
              <w:t>(65,316)</w:t>
            </w:r>
          </w:p>
        </w:tc>
        <w:tc>
          <w:tcPr>
            <w:tcW w:w="220" w:type="dxa"/>
            <w:vAlign w:val="bottom"/>
          </w:tcPr>
          <w:p>
            <w:pPr>
              <w:spacing w:after="0"/>
              <w:rPr>
                <w:sz w:val="24"/>
                <w:szCs w:val="24"/>
                <w:color w:val="auto"/>
              </w:rPr>
            </w:pPr>
          </w:p>
        </w:tc>
        <w:tc>
          <w:tcPr>
            <w:tcW w:w="1000" w:type="dxa"/>
            <w:vAlign w:val="bottom"/>
            <w:gridSpan w:val="2"/>
          </w:tcPr>
          <w:p>
            <w:pPr>
              <w:jc w:val="right"/>
              <w:ind w:right="138"/>
              <w:spacing w:after="0"/>
              <w:rPr>
                <w:sz w:val="20"/>
                <w:szCs w:val="20"/>
                <w:color w:val="auto"/>
              </w:rPr>
            </w:pPr>
            <w:r>
              <w:rPr>
                <w:rFonts w:ascii="Arial" w:cs="Arial" w:eastAsia="Arial" w:hAnsi="Arial"/>
                <w:sz w:val="15"/>
                <w:szCs w:val="15"/>
                <w:color w:val="auto"/>
              </w:rPr>
              <w:t>(65,825)</w:t>
            </w:r>
          </w:p>
        </w:tc>
        <w:tc>
          <w:tcPr>
            <w:tcW w:w="1300" w:type="dxa"/>
            <w:vAlign w:val="bottom"/>
            <w:gridSpan w:val="2"/>
          </w:tcPr>
          <w:p>
            <w:pPr>
              <w:jc w:val="right"/>
              <w:ind w:right="86"/>
              <w:spacing w:after="0"/>
              <w:rPr>
                <w:sz w:val="20"/>
                <w:szCs w:val="20"/>
                <w:color w:val="auto"/>
              </w:rPr>
            </w:pPr>
            <w:r>
              <w:rPr>
                <w:rFonts w:ascii="Arial" w:cs="Arial" w:eastAsia="Arial" w:hAnsi="Arial"/>
                <w:sz w:val="15"/>
                <w:szCs w:val="15"/>
                <w:color w:val="auto"/>
              </w:rPr>
              <w:t>0.8%</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9.7%</w:t>
            </w:r>
          </w:p>
        </w:tc>
      </w:tr>
      <w:tr>
        <w:trPr>
          <w:trHeight w:val="184"/>
        </w:trPr>
        <w:tc>
          <w:tcPr>
            <w:tcW w:w="1220" w:type="dxa"/>
            <w:vAlign w:val="bottom"/>
            <w:gridSpan w:val="2"/>
          </w:tcPr>
          <w:p>
            <w:pPr>
              <w:jc w:val="right"/>
              <w:ind w:right="86"/>
              <w:spacing w:after="0"/>
              <w:rPr>
                <w:sz w:val="20"/>
                <w:szCs w:val="20"/>
                <w:color w:val="auto"/>
              </w:rPr>
            </w:pPr>
            <w:r>
              <w:rPr>
                <w:rFonts w:ascii="Arial" w:cs="Arial" w:eastAsia="Arial" w:hAnsi="Arial"/>
                <w:sz w:val="15"/>
                <w:szCs w:val="15"/>
                <w:color w:val="auto"/>
              </w:rPr>
              <w:t>(34,576)</w:t>
            </w:r>
          </w:p>
        </w:tc>
        <w:tc>
          <w:tcPr>
            <w:tcW w:w="1240" w:type="dxa"/>
            <w:vAlign w:val="bottom"/>
            <w:gridSpan w:val="2"/>
          </w:tcPr>
          <w:p>
            <w:pPr>
              <w:jc w:val="right"/>
              <w:ind w:right="138"/>
              <w:spacing w:after="0"/>
              <w:rPr>
                <w:sz w:val="20"/>
                <w:szCs w:val="20"/>
                <w:color w:val="auto"/>
              </w:rPr>
            </w:pPr>
            <w:r>
              <w:rPr>
                <w:rFonts w:ascii="Arial" w:cs="Arial" w:eastAsia="Arial" w:hAnsi="Arial"/>
                <w:sz w:val="15"/>
                <w:szCs w:val="15"/>
                <w:color w:val="auto"/>
              </w:rPr>
              <w:t>(35,206)</w:t>
            </w:r>
          </w:p>
        </w:tc>
        <w:tc>
          <w:tcPr>
            <w:tcW w:w="220" w:type="dxa"/>
            <w:vAlign w:val="bottom"/>
          </w:tcPr>
          <w:p>
            <w:pPr>
              <w:spacing w:after="0"/>
              <w:rPr>
                <w:sz w:val="16"/>
                <w:szCs w:val="16"/>
                <w:color w:val="auto"/>
              </w:rPr>
            </w:pPr>
          </w:p>
        </w:tc>
        <w:tc>
          <w:tcPr>
            <w:tcW w:w="1000" w:type="dxa"/>
            <w:vAlign w:val="bottom"/>
            <w:gridSpan w:val="2"/>
          </w:tcPr>
          <w:p>
            <w:pPr>
              <w:jc w:val="right"/>
              <w:ind w:right="138"/>
              <w:spacing w:after="0"/>
              <w:rPr>
                <w:sz w:val="20"/>
                <w:szCs w:val="20"/>
                <w:color w:val="auto"/>
              </w:rPr>
            </w:pPr>
            <w:r>
              <w:rPr>
                <w:rFonts w:ascii="Arial" w:cs="Arial" w:eastAsia="Arial" w:hAnsi="Arial"/>
                <w:sz w:val="15"/>
                <w:szCs w:val="15"/>
                <w:color w:val="auto"/>
              </w:rPr>
              <w:t>(47,286)</w:t>
            </w:r>
          </w:p>
        </w:tc>
        <w:tc>
          <w:tcPr>
            <w:tcW w:w="1300" w:type="dxa"/>
            <w:vAlign w:val="bottom"/>
            <w:gridSpan w:val="2"/>
          </w:tcPr>
          <w:p>
            <w:pPr>
              <w:jc w:val="right"/>
              <w:ind w:right="86"/>
              <w:spacing w:after="0"/>
              <w:rPr>
                <w:sz w:val="20"/>
                <w:szCs w:val="20"/>
                <w:color w:val="auto"/>
              </w:rPr>
            </w:pPr>
            <w:r>
              <w:rPr>
                <w:rFonts w:ascii="Arial" w:cs="Arial" w:eastAsia="Arial" w:hAnsi="Arial"/>
                <w:sz w:val="15"/>
                <w:szCs w:val="15"/>
                <w:color w:val="auto"/>
              </w:rPr>
              <w:t>34.3%</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36.8%</w:t>
            </w:r>
          </w:p>
        </w:tc>
      </w:tr>
      <w:tr>
        <w:trPr>
          <w:trHeight w:val="200"/>
        </w:trPr>
        <w:tc>
          <w:tcPr>
            <w:tcW w:w="1000" w:type="dxa"/>
            <w:vAlign w:val="bottom"/>
          </w:tcPr>
          <w:p>
            <w:pPr>
              <w:jc w:val="right"/>
              <w:spacing w:after="0"/>
              <w:rPr>
                <w:sz w:val="20"/>
                <w:szCs w:val="20"/>
                <w:color w:val="auto"/>
              </w:rPr>
            </w:pPr>
            <w:r>
              <w:rPr>
                <w:rFonts w:ascii="Arial" w:cs="Arial" w:eastAsia="Arial" w:hAnsi="Arial"/>
                <w:sz w:val="15"/>
                <w:szCs w:val="15"/>
                <w:color w:val="auto"/>
              </w:rPr>
              <w:t>3,308</w:t>
            </w:r>
          </w:p>
        </w:tc>
        <w:tc>
          <w:tcPr>
            <w:tcW w:w="220" w:type="dxa"/>
            <w:vAlign w:val="bottom"/>
          </w:tcPr>
          <w:p>
            <w:pPr>
              <w:spacing w:after="0"/>
              <w:rPr>
                <w:sz w:val="17"/>
                <w:szCs w:val="17"/>
                <w:color w:val="auto"/>
              </w:rPr>
            </w:pPr>
          </w:p>
        </w:tc>
        <w:tc>
          <w:tcPr>
            <w:tcW w:w="1240" w:type="dxa"/>
            <w:vAlign w:val="bottom"/>
            <w:gridSpan w:val="2"/>
          </w:tcPr>
          <w:p>
            <w:pPr>
              <w:jc w:val="right"/>
              <w:ind w:right="178"/>
              <w:spacing w:after="0"/>
              <w:rPr>
                <w:sz w:val="20"/>
                <w:szCs w:val="20"/>
                <w:color w:val="auto"/>
              </w:rPr>
            </w:pPr>
            <w:r>
              <w:rPr>
                <w:rFonts w:ascii="Arial" w:cs="Arial" w:eastAsia="Arial" w:hAnsi="Arial"/>
                <w:sz w:val="15"/>
                <w:szCs w:val="15"/>
                <w:color w:val="auto"/>
              </w:rPr>
              <w:t>11,860</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604</w:t>
            </w:r>
          </w:p>
        </w:tc>
        <w:tc>
          <w:tcPr>
            <w:tcW w:w="220" w:type="dxa"/>
            <w:vAlign w:val="bottom"/>
          </w:tcPr>
          <w:p>
            <w:pPr>
              <w:spacing w:after="0"/>
              <w:rPr>
                <w:sz w:val="17"/>
                <w:szCs w:val="17"/>
                <w:color w:val="auto"/>
              </w:rPr>
            </w:pPr>
          </w:p>
        </w:tc>
        <w:tc>
          <w:tcPr>
            <w:tcW w:w="1300" w:type="dxa"/>
            <w:vAlign w:val="bottom"/>
            <w:gridSpan w:val="2"/>
          </w:tcPr>
          <w:p>
            <w:pPr>
              <w:jc w:val="right"/>
              <w:ind w:right="46"/>
              <w:spacing w:after="0"/>
              <w:rPr>
                <w:sz w:val="20"/>
                <w:szCs w:val="20"/>
                <w:color w:val="auto"/>
              </w:rPr>
            </w:pPr>
            <w:r>
              <w:rPr>
                <w:rFonts w:ascii="Arial" w:cs="Arial" w:eastAsia="Arial" w:hAnsi="Arial"/>
                <w:sz w:val="15"/>
                <w:szCs w:val="15"/>
                <w:color w:val="auto"/>
              </w:rPr>
              <w:t>(94.9)%</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(81.7)%</w:t>
            </w:r>
          </w:p>
        </w:tc>
      </w:tr>
      <w:tr>
        <w:trPr>
          <w:trHeight w:val="191"/>
        </w:trPr>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(91,281</w:t>
            </w:r>
          </w:p>
        </w:tc>
        <w:tc>
          <w:tcPr>
            <w:tcW w:w="220" w:type="dxa"/>
            <w:vAlign w:val="bottom"/>
          </w:tcPr>
          <w:p>
            <w:pPr>
              <w:jc w:val="right"/>
              <w:ind w:right="86"/>
              <w:spacing w:after="0" w:line="172" w:lineRule="exact"/>
              <w:rPr>
                <w:sz w:val="20"/>
                <w:szCs w:val="20"/>
                <w:color w:val="auto"/>
              </w:rPr>
            </w:pPr>
            <w:r>
              <w:rPr>
                <w:rFonts w:ascii="Arial" w:cs="Arial" w:eastAsia="Arial" w:hAnsi="Arial"/>
                <w:sz w:val="15"/>
                <w:szCs w:val="15"/>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(88,662</w:t>
            </w:r>
          </w:p>
        </w:tc>
        <w:tc>
          <w:tcPr>
            <w:tcW w:w="220" w:type="dxa"/>
            <w:vAlign w:val="bottom"/>
          </w:tcPr>
          <w:p>
            <w:pPr>
              <w:jc w:val="right"/>
              <w:ind w:right="138"/>
              <w:spacing w:after="0"/>
              <w:rPr>
                <w:sz w:val="20"/>
                <w:szCs w:val="20"/>
                <w:color w:val="auto"/>
              </w:rPr>
            </w:pPr>
            <w:r>
              <w:rPr>
                <w:rFonts w:ascii="Arial" w:cs="Arial" w:eastAsia="Arial" w:hAnsi="Arial"/>
                <w:sz w:val="8"/>
                <w:szCs w:val="8"/>
                <w:b w:val="1"/>
                <w:bCs w:val="1"/>
                <w:color w:val="auto"/>
                <w:w w:val="73"/>
              </w:rPr>
              <w:t>)</w:t>
            </w: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(112,507</w:t>
            </w:r>
          </w:p>
        </w:tc>
        <w:tc>
          <w:tcPr>
            <w:tcW w:w="220" w:type="dxa"/>
            <w:vAlign w:val="bottom"/>
          </w:tcPr>
          <w:p>
            <w:pPr>
              <w:jc w:val="right"/>
              <w:ind w:right="138"/>
              <w:spacing w:after="0"/>
              <w:rPr>
                <w:sz w:val="20"/>
                <w:szCs w:val="20"/>
                <w:color w:val="auto"/>
              </w:rPr>
            </w:pPr>
            <w:r>
              <w:rPr>
                <w:rFonts w:ascii="Arial" w:cs="Arial" w:eastAsia="Arial" w:hAnsi="Arial"/>
                <w:sz w:val="8"/>
                <w:szCs w:val="8"/>
                <w:b w:val="1"/>
                <w:bCs w:val="1"/>
                <w:color w:val="auto"/>
                <w:w w:val="7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26.9</w:t>
            </w:r>
          </w:p>
        </w:tc>
        <w:tc>
          <w:tcPr>
            <w:tcW w:w="300" w:type="dxa"/>
            <w:vAlign w:val="bottom"/>
          </w:tcPr>
          <w:p>
            <w:pPr>
              <w:jc w:val="right"/>
              <w:ind w:right="66"/>
              <w:spacing w:after="0" w:line="172" w:lineRule="exact"/>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23.3</w:t>
            </w:r>
          </w:p>
        </w:tc>
        <w:tc>
          <w:tcPr>
            <w:tcW w:w="160" w:type="dxa"/>
            <w:vAlign w:val="bottom"/>
          </w:tcPr>
          <w:p>
            <w:pPr>
              <w:jc w:val="right"/>
              <w:spacing w:after="0" w:line="172" w:lineRule="exact"/>
              <w:rPr>
                <w:sz w:val="20"/>
                <w:szCs w:val="20"/>
                <w:color w:val="auto"/>
              </w:rPr>
            </w:pPr>
            <w:r>
              <w:rPr>
                <w:rFonts w:ascii="Arial" w:cs="Arial" w:eastAsia="Arial" w:hAnsi="Arial"/>
                <w:sz w:val="15"/>
                <w:szCs w:val="15"/>
                <w:b w:val="1"/>
                <w:bCs w:val="1"/>
                <w:color w:val="auto"/>
                <w:w w:val="89"/>
              </w:rPr>
              <w:t>%</w:t>
            </w: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-631190</wp:posOffset>
            </wp:positionV>
            <wp:extent cx="7144385" cy="1168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4385" cy="116840"/>
                    </a:xfrm>
                    <a:prstGeom prst="rect">
                      <a:avLst/>
                    </a:prstGeom>
                    <a:noFill/>
                  </pic:spPr>
                </pic:pic>
              </a:graphicData>
            </a:graphic>
          </wp:anchor>
        </w:drawing>
        <w:drawing>
          <wp:anchor simplePos="0" relativeHeight="251657728" behindDoc="1" locked="0" layoutInCell="0" allowOverlap="1">
            <wp:simplePos x="0" y="0"/>
            <wp:positionH relativeFrom="column">
              <wp:posOffset>-2896235</wp:posOffset>
            </wp:positionH>
            <wp:positionV relativeFrom="paragraph">
              <wp:posOffset>-396875</wp:posOffset>
            </wp:positionV>
            <wp:extent cx="7144385" cy="1168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4385" cy="116840"/>
                    </a:xfrm>
                    <a:prstGeom prst="rect">
                      <a:avLst/>
                    </a:prstGeom>
                    <a:noFill/>
                  </pic:spPr>
                </pic:pic>
              </a:graphicData>
            </a:graphic>
          </wp:anchor>
        </w:drawing>
        <w:drawing>
          <wp:anchor simplePos="0" relativeHeight="251657728" behindDoc="1" locked="0" layoutInCell="0" allowOverlap="1">
            <wp:simplePos x="0" y="0"/>
            <wp:positionH relativeFrom="column">
              <wp:posOffset>-2896235</wp:posOffset>
            </wp:positionH>
            <wp:positionV relativeFrom="paragraph">
              <wp:posOffset>-155575</wp:posOffset>
            </wp:positionV>
            <wp:extent cx="7144385" cy="1403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4385" cy="14033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840" w:space="720"/>
            <w:col w:w="6680"/>
          </w:cols>
          <w:pgMar w:left="320" w:top="520" w:right="339" w:bottom="1440" w:gutter="0" w:footer="0" w:header="0"/>
          <w:type w:val="continuous"/>
        </w:sectPr>
      </w:pPr>
    </w:p>
    <w:p>
      <w:pPr>
        <w:ind w:right="140" w:firstLine="295"/>
        <w:spacing w:after="0" w:line="262" w:lineRule="auto"/>
        <w:rPr>
          <w:sz w:val="20"/>
          <w:szCs w:val="20"/>
          <w:color w:val="auto"/>
        </w:rPr>
      </w:pPr>
      <w:r>
        <w:rPr>
          <w:rFonts w:ascii="Arial" w:cs="Arial" w:eastAsia="Arial" w:hAnsi="Arial"/>
          <w:sz w:val="16"/>
          <w:szCs w:val="16"/>
          <w:color w:val="auto"/>
        </w:rPr>
        <w:t>Acquisition costs increased 26.9% comparing the three months ended March 31, 2020 to the three months ended December 31, 2019. This was attributable to an increase in the net underwriting expense in P&amp;C and to an increase in fees associated with life insurance. In P&amp;C, growth was driven mainly by an increase in the underwriting expenses for cars after S/8 million in premiums were returned to clients who were unable to use their cars during the quarantine; higher reserves for uncollectible premiums, mainly in the commercial, cars and medical assistance lines; and a decrease in underwriting income for commercial lines. In the life insurance business, the increase was due to growth in fees through the alliances channel for credit life products, after premiums rose, and to a decrease in underwriting income after profit sharing with reinsurers in the three months ended December 31, 2019.</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type w:val="continuous"/>
        </w:sectPr>
      </w:pPr>
    </w:p>
    <w:bookmarkStart w:id="190" w:name="page191"/>
    <w:bookmarkEnd w:id="190"/>
    <w:p>
      <w:pPr>
        <w:ind w:right="20" w:firstLine="295"/>
        <w:spacing w:after="0" w:line="298" w:lineRule="auto"/>
        <w:rPr>
          <w:sz w:val="20"/>
          <w:szCs w:val="20"/>
          <w:color w:val="auto"/>
        </w:rPr>
      </w:pPr>
      <w:r>
        <w:rPr>
          <w:rFonts w:ascii="Arial" w:cs="Arial" w:eastAsia="Arial" w:hAnsi="Arial"/>
          <w:sz w:val="15"/>
          <w:szCs w:val="15"/>
          <w:color w:val="auto"/>
        </w:rPr>
        <w:t>Comparing the three months ended March 31, 2020 to the corresponding period of 2019, the acquisition costs increased 23.3% in both the life and P&amp;C businesses. In Life insurance, growth was attributable to an increase in fees for credit life after premium rose through the alliance channel. In P&amp;C, growth was attributable to the increase discussed in the previous paragraph and to a move to set aside more reserves for uncollectible premiums in cars, commercial lines and medical assistance.</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Underwriting Result by Business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Underwriting Result by Business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133350</wp:posOffset>
            </wp:positionV>
            <wp:extent cx="2886075" cy="18561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886075" cy="185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95"/>
        <w:spacing w:after="0" w:line="278" w:lineRule="auto"/>
        <w:rPr>
          <w:sz w:val="20"/>
          <w:szCs w:val="20"/>
          <w:color w:val="auto"/>
        </w:rPr>
      </w:pPr>
      <w:r>
        <w:rPr>
          <w:rFonts w:ascii="Arial" w:cs="Arial" w:eastAsia="Arial" w:hAnsi="Arial"/>
          <w:sz w:val="15"/>
          <w:szCs w:val="15"/>
          <w:color w:val="auto"/>
        </w:rPr>
        <w:t>Comparing the three months ended March 31, 2020 to the three months ended December 31, 2019, the decrease in the underwriting result was attributable to P&amp;C and mitigated by life insurance. In P&amp;C, the reduction was attributable to: (i) an increase in underwriting expenses after premiums were reimbursed in cars and to a move to set aside more reserves for uncollectible premiums; and (ii) a decrease in net premiums across business lines, which was mitigated by a decrease in claims given that</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fewer claims notifications were received during the quarantine imposed by the Peruvian government in mid-March in connection with the COVID-19 pandemic. In the life insurance business, growth was attributable to an increase in net earned premiums in credit life, annuities and group life, which was offset in part by an increase in the acquisition costs due to growth in fees after an increase in premiums, and to a decrease in underwriting income after profit sharing in the three months ended December 31, 2019.</w:t>
      </w:r>
    </w:p>
    <w:p>
      <w:pPr>
        <w:spacing w:after="0" w:line="171" w:lineRule="exact"/>
        <w:rPr>
          <w:sz w:val="20"/>
          <w:szCs w:val="20"/>
          <w:color w:val="auto"/>
        </w:rPr>
      </w:pPr>
    </w:p>
    <w:p>
      <w:pPr>
        <w:ind w:right="140" w:firstLine="295"/>
        <w:spacing w:after="0" w:line="262" w:lineRule="auto"/>
        <w:rPr>
          <w:sz w:val="20"/>
          <w:szCs w:val="20"/>
          <w:color w:val="auto"/>
        </w:rPr>
      </w:pPr>
      <w:r>
        <w:rPr>
          <w:rFonts w:ascii="Arial" w:cs="Arial" w:eastAsia="Arial" w:hAnsi="Arial"/>
          <w:sz w:val="16"/>
          <w:szCs w:val="16"/>
          <w:color w:val="auto"/>
        </w:rPr>
        <w:t>Comparing the three months ended March 31, 2020 to the corresponding period of 2019, the increase in the underwriting results were primarily attributable to P&amp;C and to a lesser extent to life insurance products. In P&amp;C, the increase was associated with a decrease in claims after fewer claims notifications were received during the quarantine period imposed by the Peruvian government in Mid-March in connection with the COVID-19 pandemic and to an increase in net premiums in the medical assistance and personal lines, which was offset in part by an increase in the acquisition costs after premiums were reimbursed in cars. In the life insurance business, the variation was attributable to an increase in premiums in credit life, group life and annuities, which was offset in part by growth in claims in D&amp;S and annuities and by an increase in fees in credit life after an increase in premiums.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 and Efficiency</w:t>
      </w:r>
    </w:p>
    <w:p>
      <w:pPr>
        <w:spacing w:after="0" w:line="213" w:lineRule="exact"/>
        <w:rPr>
          <w:sz w:val="20"/>
          <w:szCs w:val="20"/>
          <w:color w:val="auto"/>
        </w:rPr>
      </w:pPr>
    </w:p>
    <w:p>
      <w:pPr>
        <w:ind w:right="240" w:firstLine="295"/>
        <w:spacing w:after="0" w:line="266" w:lineRule="auto"/>
        <w:rPr>
          <w:sz w:val="20"/>
          <w:szCs w:val="20"/>
          <w:color w:val="auto"/>
        </w:rPr>
      </w:pPr>
      <w:r>
        <w:rPr>
          <w:rFonts w:ascii="Arial" w:cs="Arial" w:eastAsia="Arial" w:hAnsi="Arial"/>
          <w:sz w:val="16"/>
          <w:szCs w:val="16"/>
          <w:color w:val="auto"/>
        </w:rPr>
        <w:t>The improvement in the operating efficiency ratio when comparing the three months ended March 31, 2020 to the three months ended December 31, 2019 was attributable to a seasonal effect on expenses, which reach their highest level in the last quarter of the year. Comparing the three months ended March 31, 2020 to the corresponding period of 2019, which excludes the seasonal effect, the operating efficiency ratio deteriorated 100 basis points, which was primarily due to an increase in salaries and employee benefits in the microfinance line, which offset the increase in net interest income.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91" w:name="page192"/>
    <w:bookmarkEnd w:id="191"/>
    <w:tbl>
      <w:tblPr>
        <w:tblLayout w:type="fixed"/>
        <w:tblInd w:w="2" w:type="dxa"/>
        <w:tblCellMar>
          <w:top w:w="0" w:type="dxa"/>
          <w:left w:w="0" w:type="dxa"/>
          <w:bottom w:w="0" w:type="dxa"/>
          <w:right w:w="0" w:type="dxa"/>
        </w:tblCellMar>
      </w:tblPr>
      <w:tr>
        <w:trPr>
          <w:trHeight w:val="194"/>
        </w:trPr>
        <w:tc>
          <w:tcPr>
            <w:tcW w:w="5000" w:type="dxa"/>
            <w:vAlign w:val="bottom"/>
          </w:tcPr>
          <w:p>
            <w:pPr>
              <w:spacing w:after="0"/>
              <w:rPr>
                <w:sz w:val="16"/>
                <w:szCs w:val="16"/>
                <w:color w:val="auto"/>
              </w:rPr>
            </w:pPr>
          </w:p>
        </w:tc>
        <w:tc>
          <w:tcPr>
            <w:tcW w:w="2720" w:type="dxa"/>
            <w:vAlign w:val="bottom"/>
            <w:gridSpan w:val="2"/>
          </w:tcPr>
          <w:p>
            <w:pPr>
              <w:jc w:val="center"/>
              <w:ind w:left="726"/>
              <w:spacing w:after="0"/>
              <w:rPr>
                <w:sz w:val="20"/>
                <w:szCs w:val="20"/>
                <w:color w:val="auto"/>
              </w:rPr>
            </w:pPr>
            <w:r>
              <w:rPr>
                <w:rFonts w:ascii="Arial" w:cs="Arial" w:eastAsia="Arial" w:hAnsi="Arial"/>
                <w:sz w:val="15"/>
                <w:szCs w:val="15"/>
                <w:b w:val="1"/>
                <w:bCs w:val="1"/>
                <w:color w:val="auto"/>
                <w:w w:val="90"/>
              </w:rPr>
              <w:t>For the Three Months Ended</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3"/>
          </w:tcPr>
          <w:p>
            <w:pPr>
              <w:jc w:val="right"/>
              <w:ind w:right="960"/>
              <w:spacing w:after="0"/>
              <w:rPr>
                <w:sz w:val="20"/>
                <w:szCs w:val="20"/>
                <w:color w:val="auto"/>
              </w:rPr>
            </w:pPr>
            <w:r>
              <w:rPr>
                <w:rFonts w:ascii="Arial" w:cs="Arial" w:eastAsia="Arial" w:hAnsi="Arial"/>
                <w:sz w:val="15"/>
                <w:szCs w:val="15"/>
                <w:b w:val="1"/>
                <w:bCs w:val="1"/>
                <w:color w:val="auto"/>
              </w:rPr>
              <w:t>% Change</w:t>
            </w:r>
          </w:p>
        </w:tc>
      </w:tr>
      <w:tr>
        <w:trPr>
          <w:trHeight w:val="167"/>
        </w:trPr>
        <w:tc>
          <w:tcPr>
            <w:tcW w:w="500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Borders>
              <w:top w:val="single" w:sz="8" w:color="auto"/>
            </w:tcBorders>
          </w:tcPr>
          <w:p>
            <w:pPr>
              <w:jc w:val="right"/>
              <w:ind w:right="486"/>
              <w:spacing w:after="0" w:line="167" w:lineRule="exact"/>
              <w:rPr>
                <w:sz w:val="20"/>
                <w:szCs w:val="20"/>
                <w:color w:val="auto"/>
              </w:rPr>
            </w:pPr>
            <w:r>
              <w:rPr>
                <w:rFonts w:ascii="Arial" w:cs="Arial" w:eastAsia="Arial" w:hAnsi="Arial"/>
                <w:sz w:val="15"/>
                <w:szCs w:val="15"/>
                <w:b w:val="1"/>
                <w:bCs w:val="1"/>
                <w:color w:val="auto"/>
              </w:rPr>
              <w:t>March</w:t>
            </w:r>
          </w:p>
        </w:tc>
        <w:tc>
          <w:tcPr>
            <w:tcW w:w="10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84"/>
        </w:trPr>
        <w:tc>
          <w:tcPr>
            <w:tcW w:w="5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386"/>
              <w:spacing w:after="0"/>
              <w:rPr>
                <w:sz w:val="20"/>
                <w:szCs w:val="20"/>
                <w:color w:val="auto"/>
              </w:rPr>
            </w:pPr>
            <w:r>
              <w:rPr>
                <w:rFonts w:ascii="Arial" w:cs="Arial" w:eastAsia="Arial" w:hAnsi="Arial"/>
                <w:sz w:val="15"/>
                <w:szCs w:val="15"/>
                <w:b w:val="1"/>
                <w:bCs w:val="1"/>
                <w:color w:val="auto"/>
              </w:rPr>
              <w:t>31, 2020 /</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4"/>
        </w:trPr>
        <w:tc>
          <w:tcPr>
            <w:tcW w:w="5000" w:type="dxa"/>
            <w:vAlign w:val="bottom"/>
          </w:tcPr>
          <w:p>
            <w:pPr>
              <w:spacing w:after="0"/>
              <w:rPr>
                <w:sz w:val="16"/>
                <w:szCs w:val="16"/>
                <w:color w:val="auto"/>
              </w:rPr>
            </w:pPr>
          </w:p>
        </w:tc>
        <w:tc>
          <w:tcPr>
            <w:tcW w:w="1300" w:type="dxa"/>
            <w:vAlign w:val="bottom"/>
          </w:tcPr>
          <w:p>
            <w:pPr>
              <w:jc w:val="right"/>
              <w:ind w:right="506"/>
              <w:spacing w:after="0"/>
              <w:rPr>
                <w:sz w:val="20"/>
                <w:szCs w:val="20"/>
                <w:color w:val="auto"/>
              </w:rPr>
            </w:pPr>
            <w:r>
              <w:rPr>
                <w:rFonts w:ascii="Arial" w:cs="Arial" w:eastAsia="Arial" w:hAnsi="Arial"/>
                <w:sz w:val="15"/>
                <w:szCs w:val="15"/>
                <w:b w:val="1"/>
                <w:bCs w:val="1"/>
                <w:color w:val="auto"/>
              </w:rPr>
              <w:t>March</w:t>
            </w:r>
          </w:p>
        </w:tc>
        <w:tc>
          <w:tcPr>
            <w:tcW w:w="1420" w:type="dxa"/>
            <w:vAlign w:val="bottom"/>
          </w:tcPr>
          <w:p>
            <w:pPr>
              <w:jc w:val="center"/>
              <w:ind w:right="426"/>
              <w:spacing w:after="0"/>
              <w:rPr>
                <w:sz w:val="20"/>
                <w:szCs w:val="20"/>
                <w:color w:val="auto"/>
              </w:rPr>
            </w:pPr>
            <w:r>
              <w:rPr>
                <w:rFonts w:ascii="Arial" w:cs="Arial" w:eastAsia="Arial" w:hAnsi="Arial"/>
                <w:sz w:val="15"/>
                <w:szCs w:val="15"/>
                <w:b w:val="1"/>
                <w:bCs w:val="1"/>
                <w:color w:val="auto"/>
                <w:w w:val="88"/>
              </w:rPr>
              <w:t>December</w:t>
            </w:r>
          </w:p>
        </w:tc>
        <w:tc>
          <w:tcPr>
            <w:tcW w:w="1080" w:type="dxa"/>
            <w:vAlign w:val="bottom"/>
            <w:gridSpan w:val="2"/>
          </w:tcPr>
          <w:p>
            <w:pPr>
              <w:jc w:val="center"/>
              <w:ind w:right="460"/>
              <w:spacing w:after="0"/>
              <w:rPr>
                <w:sz w:val="20"/>
                <w:szCs w:val="20"/>
                <w:color w:val="auto"/>
              </w:rPr>
            </w:pPr>
            <w:r>
              <w:rPr>
                <w:rFonts w:ascii="Arial" w:cs="Arial" w:eastAsia="Arial" w:hAnsi="Arial"/>
                <w:sz w:val="15"/>
                <w:szCs w:val="15"/>
                <w:b w:val="1"/>
                <w:bCs w:val="1"/>
                <w:color w:val="auto"/>
                <w:w w:val="94"/>
              </w:rPr>
              <w:t>March</w:t>
            </w:r>
          </w:p>
        </w:tc>
        <w:tc>
          <w:tcPr>
            <w:tcW w:w="1260" w:type="dxa"/>
            <w:vAlign w:val="bottom"/>
          </w:tcPr>
          <w:p>
            <w:pPr>
              <w:jc w:val="right"/>
              <w:ind w:right="366"/>
              <w:spacing w:after="0"/>
              <w:rPr>
                <w:sz w:val="20"/>
                <w:szCs w:val="20"/>
                <w:color w:val="auto"/>
              </w:rPr>
            </w:pPr>
            <w:r>
              <w:rPr>
                <w:rFonts w:ascii="Arial" w:cs="Arial" w:eastAsia="Arial" w:hAnsi="Arial"/>
                <w:sz w:val="15"/>
                <w:szCs w:val="15"/>
                <w:b w:val="1"/>
                <w:bCs w:val="1"/>
                <w:color w:val="auto"/>
              </w:rPr>
              <w:t>December</w:t>
            </w:r>
          </w:p>
        </w:tc>
        <w:tc>
          <w:tcPr>
            <w:tcW w:w="118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March</w:t>
            </w:r>
          </w:p>
        </w:tc>
      </w:tr>
      <w:tr>
        <w:trPr>
          <w:trHeight w:val="194"/>
        </w:trPr>
        <w:tc>
          <w:tcPr>
            <w:tcW w:w="5000" w:type="dxa"/>
            <w:vAlign w:val="bottom"/>
          </w:tcPr>
          <w:p>
            <w:pPr>
              <w:spacing w:after="0"/>
              <w:rPr>
                <w:sz w:val="16"/>
                <w:szCs w:val="16"/>
                <w:color w:val="auto"/>
              </w:rPr>
            </w:pPr>
          </w:p>
        </w:tc>
        <w:tc>
          <w:tcPr>
            <w:tcW w:w="130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b w:val="1"/>
                <w:bCs w:val="1"/>
                <w:color w:val="auto"/>
              </w:rPr>
              <w:t>31, 2019</w:t>
            </w:r>
          </w:p>
        </w:tc>
        <w:tc>
          <w:tcPr>
            <w:tcW w:w="1420" w:type="dxa"/>
            <w:vAlign w:val="bottom"/>
            <w:tcBorders>
              <w:bottom w:val="single" w:sz="8" w:color="auto"/>
            </w:tcBorders>
          </w:tcPr>
          <w:p>
            <w:pPr>
              <w:jc w:val="center"/>
              <w:ind w:right="426"/>
              <w:spacing w:after="0"/>
              <w:rPr>
                <w:sz w:val="20"/>
                <w:szCs w:val="20"/>
                <w:color w:val="auto"/>
              </w:rPr>
            </w:pPr>
            <w:r>
              <w:rPr>
                <w:rFonts w:ascii="Arial" w:cs="Arial" w:eastAsia="Arial" w:hAnsi="Arial"/>
                <w:sz w:val="15"/>
                <w:szCs w:val="15"/>
                <w:b w:val="1"/>
                <w:bCs w:val="1"/>
                <w:color w:val="auto"/>
                <w:w w:val="88"/>
              </w:rPr>
              <w:t>31, 2019</w:t>
            </w:r>
          </w:p>
        </w:tc>
        <w:tc>
          <w:tcPr>
            <w:tcW w:w="820" w:type="dxa"/>
            <w:vAlign w:val="bottom"/>
            <w:tcBorders>
              <w:bottom w:val="single" w:sz="8" w:color="auto"/>
            </w:tcBorders>
          </w:tcPr>
          <w:p>
            <w:pPr>
              <w:jc w:val="center"/>
              <w:ind w:right="126"/>
              <w:spacing w:after="0"/>
              <w:rPr>
                <w:sz w:val="20"/>
                <w:szCs w:val="20"/>
                <w:color w:val="auto"/>
              </w:rPr>
            </w:pPr>
            <w:r>
              <w:rPr>
                <w:rFonts w:ascii="Arial" w:cs="Arial" w:eastAsia="Arial" w:hAnsi="Arial"/>
                <w:sz w:val="15"/>
                <w:szCs w:val="15"/>
                <w:b w:val="1"/>
                <w:bCs w:val="1"/>
                <w:color w:val="auto"/>
                <w:w w:val="85"/>
              </w:rPr>
              <w:t>31, 2020</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b w:val="1"/>
                <w:bCs w:val="1"/>
                <w:color w:val="auto"/>
              </w:rPr>
              <w:t>31, 2019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3"/>
              </w:rPr>
              <w:t>31, 2020 / 2019</w:t>
            </w:r>
          </w:p>
        </w:tc>
        <w:tc>
          <w:tcPr>
            <w:tcW w:w="140" w:type="dxa"/>
            <w:vAlign w:val="bottom"/>
          </w:tcPr>
          <w:p>
            <w:pPr>
              <w:spacing w:after="0"/>
              <w:rPr>
                <w:sz w:val="16"/>
                <w:szCs w:val="16"/>
                <w:color w:val="auto"/>
              </w:rPr>
            </w:pPr>
          </w:p>
        </w:tc>
      </w:tr>
      <w:tr>
        <w:trPr>
          <w:trHeight w:val="191"/>
        </w:trPr>
        <w:tc>
          <w:tcPr>
            <w:tcW w:w="5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760" w:type="dxa"/>
            <w:vAlign w:val="bottom"/>
            <w:gridSpan w:val="4"/>
          </w:tcPr>
          <w:p>
            <w:pPr>
              <w:jc w:val="center"/>
              <w:ind w:right="186"/>
              <w:spacing w:after="0"/>
              <w:rPr>
                <w:sz w:val="20"/>
                <w:szCs w:val="20"/>
                <w:color w:val="auto"/>
              </w:rPr>
            </w:pPr>
            <w:r>
              <w:rPr>
                <w:rFonts w:ascii="Arial" w:cs="Arial" w:eastAsia="Arial" w:hAnsi="Arial"/>
                <w:sz w:val="16"/>
                <w:szCs w:val="16"/>
                <w:b w:val="1"/>
                <w:bCs w:val="1"/>
                <w:color w:val="auto"/>
                <w:w w:val="88"/>
              </w:rPr>
              <w:t>(Soles in thousands, except percentages)</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4"/>
        </w:trPr>
        <w:tc>
          <w:tcPr>
            <w:tcW w:w="50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13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4"/>
        </w:trPr>
        <w:tc>
          <w:tcPr>
            <w:tcW w:w="5000" w:type="dxa"/>
            <w:vAlign w:val="bottom"/>
          </w:tcPr>
          <w:p>
            <w:pPr>
              <w:spacing w:after="0"/>
              <w:rPr>
                <w:sz w:val="20"/>
                <w:szCs w:val="20"/>
                <w:color w:val="auto"/>
              </w:rPr>
            </w:pPr>
            <w:r>
              <w:rPr>
                <w:rFonts w:ascii="Arial" w:cs="Arial" w:eastAsia="Arial" w:hAnsi="Arial"/>
                <w:sz w:val="15"/>
                <w:szCs w:val="15"/>
                <w:color w:val="auto"/>
              </w:rPr>
              <w:t>Salaries and employees benefits</w:t>
            </w:r>
          </w:p>
        </w:tc>
        <w:tc>
          <w:tcPr>
            <w:tcW w:w="1300" w:type="dxa"/>
            <w:vAlign w:val="bottom"/>
          </w:tcPr>
          <w:p>
            <w:pPr>
              <w:jc w:val="right"/>
              <w:ind w:right="226"/>
              <w:spacing w:after="0"/>
              <w:rPr>
                <w:sz w:val="20"/>
                <w:szCs w:val="20"/>
                <w:color w:val="auto"/>
              </w:rPr>
            </w:pPr>
            <w:r>
              <w:rPr>
                <w:rFonts w:ascii="Arial" w:cs="Arial" w:eastAsia="Arial" w:hAnsi="Arial"/>
                <w:sz w:val="15"/>
                <w:szCs w:val="15"/>
                <w:color w:val="auto"/>
              </w:rPr>
              <w:t>834,317</w:t>
            </w:r>
          </w:p>
        </w:tc>
        <w:tc>
          <w:tcPr>
            <w:tcW w:w="1420" w:type="dxa"/>
            <w:vAlign w:val="bottom"/>
          </w:tcPr>
          <w:p>
            <w:pPr>
              <w:jc w:val="right"/>
              <w:ind w:right="366"/>
              <w:spacing w:after="0"/>
              <w:rPr>
                <w:sz w:val="20"/>
                <w:szCs w:val="20"/>
                <w:color w:val="auto"/>
              </w:rPr>
            </w:pPr>
            <w:r>
              <w:rPr>
                <w:rFonts w:ascii="Arial" w:cs="Arial" w:eastAsia="Arial" w:hAnsi="Arial"/>
                <w:sz w:val="15"/>
                <w:szCs w:val="15"/>
                <w:color w:val="auto"/>
              </w:rPr>
              <w:t>885,526</w:t>
            </w:r>
          </w:p>
        </w:tc>
        <w:tc>
          <w:tcPr>
            <w:tcW w:w="1080" w:type="dxa"/>
            <w:vAlign w:val="bottom"/>
            <w:gridSpan w:val="2"/>
          </w:tcPr>
          <w:p>
            <w:pPr>
              <w:jc w:val="right"/>
              <w:ind w:right="260"/>
              <w:spacing w:after="0"/>
              <w:rPr>
                <w:sz w:val="20"/>
                <w:szCs w:val="20"/>
                <w:color w:val="auto"/>
              </w:rPr>
            </w:pPr>
            <w:r>
              <w:rPr>
                <w:rFonts w:ascii="Arial" w:cs="Arial" w:eastAsia="Arial" w:hAnsi="Arial"/>
                <w:sz w:val="15"/>
                <w:szCs w:val="15"/>
                <w:color w:val="auto"/>
              </w:rPr>
              <w:t>891,183</w:t>
            </w:r>
          </w:p>
        </w:tc>
        <w:tc>
          <w:tcPr>
            <w:tcW w:w="1260" w:type="dxa"/>
            <w:vAlign w:val="bottom"/>
          </w:tcPr>
          <w:p>
            <w:pPr>
              <w:jc w:val="right"/>
              <w:ind w:right="66"/>
              <w:spacing w:after="0"/>
              <w:rPr>
                <w:sz w:val="20"/>
                <w:szCs w:val="20"/>
                <w:color w:val="auto"/>
              </w:rPr>
            </w:pPr>
            <w:r>
              <w:rPr>
                <w:rFonts w:ascii="Arial" w:cs="Arial" w:eastAsia="Arial" w:hAnsi="Arial"/>
                <w:sz w:val="15"/>
                <w:szCs w:val="15"/>
                <w:color w:val="auto"/>
              </w:rPr>
              <w:t>0.6%</w:t>
            </w:r>
          </w:p>
        </w:tc>
        <w:tc>
          <w:tcPr>
            <w:tcW w:w="1180" w:type="dxa"/>
            <w:vAlign w:val="bottom"/>
            <w:gridSpan w:val="2"/>
          </w:tcPr>
          <w:p>
            <w:pPr>
              <w:jc w:val="right"/>
              <w:ind w:right="20"/>
              <w:spacing w:after="0"/>
              <w:rPr>
                <w:sz w:val="20"/>
                <w:szCs w:val="20"/>
                <w:color w:val="auto"/>
              </w:rPr>
            </w:pPr>
            <w:r>
              <w:rPr>
                <w:rFonts w:ascii="Arial" w:cs="Arial" w:eastAsia="Arial" w:hAnsi="Arial"/>
                <w:sz w:val="15"/>
                <w:szCs w:val="15"/>
                <w:color w:val="auto"/>
              </w:rPr>
              <w:t>6.8%</w:t>
            </w:r>
          </w:p>
        </w:tc>
      </w:tr>
      <w:tr>
        <w:trPr>
          <w:trHeight w:val="184"/>
        </w:trPr>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Administrative, general and tax expenses</w:t>
            </w:r>
          </w:p>
        </w:tc>
        <w:tc>
          <w:tcPr>
            <w:tcW w:w="130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rPr>
              <w:t>538,157</w:t>
            </w:r>
          </w:p>
        </w:tc>
        <w:tc>
          <w:tcPr>
            <w:tcW w:w="142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rPr>
              <w:t>701,225</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539,644</w:t>
            </w: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(23.0)%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0.3%</w:t>
            </w:r>
          </w:p>
        </w:tc>
      </w:tr>
      <w:tr>
        <w:trPr>
          <w:trHeight w:val="184"/>
        </w:trPr>
        <w:tc>
          <w:tcPr>
            <w:tcW w:w="500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1300" w:type="dxa"/>
            <w:vAlign w:val="bottom"/>
          </w:tcPr>
          <w:p>
            <w:pPr>
              <w:jc w:val="right"/>
              <w:ind w:right="226"/>
              <w:spacing w:after="0"/>
              <w:rPr>
                <w:sz w:val="20"/>
                <w:szCs w:val="20"/>
                <w:color w:val="auto"/>
              </w:rPr>
            </w:pPr>
            <w:r>
              <w:rPr>
                <w:rFonts w:ascii="Arial" w:cs="Arial" w:eastAsia="Arial" w:hAnsi="Arial"/>
                <w:sz w:val="15"/>
                <w:szCs w:val="15"/>
                <w:color w:val="auto"/>
              </w:rPr>
              <w:t>131,325</w:t>
            </w:r>
          </w:p>
        </w:tc>
        <w:tc>
          <w:tcPr>
            <w:tcW w:w="1420" w:type="dxa"/>
            <w:vAlign w:val="bottom"/>
          </w:tcPr>
          <w:p>
            <w:pPr>
              <w:jc w:val="right"/>
              <w:ind w:right="366"/>
              <w:spacing w:after="0"/>
              <w:rPr>
                <w:sz w:val="20"/>
                <w:szCs w:val="20"/>
                <w:color w:val="auto"/>
              </w:rPr>
            </w:pPr>
            <w:r>
              <w:rPr>
                <w:rFonts w:ascii="Arial" w:cs="Arial" w:eastAsia="Arial" w:hAnsi="Arial"/>
                <w:sz w:val="15"/>
                <w:szCs w:val="15"/>
                <w:color w:val="auto"/>
              </w:rPr>
              <w:t>176,593</w:t>
            </w:r>
          </w:p>
        </w:tc>
        <w:tc>
          <w:tcPr>
            <w:tcW w:w="1080" w:type="dxa"/>
            <w:vAlign w:val="bottom"/>
            <w:gridSpan w:val="2"/>
          </w:tcPr>
          <w:p>
            <w:pPr>
              <w:jc w:val="right"/>
              <w:ind w:right="260"/>
              <w:spacing w:after="0"/>
              <w:rPr>
                <w:sz w:val="20"/>
                <w:szCs w:val="20"/>
                <w:color w:val="auto"/>
              </w:rPr>
            </w:pPr>
            <w:r>
              <w:rPr>
                <w:rFonts w:ascii="Arial" w:cs="Arial" w:eastAsia="Arial" w:hAnsi="Arial"/>
                <w:sz w:val="15"/>
                <w:szCs w:val="15"/>
                <w:color w:val="auto"/>
              </w:rPr>
              <w:t>171,748</w:t>
            </w: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(2.7)%</w:t>
            </w:r>
          </w:p>
        </w:tc>
        <w:tc>
          <w:tcPr>
            <w:tcW w:w="1180" w:type="dxa"/>
            <w:vAlign w:val="bottom"/>
            <w:gridSpan w:val="2"/>
          </w:tcPr>
          <w:p>
            <w:pPr>
              <w:jc w:val="right"/>
              <w:ind w:right="20"/>
              <w:spacing w:after="0"/>
              <w:rPr>
                <w:sz w:val="20"/>
                <w:szCs w:val="20"/>
                <w:color w:val="auto"/>
              </w:rPr>
            </w:pPr>
            <w:r>
              <w:rPr>
                <w:rFonts w:ascii="Arial" w:cs="Arial" w:eastAsia="Arial" w:hAnsi="Arial"/>
                <w:sz w:val="15"/>
                <w:szCs w:val="15"/>
                <w:color w:val="auto"/>
              </w:rPr>
              <w:t>30.8%</w:t>
            </w:r>
          </w:p>
        </w:tc>
      </w:tr>
      <w:tr>
        <w:trPr>
          <w:trHeight w:val="184"/>
        </w:trPr>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Association in participation</w:t>
            </w:r>
          </w:p>
        </w:tc>
        <w:tc>
          <w:tcPr>
            <w:tcW w:w="130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rPr>
              <w:t>2,736</w:t>
            </w:r>
          </w:p>
        </w:tc>
        <w:tc>
          <w:tcPr>
            <w:tcW w:w="142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rPr>
              <w:t>9,806</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6,430</w:t>
            </w: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(34.4)%</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135.0%</w:t>
            </w:r>
          </w:p>
        </w:tc>
      </w:tr>
      <w:tr>
        <w:trPr>
          <w:trHeight w:val="184"/>
        </w:trPr>
        <w:tc>
          <w:tcPr>
            <w:tcW w:w="5000" w:type="dxa"/>
            <w:vAlign w:val="bottom"/>
          </w:tcPr>
          <w:p>
            <w:pPr>
              <w:spacing w:after="0"/>
              <w:rPr>
                <w:sz w:val="20"/>
                <w:szCs w:val="20"/>
                <w:color w:val="auto"/>
              </w:rPr>
            </w:pPr>
            <w:r>
              <w:rPr>
                <w:rFonts w:ascii="Arial" w:cs="Arial" w:eastAsia="Arial" w:hAnsi="Arial"/>
                <w:sz w:val="15"/>
                <w:szCs w:val="15"/>
                <w:color w:val="auto"/>
              </w:rPr>
              <w:t>Acquisition costs(1)</w:t>
            </w:r>
          </w:p>
        </w:tc>
        <w:tc>
          <w:tcPr>
            <w:tcW w:w="1300" w:type="dxa"/>
            <w:vAlign w:val="bottom"/>
          </w:tcPr>
          <w:p>
            <w:pPr>
              <w:jc w:val="right"/>
              <w:ind w:right="226"/>
              <w:spacing w:after="0"/>
              <w:rPr>
                <w:sz w:val="20"/>
                <w:szCs w:val="20"/>
                <w:color w:val="auto"/>
              </w:rPr>
            </w:pPr>
            <w:r>
              <w:rPr>
                <w:rFonts w:ascii="Arial" w:cs="Arial" w:eastAsia="Arial" w:hAnsi="Arial"/>
                <w:sz w:val="15"/>
                <w:szCs w:val="15"/>
                <w:color w:val="auto"/>
              </w:rPr>
              <w:t>91,281</w:t>
            </w:r>
          </w:p>
        </w:tc>
        <w:tc>
          <w:tcPr>
            <w:tcW w:w="1420" w:type="dxa"/>
            <w:vAlign w:val="bottom"/>
          </w:tcPr>
          <w:p>
            <w:pPr>
              <w:jc w:val="right"/>
              <w:ind w:right="366"/>
              <w:spacing w:after="0"/>
              <w:rPr>
                <w:sz w:val="20"/>
                <w:szCs w:val="20"/>
                <w:color w:val="auto"/>
              </w:rPr>
            </w:pPr>
            <w:r>
              <w:rPr>
                <w:rFonts w:ascii="Arial" w:cs="Arial" w:eastAsia="Arial" w:hAnsi="Arial"/>
                <w:sz w:val="15"/>
                <w:szCs w:val="15"/>
                <w:color w:val="auto"/>
              </w:rPr>
              <w:t>88,662</w:t>
            </w:r>
          </w:p>
        </w:tc>
        <w:tc>
          <w:tcPr>
            <w:tcW w:w="1080" w:type="dxa"/>
            <w:vAlign w:val="bottom"/>
            <w:gridSpan w:val="2"/>
          </w:tcPr>
          <w:p>
            <w:pPr>
              <w:jc w:val="right"/>
              <w:ind w:right="260"/>
              <w:spacing w:after="0"/>
              <w:rPr>
                <w:sz w:val="20"/>
                <w:szCs w:val="20"/>
                <w:color w:val="auto"/>
              </w:rPr>
            </w:pPr>
            <w:r>
              <w:rPr>
                <w:rFonts w:ascii="Arial" w:cs="Arial" w:eastAsia="Arial" w:hAnsi="Arial"/>
                <w:sz w:val="15"/>
                <w:szCs w:val="15"/>
                <w:color w:val="auto"/>
              </w:rPr>
              <w:t>112,507</w:t>
            </w:r>
          </w:p>
        </w:tc>
        <w:tc>
          <w:tcPr>
            <w:tcW w:w="1260" w:type="dxa"/>
            <w:vAlign w:val="bottom"/>
          </w:tcPr>
          <w:p>
            <w:pPr>
              <w:jc w:val="right"/>
              <w:ind w:right="66"/>
              <w:spacing w:after="0"/>
              <w:rPr>
                <w:sz w:val="20"/>
                <w:szCs w:val="20"/>
                <w:color w:val="auto"/>
              </w:rPr>
            </w:pPr>
            <w:r>
              <w:rPr>
                <w:rFonts w:ascii="Arial" w:cs="Arial" w:eastAsia="Arial" w:hAnsi="Arial"/>
                <w:sz w:val="15"/>
                <w:szCs w:val="15"/>
                <w:color w:val="auto"/>
              </w:rPr>
              <w:t>26.9%</w:t>
            </w:r>
          </w:p>
        </w:tc>
        <w:tc>
          <w:tcPr>
            <w:tcW w:w="1180" w:type="dxa"/>
            <w:vAlign w:val="bottom"/>
            <w:gridSpan w:val="2"/>
          </w:tcPr>
          <w:p>
            <w:pPr>
              <w:jc w:val="right"/>
              <w:ind w:right="20"/>
              <w:spacing w:after="0"/>
              <w:rPr>
                <w:sz w:val="20"/>
                <w:szCs w:val="20"/>
                <w:color w:val="auto"/>
              </w:rPr>
            </w:pPr>
            <w:r>
              <w:rPr>
                <w:rFonts w:ascii="Arial" w:cs="Arial" w:eastAsia="Arial" w:hAnsi="Arial"/>
                <w:sz w:val="15"/>
                <w:szCs w:val="15"/>
                <w:color w:val="auto"/>
              </w:rPr>
              <w:t>23.3%</w:t>
            </w:r>
          </w:p>
        </w:tc>
      </w:tr>
      <w:tr>
        <w:trPr>
          <w:trHeight w:val="184"/>
        </w:trPr>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Operating expenses(2)</w:t>
            </w:r>
          </w:p>
        </w:tc>
        <w:tc>
          <w:tcPr>
            <w:tcW w:w="1300" w:type="dxa"/>
            <w:vAlign w:val="bottom"/>
            <w:shd w:val="clear" w:color="auto" w:fill="CCEEFF"/>
          </w:tcPr>
          <w:p>
            <w:pPr>
              <w:jc w:val="right"/>
              <w:ind w:right="226"/>
              <w:spacing w:after="0"/>
              <w:rPr>
                <w:sz w:val="20"/>
                <w:szCs w:val="20"/>
                <w:color w:val="auto"/>
              </w:rPr>
            </w:pPr>
            <w:r>
              <w:rPr>
                <w:rFonts w:ascii="Arial" w:cs="Arial" w:eastAsia="Arial" w:hAnsi="Arial"/>
                <w:sz w:val="15"/>
                <w:szCs w:val="15"/>
                <w:b w:val="1"/>
                <w:bCs w:val="1"/>
                <w:color w:val="auto"/>
              </w:rPr>
              <w:t>1,597,816</w:t>
            </w:r>
          </w:p>
        </w:tc>
        <w:tc>
          <w:tcPr>
            <w:tcW w:w="1420" w:type="dxa"/>
            <w:vAlign w:val="bottom"/>
            <w:shd w:val="clear" w:color="auto" w:fill="CCEEFF"/>
          </w:tcPr>
          <w:p>
            <w:pPr>
              <w:jc w:val="right"/>
              <w:ind w:right="366"/>
              <w:spacing w:after="0"/>
              <w:rPr>
                <w:sz w:val="20"/>
                <w:szCs w:val="20"/>
                <w:color w:val="auto"/>
              </w:rPr>
            </w:pPr>
            <w:r>
              <w:rPr>
                <w:rFonts w:ascii="Arial" w:cs="Arial" w:eastAsia="Arial" w:hAnsi="Arial"/>
                <w:sz w:val="15"/>
                <w:szCs w:val="15"/>
                <w:b w:val="1"/>
                <w:bCs w:val="1"/>
                <w:color w:val="auto"/>
              </w:rPr>
              <w:t>1,861,812</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1,721,512</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7.7%</w:t>
            </w:r>
          </w:p>
        </w:tc>
      </w:tr>
      <w:tr>
        <w:trPr>
          <w:trHeight w:val="184"/>
        </w:trPr>
        <w:tc>
          <w:tcPr>
            <w:tcW w:w="5000" w:type="dxa"/>
            <w:vAlign w:val="bottom"/>
          </w:tcPr>
          <w:p>
            <w:pPr>
              <w:spacing w:after="0"/>
              <w:rPr>
                <w:sz w:val="20"/>
                <w:szCs w:val="20"/>
                <w:color w:val="auto"/>
              </w:rPr>
            </w:pPr>
            <w:r>
              <w:rPr>
                <w:rFonts w:ascii="Arial" w:cs="Arial" w:eastAsia="Arial" w:hAnsi="Arial"/>
                <w:sz w:val="15"/>
                <w:szCs w:val="15"/>
                <w:color w:val="auto"/>
              </w:rPr>
              <w:t>Operating income(3)</w:t>
            </w:r>
          </w:p>
        </w:tc>
        <w:tc>
          <w:tcPr>
            <w:tcW w:w="1300" w:type="dxa"/>
            <w:vAlign w:val="bottom"/>
          </w:tcPr>
          <w:p>
            <w:pPr>
              <w:jc w:val="right"/>
              <w:ind w:right="226"/>
              <w:spacing w:after="0"/>
              <w:rPr>
                <w:sz w:val="20"/>
                <w:szCs w:val="20"/>
                <w:color w:val="auto"/>
              </w:rPr>
            </w:pPr>
            <w:r>
              <w:rPr>
                <w:rFonts w:ascii="Arial" w:cs="Arial" w:eastAsia="Arial" w:hAnsi="Arial"/>
                <w:sz w:val="15"/>
                <w:szCs w:val="15"/>
                <w:b w:val="1"/>
                <w:bCs w:val="1"/>
                <w:color w:val="auto"/>
              </w:rPr>
              <w:t>3,768,564</w:t>
            </w:r>
          </w:p>
        </w:tc>
        <w:tc>
          <w:tcPr>
            <w:tcW w:w="1420" w:type="dxa"/>
            <w:vAlign w:val="bottom"/>
          </w:tcPr>
          <w:p>
            <w:pPr>
              <w:jc w:val="right"/>
              <w:ind w:right="366"/>
              <w:spacing w:after="0"/>
              <w:rPr>
                <w:sz w:val="20"/>
                <w:szCs w:val="20"/>
                <w:color w:val="auto"/>
              </w:rPr>
            </w:pPr>
            <w:r>
              <w:rPr>
                <w:rFonts w:ascii="Arial" w:cs="Arial" w:eastAsia="Arial" w:hAnsi="Arial"/>
                <w:sz w:val="15"/>
                <w:szCs w:val="15"/>
                <w:b w:val="1"/>
                <w:bCs w:val="1"/>
                <w:color w:val="auto"/>
              </w:rPr>
              <w:t>4,073,876</w:t>
            </w:r>
          </w:p>
        </w:tc>
        <w:tc>
          <w:tcPr>
            <w:tcW w:w="10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3,967,962</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(2.6)%</w:t>
            </w:r>
          </w:p>
        </w:tc>
        <w:tc>
          <w:tcPr>
            <w:tcW w:w="1180" w:type="dxa"/>
            <w:vAlign w:val="bottom"/>
            <w:gridSpan w:val="2"/>
          </w:tcPr>
          <w:p>
            <w:pPr>
              <w:jc w:val="right"/>
              <w:spacing w:after="0"/>
              <w:rPr>
                <w:sz w:val="20"/>
                <w:szCs w:val="20"/>
                <w:color w:val="auto"/>
              </w:rPr>
            </w:pPr>
            <w:r>
              <w:rPr>
                <w:rFonts w:ascii="Arial" w:cs="Arial" w:eastAsia="Arial" w:hAnsi="Arial"/>
                <w:sz w:val="15"/>
                <w:szCs w:val="15"/>
                <w:b w:val="1"/>
                <w:bCs w:val="1"/>
                <w:color w:val="auto"/>
              </w:rPr>
              <w:t>5.3%</w:t>
            </w:r>
          </w:p>
        </w:tc>
      </w:tr>
      <w:tr>
        <w:trPr>
          <w:trHeight w:val="184"/>
        </w:trPr>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Efficiency ratio</w:t>
            </w:r>
          </w:p>
        </w:tc>
        <w:tc>
          <w:tcPr>
            <w:tcW w:w="1300" w:type="dxa"/>
            <w:vAlign w:val="bottom"/>
            <w:shd w:val="clear" w:color="auto" w:fill="CCEEFF"/>
          </w:tcPr>
          <w:p>
            <w:pPr>
              <w:jc w:val="right"/>
              <w:ind w:right="66"/>
              <w:spacing w:after="0"/>
              <w:rPr>
                <w:sz w:val="20"/>
                <w:szCs w:val="20"/>
                <w:color w:val="auto"/>
              </w:rPr>
            </w:pPr>
            <w:r>
              <w:rPr>
                <w:rFonts w:ascii="Arial" w:cs="Arial" w:eastAsia="Arial" w:hAnsi="Arial"/>
                <w:sz w:val="15"/>
                <w:szCs w:val="15"/>
                <w:b w:val="1"/>
                <w:bCs w:val="1"/>
                <w:color w:val="auto"/>
              </w:rPr>
              <w:t>42.4%</w:t>
            </w:r>
          </w:p>
        </w:tc>
        <w:tc>
          <w:tcPr>
            <w:tcW w:w="1420" w:type="dxa"/>
            <w:vAlign w:val="bottom"/>
            <w:shd w:val="clear" w:color="auto" w:fill="CCEEFF"/>
          </w:tcPr>
          <w:p>
            <w:pPr>
              <w:jc w:val="right"/>
              <w:ind w:right="226"/>
              <w:spacing w:after="0"/>
              <w:rPr>
                <w:sz w:val="20"/>
                <w:szCs w:val="20"/>
                <w:color w:val="auto"/>
              </w:rPr>
            </w:pPr>
            <w:r>
              <w:rPr>
                <w:rFonts w:ascii="Arial" w:cs="Arial" w:eastAsia="Arial" w:hAnsi="Arial"/>
                <w:sz w:val="15"/>
                <w:szCs w:val="15"/>
                <w:b w:val="1"/>
                <w:bCs w:val="1"/>
                <w:color w:val="auto"/>
              </w:rPr>
              <w:t>45.7%</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43.4%</w:t>
            </w:r>
          </w:p>
        </w:tc>
        <w:tc>
          <w:tcPr>
            <w:tcW w:w="1260" w:type="dxa"/>
            <w:vAlign w:val="bottom"/>
            <w:shd w:val="clear" w:color="auto" w:fill="CCEEFF"/>
          </w:tcPr>
          <w:p>
            <w:pPr>
              <w:jc w:val="right"/>
              <w:ind w:right="186"/>
              <w:spacing w:after="0"/>
              <w:rPr>
                <w:sz w:val="20"/>
                <w:szCs w:val="20"/>
                <w:color w:val="auto"/>
              </w:rPr>
            </w:pPr>
            <w:r>
              <w:rPr>
                <w:rFonts w:ascii="Arial" w:cs="Arial" w:eastAsia="Arial" w:hAnsi="Arial"/>
                <w:sz w:val="15"/>
                <w:szCs w:val="15"/>
                <w:b w:val="1"/>
                <w:bCs w:val="1"/>
                <w:color w:val="auto"/>
              </w:rPr>
              <w:t>(230) bps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100 bps</w:t>
            </w:r>
          </w:p>
        </w:tc>
      </w:tr>
      <w:tr>
        <w:trPr>
          <w:trHeight w:val="191"/>
        </w:trPr>
        <w:tc>
          <w:tcPr>
            <w:tcW w:w="5000" w:type="dxa"/>
            <w:vAlign w:val="bottom"/>
          </w:tcPr>
          <w:p>
            <w:pPr>
              <w:spacing w:after="0"/>
              <w:rPr>
                <w:sz w:val="20"/>
                <w:szCs w:val="20"/>
                <w:color w:val="auto"/>
              </w:rPr>
            </w:pPr>
            <w:r>
              <w:rPr>
                <w:rFonts w:ascii="Arial" w:cs="Arial" w:eastAsia="Arial" w:hAnsi="Arial"/>
                <w:sz w:val="15"/>
                <w:szCs w:val="15"/>
                <w:color w:val="auto"/>
              </w:rPr>
              <w:t>Operating expenses / Total average assets(4)</w:t>
            </w:r>
          </w:p>
        </w:tc>
        <w:tc>
          <w:tcPr>
            <w:tcW w:w="1300" w:type="dxa"/>
            <w:vAlign w:val="bottom"/>
          </w:tcPr>
          <w:p>
            <w:pPr>
              <w:jc w:val="right"/>
              <w:ind w:right="66"/>
              <w:spacing w:after="0"/>
              <w:rPr>
                <w:sz w:val="20"/>
                <w:szCs w:val="20"/>
                <w:color w:val="auto"/>
              </w:rPr>
            </w:pPr>
            <w:r>
              <w:rPr>
                <w:rFonts w:ascii="Arial" w:cs="Arial" w:eastAsia="Arial" w:hAnsi="Arial"/>
                <w:sz w:val="15"/>
                <w:szCs w:val="15"/>
                <w:b w:val="1"/>
                <w:bCs w:val="1"/>
                <w:color w:val="auto"/>
              </w:rPr>
              <w:t>3.60%</w:t>
            </w:r>
          </w:p>
        </w:tc>
        <w:tc>
          <w:tcPr>
            <w:tcW w:w="1420" w:type="dxa"/>
            <w:vAlign w:val="bottom"/>
          </w:tcPr>
          <w:p>
            <w:pPr>
              <w:jc w:val="right"/>
              <w:ind w:right="226"/>
              <w:spacing w:after="0"/>
              <w:rPr>
                <w:sz w:val="20"/>
                <w:szCs w:val="20"/>
                <w:color w:val="auto"/>
              </w:rPr>
            </w:pPr>
            <w:r>
              <w:rPr>
                <w:rFonts w:ascii="Arial" w:cs="Arial" w:eastAsia="Arial" w:hAnsi="Arial"/>
                <w:sz w:val="15"/>
                <w:szCs w:val="15"/>
                <w:b w:val="1"/>
                <w:bCs w:val="1"/>
                <w:color w:val="auto"/>
              </w:rPr>
              <w:t>3.99%</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3.57%</w:t>
            </w:r>
          </w:p>
        </w:tc>
        <w:tc>
          <w:tcPr>
            <w:tcW w:w="1260" w:type="dxa"/>
            <w:vAlign w:val="bottom"/>
          </w:tcPr>
          <w:p>
            <w:pPr>
              <w:jc w:val="right"/>
              <w:ind w:right="186"/>
              <w:spacing w:after="0"/>
              <w:rPr>
                <w:sz w:val="20"/>
                <w:szCs w:val="20"/>
                <w:color w:val="auto"/>
              </w:rPr>
            </w:pPr>
            <w:r>
              <w:rPr>
                <w:rFonts w:ascii="Arial" w:cs="Arial" w:eastAsia="Arial" w:hAnsi="Arial"/>
                <w:sz w:val="15"/>
                <w:szCs w:val="15"/>
                <w:b w:val="1"/>
                <w:bCs w:val="1"/>
                <w:color w:val="auto"/>
              </w:rPr>
              <w:t>(42) bps</w:t>
            </w:r>
          </w:p>
        </w:tc>
        <w:tc>
          <w:tcPr>
            <w:tcW w:w="11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(3)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142748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427480" cy="7620"/>
                    </a:xfrm>
                    <a:prstGeom prst="rect">
                      <a:avLst/>
                    </a:prstGeom>
                    <a:noFill/>
                  </pic:spPr>
                </pic:pic>
              </a:graphicData>
            </a:graphic>
          </wp:anchor>
        </w:drawing>
      </w:r>
    </w:p>
    <w:p>
      <w:pPr>
        <w:spacing w:after="0" w:line="182" w:lineRule="exact"/>
        <w:rPr>
          <w:sz w:val="20"/>
          <w:szCs w:val="20"/>
          <w:color w:val="auto"/>
        </w:rPr>
      </w:pPr>
    </w:p>
    <w:p>
      <w:pPr>
        <w:ind w:left="302" w:hanging="302"/>
        <w:spacing w:after="0"/>
        <w:tabs>
          <w:tab w:leader="none" w:pos="30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acquisition costs of Pacifico include net fees and underwriting expenses.</w:t>
      </w:r>
    </w:p>
    <w:p>
      <w:pPr>
        <w:spacing w:after="0" w:line="209" w:lineRule="exact"/>
        <w:rPr>
          <w:rFonts w:ascii="Arial" w:cs="Arial" w:eastAsia="Arial" w:hAnsi="Arial"/>
          <w:sz w:val="16"/>
          <w:szCs w:val="16"/>
          <w:color w:val="auto"/>
        </w:rPr>
      </w:pPr>
    </w:p>
    <w:p>
      <w:pPr>
        <w:ind w:left="302" w:right="200" w:hanging="302"/>
        <w:spacing w:after="0" w:line="287" w:lineRule="auto"/>
        <w:tabs>
          <w:tab w:leader="none" w:pos="30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Operating expenses are equal to Salaries and employees benefits plus Administrative, general and tax expenses plus Depreciation and amortization plus Acquisition costs plus Association in participation.</w:t>
      </w:r>
    </w:p>
    <w:p>
      <w:pPr>
        <w:spacing w:after="0" w:line="149" w:lineRule="exact"/>
        <w:rPr>
          <w:rFonts w:ascii="Arial" w:cs="Arial" w:eastAsia="Arial" w:hAnsi="Arial"/>
          <w:sz w:val="16"/>
          <w:szCs w:val="16"/>
          <w:color w:val="auto"/>
        </w:rPr>
      </w:pPr>
    </w:p>
    <w:p>
      <w:pPr>
        <w:ind w:left="302" w:right="420" w:hanging="302"/>
        <w:spacing w:after="0" w:line="287" w:lineRule="auto"/>
        <w:tabs>
          <w:tab w:leader="none" w:pos="30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Operating income is equal to Net interest income plus Fee income plus Net gain on foreign exchange transactions plus Net gain from associates plus Net gain on derivatives held for trading plus Result on exchange differences plus Net premiums earned.</w:t>
      </w:r>
    </w:p>
    <w:p>
      <w:pPr>
        <w:spacing w:after="0" w:line="149" w:lineRule="exact"/>
        <w:rPr>
          <w:rFonts w:ascii="Arial" w:cs="Arial" w:eastAsia="Arial" w:hAnsi="Arial"/>
          <w:sz w:val="16"/>
          <w:szCs w:val="16"/>
          <w:color w:val="auto"/>
        </w:rPr>
      </w:pPr>
    </w:p>
    <w:p>
      <w:pPr>
        <w:ind w:left="302" w:hanging="302"/>
        <w:spacing w:after="0"/>
        <w:tabs>
          <w:tab w:leader="none" w:pos="30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Average is calculated with period-beginning and period-ending balances.</w:t>
      </w:r>
    </w:p>
    <w:p>
      <w:pPr>
        <w:spacing w:after="0" w:line="209" w:lineRule="exact"/>
        <w:rPr>
          <w:sz w:val="20"/>
          <w:szCs w:val="20"/>
          <w:color w:val="auto"/>
        </w:rPr>
      </w:pPr>
    </w:p>
    <w:p>
      <w:pPr>
        <w:ind w:left="2" w:right="40" w:firstLine="295"/>
        <w:spacing w:after="0" w:line="271" w:lineRule="auto"/>
        <w:rPr>
          <w:sz w:val="20"/>
          <w:szCs w:val="20"/>
          <w:color w:val="auto"/>
        </w:rPr>
      </w:pPr>
      <w:r>
        <w:rPr>
          <w:rFonts w:ascii="Arial" w:cs="Arial" w:eastAsia="Arial" w:hAnsi="Arial"/>
          <w:sz w:val="16"/>
          <w:szCs w:val="16"/>
          <w:color w:val="auto"/>
        </w:rPr>
        <w:t>Comparing the three months ended March 31, 2020 to the three months ended December 31, 2019, the improvement in the efficiency ratio was attributable to a seasonal effect on operating expenses; as such, the comparison of the three months ended March 31, 2020 to the corresponding period of 2019 provides a clearer picture of the evolution of efficiency.</w:t>
      </w:r>
    </w:p>
    <w:p>
      <w:pPr>
        <w:spacing w:after="0" w:line="163" w:lineRule="exact"/>
        <w:rPr>
          <w:sz w:val="20"/>
          <w:szCs w:val="20"/>
          <w:color w:val="auto"/>
        </w:rPr>
      </w:pPr>
    </w:p>
    <w:p>
      <w:pPr>
        <w:ind w:left="2" w:right="540" w:firstLine="295"/>
        <w:spacing w:after="0" w:line="287" w:lineRule="auto"/>
        <w:rPr>
          <w:sz w:val="20"/>
          <w:szCs w:val="20"/>
          <w:color w:val="auto"/>
        </w:rPr>
      </w:pPr>
      <w:r>
        <w:rPr>
          <w:rFonts w:ascii="Arial" w:cs="Arial" w:eastAsia="Arial" w:hAnsi="Arial"/>
          <w:sz w:val="16"/>
          <w:szCs w:val="16"/>
          <w:color w:val="auto"/>
        </w:rPr>
        <w:t>In the three months ended March 31, 2020 compared to the corresponding period of 2019, the efficiency ratio deteriorated 100 basis points. This was primarily attributable to the fact that operating expenses posted a higher increase than growth in operating income.</w:t>
      </w:r>
    </w:p>
    <w:p>
      <w:pPr>
        <w:spacing w:after="0" w:line="150" w:lineRule="exact"/>
        <w:rPr>
          <w:sz w:val="20"/>
          <w:szCs w:val="20"/>
          <w:color w:val="auto"/>
        </w:rPr>
      </w:pPr>
    </w:p>
    <w:p>
      <w:pPr>
        <w:ind w:left="302"/>
        <w:spacing w:after="0"/>
        <w:rPr>
          <w:sz w:val="20"/>
          <w:szCs w:val="20"/>
          <w:color w:val="auto"/>
        </w:rPr>
      </w:pPr>
      <w:r>
        <w:rPr>
          <w:rFonts w:ascii="Arial" w:cs="Arial" w:eastAsia="Arial" w:hAnsi="Arial"/>
          <w:sz w:val="14"/>
          <w:szCs w:val="14"/>
          <w:color w:val="auto"/>
        </w:rPr>
        <w:t>The figure below depicts the impact of the variation of each component of operating income and operating expenses in the efficiency ratio for the three months ended</w:t>
      </w:r>
    </w:p>
    <w:p>
      <w:pPr>
        <w:spacing w:after="0" w:line="47" w:lineRule="exact"/>
        <w:rPr>
          <w:sz w:val="20"/>
          <w:szCs w:val="20"/>
          <w:color w:val="auto"/>
        </w:rPr>
      </w:pPr>
    </w:p>
    <w:p>
      <w:pPr>
        <w:ind w:left="2"/>
        <w:spacing w:after="0"/>
        <w:rPr>
          <w:sz w:val="20"/>
          <w:szCs w:val="20"/>
          <w:color w:val="auto"/>
        </w:rPr>
      </w:pPr>
      <w:r>
        <w:rPr>
          <w:rFonts w:ascii="Arial" w:cs="Arial" w:eastAsia="Arial" w:hAnsi="Arial"/>
          <w:sz w:val="16"/>
          <w:szCs w:val="16"/>
          <w:color w:val="auto"/>
        </w:rPr>
        <w:t>March 31, 2020 in comparison to the corresponding period in 2019:</w:t>
      </w:r>
    </w:p>
    <w:p>
      <w:pPr>
        <w:spacing w:after="0" w:line="194"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Year on Year Evolution of the Efficiency Ratio by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5912485" cy="15208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912485" cy="152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2" w:right="360" w:hanging="302"/>
        <w:spacing w:after="0" w:line="287" w:lineRule="auto"/>
        <w:tabs>
          <w:tab w:leader="none" w:pos="30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Other operating income includes: Net gain on foreign exchange transactions, Net gain from associates, Net gain on derivatives held for trading and Net gain from exchange difference.</w:t>
      </w:r>
    </w:p>
    <w:p>
      <w:pPr>
        <w:spacing w:after="0" w:line="149" w:lineRule="exact"/>
        <w:rPr>
          <w:rFonts w:ascii="Arial" w:cs="Arial" w:eastAsia="Arial" w:hAnsi="Arial"/>
          <w:sz w:val="16"/>
          <w:szCs w:val="16"/>
          <w:color w:val="auto"/>
        </w:rPr>
      </w:pPr>
    </w:p>
    <w:p>
      <w:pPr>
        <w:ind w:left="302" w:hanging="302"/>
        <w:spacing w:after="0"/>
        <w:tabs>
          <w:tab w:leader="none" w:pos="30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Other operating expenses includes: Acquisition costs and Association in participation</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36" w:right="339" w:bottom="1440" w:gutter="0" w:footer="0" w:header="0"/>
        </w:sectPr>
      </w:pPr>
    </w:p>
    <w:bookmarkStart w:id="192" w:name="page193"/>
    <w:bookmarkEnd w:id="192"/>
    <w:p>
      <w:pPr>
        <w:ind w:left="300"/>
        <w:spacing w:after="0"/>
        <w:rPr>
          <w:sz w:val="20"/>
          <w:szCs w:val="20"/>
          <w:color w:val="auto"/>
        </w:rPr>
      </w:pPr>
      <w:r>
        <w:rPr>
          <w:rFonts w:ascii="Arial" w:cs="Arial" w:eastAsia="Arial" w:hAnsi="Arial"/>
          <w:sz w:val="16"/>
          <w:szCs w:val="16"/>
          <w:color w:val="auto"/>
        </w:rPr>
        <w:t>An analysis of the impact of operating expenses shows that the negative effect on the operating efficiency ratio was due to:</w:t>
      </w:r>
    </w:p>
    <w:p>
      <w:pPr>
        <w:spacing w:after="0" w:line="209" w:lineRule="exact"/>
        <w:rPr>
          <w:sz w:val="20"/>
          <w:szCs w:val="20"/>
          <w:color w:val="auto"/>
        </w:rPr>
      </w:pPr>
    </w:p>
    <w:p>
      <w:pPr>
        <w:ind w:left="720" w:right="100" w:hanging="366"/>
        <w:spacing w:after="0" w:line="266" w:lineRule="auto"/>
        <w:tabs>
          <w:tab w:leader="none" w:pos="72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An increase in salaries and employee benefits, mainly in the microfinance business and, to a lesser extent, at BCP Stand-alone. In the case of microfinance, the increase was attributable to (i) Mibanco, due to an increase in headcount in 2019, which was primarily to encourage commercial teams to build the capacities needed to ensure growth down the line at Mibanco; and (ii) Bancompartir, which has been consolidated in Credicorp’s balance sheet since December 2019. At BCP Stand-alone, growth was attributable to hiring of individuals with specialist skills in 2019.</w:t>
      </w:r>
    </w:p>
    <w:p>
      <w:pPr>
        <w:spacing w:after="0" w:line="166" w:lineRule="exact"/>
        <w:rPr>
          <w:rFonts w:ascii="Arial" w:cs="Arial" w:eastAsia="Arial" w:hAnsi="Arial"/>
          <w:sz w:val="16"/>
          <w:szCs w:val="16"/>
          <w:color w:val="auto"/>
        </w:rPr>
      </w:pPr>
    </w:p>
    <w:p>
      <w:pPr>
        <w:ind w:left="720" w:right="160" w:hanging="366"/>
        <w:spacing w:after="0" w:line="287" w:lineRule="auto"/>
        <w:tabs>
          <w:tab w:leader="none" w:pos="72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increase in depreciation and amortization due to the higher amortization expenses for software, in line with the investment in new software to support our credit card business.</w:t>
      </w:r>
    </w:p>
    <w:p>
      <w:pPr>
        <w:spacing w:after="0" w:line="149" w:lineRule="exact"/>
        <w:rPr>
          <w:rFonts w:ascii="Arial" w:cs="Arial" w:eastAsia="Arial" w:hAnsi="Arial"/>
          <w:sz w:val="16"/>
          <w:szCs w:val="16"/>
          <w:color w:val="auto"/>
        </w:rPr>
      </w:pPr>
    </w:p>
    <w:p>
      <w:pPr>
        <w:ind w:left="720" w:right="220" w:hanging="366"/>
        <w:spacing w:after="0" w:line="287" w:lineRule="auto"/>
        <w:tabs>
          <w:tab w:leader="none" w:pos="72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An increase in the acquisition costs, which was attributable to growth in net earned premiums and the reimbursement of 50% of the premiums paid by clients for cars for personal use in March.</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terms of operating income, the effects that positively impacted the operating efficiency ratio were:</w:t>
      </w:r>
    </w:p>
    <w:p>
      <w:pPr>
        <w:spacing w:after="0" w:line="209" w:lineRule="exact"/>
        <w:rPr>
          <w:sz w:val="20"/>
          <w:szCs w:val="20"/>
          <w:color w:val="auto"/>
        </w:rPr>
      </w:pPr>
    </w:p>
    <w:p>
      <w:pPr>
        <w:ind w:left="720" w:hanging="366"/>
        <w:spacing w:after="0"/>
        <w:tabs>
          <w:tab w:leader="none" w:pos="72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Growth in net interest income, in line with the expansion in average daily loan balances in all segments, as indicated in “—Interest Income.”</w:t>
      </w:r>
    </w:p>
    <w:p>
      <w:pPr>
        <w:spacing w:after="0" w:line="209" w:lineRule="exact"/>
        <w:rPr>
          <w:rFonts w:ascii="Arial" w:cs="Arial" w:eastAsia="Arial" w:hAnsi="Arial"/>
          <w:sz w:val="16"/>
          <w:szCs w:val="16"/>
          <w:color w:val="auto"/>
        </w:rPr>
      </w:pPr>
    </w:p>
    <w:p>
      <w:pPr>
        <w:ind w:left="720" w:right="660" w:hanging="366"/>
        <w:spacing w:after="0" w:line="287" w:lineRule="auto"/>
        <w:tabs>
          <w:tab w:leader="none" w:pos="72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increase in net earned premiums at Grupo Pacifico, which was seen in both the life and P&amp;C lines, as explained in further detail in “—Net Earned Premiums.”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In the context of the COVID-19 pandemic, Credicorp is looking to reduce growth in operating expenses given that it expects operating income for the year to decrease.</w:t>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Credicorp’s Administrative, General and Tax Expenses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Credicorp’s Administrative, General and Tax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5"/>
          </w:tcPr>
          <w:p>
            <w:pPr>
              <w:jc w:val="right"/>
              <w:ind w:right="255"/>
              <w:spacing w:after="0"/>
              <w:rPr>
                <w:sz w:val="20"/>
                <w:szCs w:val="20"/>
                <w:color w:val="auto"/>
              </w:rPr>
            </w:pPr>
            <w:r>
              <w:rPr>
                <w:rFonts w:ascii="Arial" w:cs="Arial" w:eastAsia="Arial" w:hAnsi="Arial"/>
                <w:sz w:val="13"/>
                <w:szCs w:val="13"/>
                <w:b w:val="1"/>
                <w:bCs w:val="1"/>
                <w:color w:val="auto"/>
                <w:w w:val="95"/>
              </w:rPr>
              <w:t>For the Three Months Ended</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4"/>
          </w:tcPr>
          <w:p>
            <w:pPr>
              <w:jc w:val="right"/>
              <w:ind w:right="715"/>
              <w:spacing w:after="0"/>
              <w:rPr>
                <w:sz w:val="20"/>
                <w:szCs w:val="20"/>
                <w:color w:val="auto"/>
              </w:rPr>
            </w:pPr>
            <w:r>
              <w:rPr>
                <w:rFonts w:ascii="Arial" w:cs="Arial" w:eastAsia="Arial" w:hAnsi="Arial"/>
                <w:sz w:val="13"/>
                <w:szCs w:val="13"/>
                <w:b w:val="1"/>
                <w:bCs w:val="1"/>
                <w:color w:val="auto"/>
              </w:rPr>
              <w:t>% Change</w:t>
            </w:r>
          </w:p>
        </w:tc>
      </w:tr>
      <w:tr>
        <w:trPr>
          <w:trHeight w:val="107"/>
        </w:trPr>
        <w:tc>
          <w:tcPr>
            <w:tcW w:w="3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Borders>
              <w:top w:val="single" w:sz="8" w:color="auto"/>
            </w:tcBorders>
            <w:gridSpan w:val="2"/>
          </w:tcPr>
          <w:p>
            <w:pPr>
              <w:jc w:val="right"/>
              <w:ind w:right="455"/>
              <w:spacing w:after="0" w:line="107" w:lineRule="exact"/>
              <w:rPr>
                <w:sz w:val="20"/>
                <w:szCs w:val="20"/>
                <w:color w:val="auto"/>
              </w:rPr>
            </w:pPr>
            <w:r>
              <w:rPr>
                <w:rFonts w:ascii="Arial" w:cs="Arial" w:eastAsia="Arial" w:hAnsi="Arial"/>
                <w:sz w:val="12"/>
                <w:szCs w:val="12"/>
                <w:b w:val="1"/>
                <w:bCs w:val="1"/>
                <w:color w:val="auto"/>
              </w:rPr>
              <w:t>March</w:t>
            </w:r>
          </w:p>
        </w:tc>
        <w:tc>
          <w:tcPr>
            <w:tcW w:w="7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35"/>
        </w:trPr>
        <w:tc>
          <w:tcPr>
            <w:tcW w:w="3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rPr>
              <w:t>31, 2020 /</w:t>
            </w:r>
          </w:p>
        </w:tc>
        <w:tc>
          <w:tcPr>
            <w:tcW w:w="300" w:type="dxa"/>
            <w:vAlign w:val="bottom"/>
          </w:tcPr>
          <w:p>
            <w:pPr>
              <w:spacing w:after="0"/>
              <w:rPr>
                <w:sz w:val="11"/>
                <w:szCs w:val="11"/>
                <w:color w:val="auto"/>
              </w:rPr>
            </w:pPr>
          </w:p>
        </w:tc>
        <w:tc>
          <w:tcPr>
            <w:tcW w:w="920" w:type="dxa"/>
            <w:vAlign w:val="bottom"/>
            <w:gridSpan w:val="2"/>
          </w:tcPr>
          <w:p>
            <w:pPr>
              <w:jc w:val="right"/>
              <w:ind w:right="295"/>
              <w:spacing w:after="0" w:line="135" w:lineRule="exact"/>
              <w:rPr>
                <w:sz w:val="20"/>
                <w:szCs w:val="20"/>
                <w:color w:val="auto"/>
              </w:rPr>
            </w:pPr>
            <w:r>
              <w:rPr>
                <w:rFonts w:ascii="Arial" w:cs="Arial" w:eastAsia="Arial" w:hAnsi="Arial"/>
                <w:sz w:val="13"/>
                <w:szCs w:val="13"/>
                <w:b w:val="1"/>
                <w:bCs w:val="1"/>
                <w:color w:val="auto"/>
              </w:rPr>
              <w:t>March</w:t>
            </w:r>
          </w:p>
        </w:tc>
      </w:tr>
      <w:tr>
        <w:trPr>
          <w:trHeight w:val="135"/>
        </w:trPr>
        <w:tc>
          <w:tcPr>
            <w:tcW w:w="3200" w:type="dxa"/>
            <w:vAlign w:val="bottom"/>
          </w:tcPr>
          <w:p>
            <w:pPr>
              <w:spacing w:after="0"/>
              <w:rPr>
                <w:sz w:val="11"/>
                <w:szCs w:val="11"/>
                <w:color w:val="auto"/>
              </w:rPr>
            </w:pPr>
          </w:p>
        </w:tc>
        <w:tc>
          <w:tcPr>
            <w:tcW w:w="100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March</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tcPr>
          <w:p>
            <w:pPr>
              <w:ind w:left="100"/>
              <w:spacing w:after="0" w:line="135" w:lineRule="exact"/>
              <w:rPr>
                <w:sz w:val="20"/>
                <w:szCs w:val="20"/>
                <w:color w:val="auto"/>
              </w:rPr>
            </w:pPr>
            <w:r>
              <w:rPr>
                <w:rFonts w:ascii="Arial" w:cs="Arial" w:eastAsia="Arial" w:hAnsi="Arial"/>
                <w:sz w:val="13"/>
                <w:szCs w:val="13"/>
                <w:b w:val="1"/>
                <w:bCs w:val="1"/>
                <w:color w:val="auto"/>
              </w:rPr>
              <w:t>December</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3"/>
          </w:tcPr>
          <w:p>
            <w:pPr>
              <w:jc w:val="center"/>
              <w:ind w:right="540"/>
              <w:spacing w:after="0" w:line="135" w:lineRule="exact"/>
              <w:rPr>
                <w:sz w:val="20"/>
                <w:szCs w:val="20"/>
                <w:color w:val="auto"/>
              </w:rPr>
            </w:pPr>
            <w:r>
              <w:rPr>
                <w:rFonts w:ascii="Arial" w:cs="Arial" w:eastAsia="Arial" w:hAnsi="Arial"/>
                <w:sz w:val="13"/>
                <w:szCs w:val="13"/>
                <w:b w:val="1"/>
                <w:bCs w:val="1"/>
                <w:color w:val="auto"/>
                <w:w w:val="93"/>
              </w:rPr>
              <w:t>March</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right"/>
              <w:ind w:right="335"/>
              <w:spacing w:after="0" w:line="135" w:lineRule="exact"/>
              <w:rPr>
                <w:sz w:val="20"/>
                <w:szCs w:val="20"/>
                <w:color w:val="auto"/>
              </w:rPr>
            </w:pPr>
            <w:r>
              <w:rPr>
                <w:rFonts w:ascii="Arial" w:cs="Arial" w:eastAsia="Arial" w:hAnsi="Arial"/>
                <w:sz w:val="13"/>
                <w:szCs w:val="13"/>
                <w:b w:val="1"/>
                <w:bCs w:val="1"/>
                <w:color w:val="auto"/>
              </w:rPr>
              <w:t>December</w:t>
            </w:r>
          </w:p>
        </w:tc>
        <w:tc>
          <w:tcPr>
            <w:tcW w:w="780" w:type="dxa"/>
            <w:vAlign w:val="bottom"/>
          </w:tcPr>
          <w:p>
            <w:pPr>
              <w:jc w:val="right"/>
              <w:ind w:right="75"/>
              <w:spacing w:after="0" w:line="135" w:lineRule="exact"/>
              <w:rPr>
                <w:sz w:val="20"/>
                <w:szCs w:val="20"/>
                <w:color w:val="auto"/>
              </w:rPr>
            </w:pPr>
            <w:r>
              <w:rPr>
                <w:rFonts w:ascii="Arial" w:cs="Arial" w:eastAsia="Arial" w:hAnsi="Arial"/>
                <w:sz w:val="13"/>
                <w:szCs w:val="13"/>
                <w:b w:val="1"/>
                <w:bCs w:val="1"/>
                <w:color w:val="auto"/>
              </w:rPr>
              <w:t>31, 2020 /</w:t>
            </w:r>
          </w:p>
        </w:tc>
        <w:tc>
          <w:tcPr>
            <w:tcW w:w="140" w:type="dxa"/>
            <w:vAlign w:val="bottom"/>
          </w:tcPr>
          <w:p>
            <w:pPr>
              <w:spacing w:after="0"/>
              <w:rPr>
                <w:sz w:val="11"/>
                <w:szCs w:val="11"/>
                <w:color w:val="auto"/>
              </w:rPr>
            </w:pPr>
          </w:p>
        </w:tc>
      </w:tr>
      <w:tr>
        <w:trPr>
          <w:trHeight w:val="155"/>
        </w:trPr>
        <w:tc>
          <w:tcPr>
            <w:tcW w:w="3200" w:type="dxa"/>
            <w:vAlign w:val="bottom"/>
          </w:tcPr>
          <w:p>
            <w:pPr>
              <w:spacing w:after="0"/>
              <w:rPr>
                <w:sz w:val="13"/>
                <w:szCs w:val="13"/>
                <w:color w:val="auto"/>
              </w:rPr>
            </w:pPr>
          </w:p>
        </w:tc>
        <w:tc>
          <w:tcPr>
            <w:tcW w:w="78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31, 2019</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3"/>
                <w:szCs w:val="13"/>
                <w:b w:val="1"/>
                <w:bCs w:val="1"/>
                <w:color w:val="auto"/>
              </w:rPr>
              <w:t>31, 2019</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31, 2020</w:t>
            </w: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31, 2019</w:t>
            </w: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r>
      <w:tr>
        <w:trPr>
          <w:trHeight w:val="189"/>
        </w:trPr>
        <w:tc>
          <w:tcPr>
            <w:tcW w:w="3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7"/>
          </w:tcPr>
          <w:p>
            <w:pPr>
              <w:ind w:left="440"/>
              <w:spacing w:after="0"/>
              <w:rPr>
                <w:sz w:val="20"/>
                <w:szCs w:val="20"/>
                <w:color w:val="auto"/>
              </w:rPr>
            </w:pPr>
            <w:r>
              <w:rPr>
                <w:rFonts w:ascii="Arial" w:cs="Arial" w:eastAsia="Arial" w:hAnsi="Arial"/>
                <w:sz w:val="16"/>
                <w:szCs w:val="16"/>
                <w:b w:val="1"/>
                <w:bCs w:val="1"/>
                <w:color w:val="auto"/>
                <w:w w:val="87"/>
              </w:rPr>
              <w:t>(Soles in thousands, except percentages)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7"/>
        </w:trPr>
        <w:tc>
          <w:tcPr>
            <w:tcW w:w="3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Administrative, general and tax expenses</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Repair and maintenance</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102,916</w:t>
            </w:r>
          </w:p>
        </w:tc>
        <w:tc>
          <w:tcPr>
            <w:tcW w:w="1020" w:type="dxa"/>
            <w:vAlign w:val="bottom"/>
            <w:gridSpan w:val="2"/>
          </w:tcPr>
          <w:p>
            <w:pPr>
              <w:jc w:val="right"/>
              <w:ind w:right="75"/>
              <w:spacing w:after="0" w:line="135" w:lineRule="exact"/>
              <w:rPr>
                <w:sz w:val="20"/>
                <w:szCs w:val="20"/>
                <w:color w:val="auto"/>
              </w:rPr>
            </w:pPr>
            <w:r>
              <w:rPr>
                <w:rFonts w:ascii="Arial" w:cs="Arial" w:eastAsia="Arial" w:hAnsi="Arial"/>
                <w:sz w:val="13"/>
                <w:szCs w:val="13"/>
                <w:color w:val="auto"/>
              </w:rPr>
              <w:t>19%</w:t>
            </w:r>
          </w:p>
        </w:tc>
        <w:tc>
          <w:tcPr>
            <w:tcW w:w="100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167,771</w:t>
            </w:r>
          </w:p>
        </w:tc>
        <w:tc>
          <w:tcPr>
            <w:tcW w:w="1020" w:type="dxa"/>
            <w:vAlign w:val="bottom"/>
            <w:gridSpan w:val="2"/>
          </w:tcPr>
          <w:p>
            <w:pPr>
              <w:jc w:val="right"/>
              <w:ind w:right="75"/>
              <w:spacing w:after="0" w:line="135" w:lineRule="exact"/>
              <w:rPr>
                <w:sz w:val="20"/>
                <w:szCs w:val="20"/>
                <w:color w:val="auto"/>
              </w:rPr>
            </w:pPr>
            <w:r>
              <w:rPr>
                <w:rFonts w:ascii="Arial" w:cs="Arial" w:eastAsia="Arial" w:hAnsi="Arial"/>
                <w:sz w:val="13"/>
                <w:szCs w:val="13"/>
                <w:color w:val="auto"/>
              </w:rPr>
              <w:t>24%</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106,360</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gridSpan w:val="2"/>
          </w:tcPr>
          <w:p>
            <w:pPr>
              <w:jc w:val="right"/>
              <w:ind w:right="55"/>
              <w:spacing w:after="0" w:line="135" w:lineRule="exact"/>
              <w:rPr>
                <w:sz w:val="20"/>
                <w:szCs w:val="20"/>
                <w:color w:val="auto"/>
              </w:rPr>
            </w:pPr>
            <w:r>
              <w:rPr>
                <w:rFonts w:ascii="Arial" w:cs="Arial" w:eastAsia="Arial" w:hAnsi="Arial"/>
                <w:sz w:val="13"/>
                <w:szCs w:val="13"/>
                <w:color w:val="auto"/>
              </w:rPr>
              <w:t>14%</w:t>
            </w:r>
          </w:p>
        </w:tc>
        <w:tc>
          <w:tcPr>
            <w:tcW w:w="1080" w:type="dxa"/>
            <w:vAlign w:val="bottom"/>
            <w:gridSpan w:val="2"/>
          </w:tcPr>
          <w:p>
            <w:pPr>
              <w:jc w:val="right"/>
              <w:ind w:right="75"/>
              <w:spacing w:after="0" w:line="135" w:lineRule="exact"/>
              <w:rPr>
                <w:sz w:val="20"/>
                <w:szCs w:val="20"/>
                <w:color w:val="auto"/>
              </w:rPr>
            </w:pPr>
            <w:r>
              <w:rPr>
                <w:rFonts w:ascii="Arial" w:cs="Arial" w:eastAsia="Arial" w:hAnsi="Arial"/>
                <w:sz w:val="13"/>
                <w:szCs w:val="13"/>
                <w:color w:val="auto"/>
              </w:rPr>
              <w:t>(36.60)%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3.30%</w:t>
            </w: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Publicity</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76,175</w:t>
            </w:r>
          </w:p>
        </w:tc>
        <w:tc>
          <w:tcPr>
            <w:tcW w:w="1020" w:type="dxa"/>
            <w:vAlign w:val="bottom"/>
            <w:gridSpan w:val="2"/>
            <w:shd w:val="clear" w:color="auto" w:fill="CCEEFF"/>
          </w:tcPr>
          <w:p>
            <w:pPr>
              <w:jc w:val="right"/>
              <w:ind w:right="75"/>
              <w:spacing w:after="0" w:line="135" w:lineRule="exact"/>
              <w:rPr>
                <w:sz w:val="20"/>
                <w:szCs w:val="20"/>
                <w:color w:val="auto"/>
              </w:rPr>
            </w:pPr>
            <w:r>
              <w:rPr>
                <w:rFonts w:ascii="Arial" w:cs="Arial" w:eastAsia="Arial" w:hAnsi="Arial"/>
                <w:sz w:val="13"/>
                <w:szCs w:val="13"/>
                <w:color w:val="auto"/>
              </w:rPr>
              <w:t>14%</w:t>
            </w:r>
          </w:p>
        </w:tc>
        <w:tc>
          <w:tcPr>
            <w:tcW w:w="10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129,938</w:t>
            </w:r>
          </w:p>
        </w:tc>
        <w:tc>
          <w:tcPr>
            <w:tcW w:w="1020" w:type="dxa"/>
            <w:vAlign w:val="bottom"/>
            <w:gridSpan w:val="2"/>
            <w:shd w:val="clear" w:color="auto" w:fill="CCEEFF"/>
          </w:tcPr>
          <w:p>
            <w:pPr>
              <w:jc w:val="right"/>
              <w:ind w:right="75"/>
              <w:spacing w:after="0" w:line="135" w:lineRule="exact"/>
              <w:rPr>
                <w:sz w:val="20"/>
                <w:szCs w:val="20"/>
                <w:color w:val="auto"/>
              </w:rPr>
            </w:pPr>
            <w:r>
              <w:rPr>
                <w:rFonts w:ascii="Arial" w:cs="Arial" w:eastAsia="Arial" w:hAnsi="Arial"/>
                <w:sz w:val="13"/>
                <w:szCs w:val="13"/>
                <w:color w:val="auto"/>
              </w:rPr>
              <w:t>19%</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75,256</w:t>
            </w: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13%</w:t>
            </w:r>
          </w:p>
        </w:tc>
        <w:tc>
          <w:tcPr>
            <w:tcW w:w="1080" w:type="dxa"/>
            <w:vAlign w:val="bottom"/>
            <w:gridSpan w:val="2"/>
            <w:shd w:val="clear" w:color="auto" w:fill="CCEEFF"/>
          </w:tcPr>
          <w:p>
            <w:pPr>
              <w:jc w:val="right"/>
              <w:ind w:right="75"/>
              <w:spacing w:after="0" w:line="135" w:lineRule="exact"/>
              <w:rPr>
                <w:sz w:val="20"/>
                <w:szCs w:val="20"/>
                <w:color w:val="auto"/>
              </w:rPr>
            </w:pPr>
            <w:r>
              <w:rPr>
                <w:rFonts w:ascii="Arial" w:cs="Arial" w:eastAsia="Arial" w:hAnsi="Arial"/>
                <w:sz w:val="13"/>
                <w:szCs w:val="13"/>
                <w:color w:val="auto"/>
              </w:rPr>
              <w:t>(42.10)%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(1.20)%</w:t>
            </w: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Taxes and contributions</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66,709</w:t>
            </w:r>
          </w:p>
        </w:tc>
        <w:tc>
          <w:tcPr>
            <w:tcW w:w="1020" w:type="dxa"/>
            <w:vAlign w:val="bottom"/>
            <w:gridSpan w:val="2"/>
          </w:tcPr>
          <w:p>
            <w:pPr>
              <w:jc w:val="right"/>
              <w:ind w:right="75"/>
              <w:spacing w:after="0" w:line="135" w:lineRule="exact"/>
              <w:rPr>
                <w:sz w:val="20"/>
                <w:szCs w:val="20"/>
                <w:color w:val="auto"/>
              </w:rPr>
            </w:pPr>
            <w:r>
              <w:rPr>
                <w:rFonts w:ascii="Arial" w:cs="Arial" w:eastAsia="Arial" w:hAnsi="Arial"/>
                <w:sz w:val="13"/>
                <w:szCs w:val="13"/>
                <w:color w:val="auto"/>
              </w:rPr>
              <w:t>12%</w:t>
            </w:r>
          </w:p>
        </w:tc>
        <w:tc>
          <w:tcPr>
            <w:tcW w:w="100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93,004</w:t>
            </w:r>
          </w:p>
        </w:tc>
        <w:tc>
          <w:tcPr>
            <w:tcW w:w="1020" w:type="dxa"/>
            <w:vAlign w:val="bottom"/>
            <w:gridSpan w:val="2"/>
          </w:tcPr>
          <w:p>
            <w:pPr>
              <w:jc w:val="right"/>
              <w:ind w:right="75"/>
              <w:spacing w:after="0" w:line="135" w:lineRule="exact"/>
              <w:rPr>
                <w:sz w:val="20"/>
                <w:szCs w:val="20"/>
                <w:color w:val="auto"/>
              </w:rPr>
            </w:pPr>
            <w:r>
              <w:rPr>
                <w:rFonts w:ascii="Arial" w:cs="Arial" w:eastAsia="Arial" w:hAnsi="Arial"/>
                <w:sz w:val="13"/>
                <w:szCs w:val="13"/>
                <w:color w:val="auto"/>
              </w:rPr>
              <w:t>14%</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68,017</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gridSpan w:val="2"/>
          </w:tcPr>
          <w:p>
            <w:pPr>
              <w:jc w:val="right"/>
              <w:ind w:right="55"/>
              <w:spacing w:after="0" w:line="135" w:lineRule="exact"/>
              <w:rPr>
                <w:sz w:val="20"/>
                <w:szCs w:val="20"/>
                <w:color w:val="auto"/>
              </w:rPr>
            </w:pPr>
            <w:r>
              <w:rPr>
                <w:rFonts w:ascii="Arial" w:cs="Arial" w:eastAsia="Arial" w:hAnsi="Arial"/>
                <w:sz w:val="13"/>
                <w:szCs w:val="13"/>
                <w:color w:val="auto"/>
              </w:rPr>
              <w:t>14%</w:t>
            </w:r>
          </w:p>
        </w:tc>
        <w:tc>
          <w:tcPr>
            <w:tcW w:w="1080" w:type="dxa"/>
            <w:vAlign w:val="bottom"/>
            <w:gridSpan w:val="2"/>
          </w:tcPr>
          <w:p>
            <w:pPr>
              <w:jc w:val="right"/>
              <w:ind w:right="75"/>
              <w:spacing w:after="0" w:line="135" w:lineRule="exact"/>
              <w:rPr>
                <w:sz w:val="20"/>
                <w:szCs w:val="20"/>
                <w:color w:val="auto"/>
              </w:rPr>
            </w:pPr>
            <w:r>
              <w:rPr>
                <w:rFonts w:ascii="Arial" w:cs="Arial" w:eastAsia="Arial" w:hAnsi="Arial"/>
                <w:sz w:val="13"/>
                <w:szCs w:val="13"/>
                <w:color w:val="auto"/>
              </w:rPr>
              <w:t>(26.90)%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2.00%</w:t>
            </w: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Leases of low value and short-term</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22,418</w:t>
            </w:r>
          </w:p>
        </w:tc>
        <w:tc>
          <w:tcPr>
            <w:tcW w:w="1020" w:type="dxa"/>
            <w:vAlign w:val="bottom"/>
            <w:gridSpan w:val="2"/>
            <w:shd w:val="clear" w:color="auto" w:fill="CCEEFF"/>
          </w:tcPr>
          <w:p>
            <w:pPr>
              <w:jc w:val="right"/>
              <w:ind w:right="75"/>
              <w:spacing w:after="0" w:line="135" w:lineRule="exact"/>
              <w:rPr>
                <w:sz w:val="20"/>
                <w:szCs w:val="20"/>
                <w:color w:val="auto"/>
              </w:rPr>
            </w:pPr>
            <w:r>
              <w:rPr>
                <w:rFonts w:ascii="Arial" w:cs="Arial" w:eastAsia="Arial" w:hAnsi="Arial"/>
                <w:sz w:val="13"/>
                <w:szCs w:val="13"/>
                <w:color w:val="auto"/>
              </w:rPr>
              <w:t>4%</w:t>
            </w:r>
          </w:p>
        </w:tc>
        <w:tc>
          <w:tcPr>
            <w:tcW w:w="10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15,953</w:t>
            </w:r>
          </w:p>
        </w:tc>
        <w:tc>
          <w:tcPr>
            <w:tcW w:w="1020" w:type="dxa"/>
            <w:vAlign w:val="bottom"/>
            <w:gridSpan w:val="2"/>
            <w:shd w:val="clear" w:color="auto" w:fill="CCEEFF"/>
          </w:tcPr>
          <w:p>
            <w:pPr>
              <w:jc w:val="right"/>
              <w:ind w:right="75"/>
              <w:spacing w:after="0" w:line="135" w:lineRule="exact"/>
              <w:rPr>
                <w:sz w:val="20"/>
                <w:szCs w:val="20"/>
                <w:color w:val="auto"/>
              </w:rPr>
            </w:pPr>
            <w:r>
              <w:rPr>
                <w:rFonts w:ascii="Arial" w:cs="Arial" w:eastAsia="Arial" w:hAnsi="Arial"/>
                <w:sz w:val="13"/>
                <w:szCs w:val="13"/>
                <w:color w:val="auto"/>
              </w:rPr>
              <w:t>2%</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18,843</w:t>
            </w: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3%</w:t>
            </w:r>
          </w:p>
        </w:tc>
        <w:tc>
          <w:tcPr>
            <w:tcW w:w="1080" w:type="dxa"/>
            <w:vAlign w:val="bottom"/>
            <w:gridSpan w:val="2"/>
            <w:shd w:val="clear" w:color="auto" w:fill="CCEEFF"/>
          </w:tcPr>
          <w:p>
            <w:pPr>
              <w:jc w:val="right"/>
              <w:ind w:right="115"/>
              <w:spacing w:after="0" w:line="135" w:lineRule="exact"/>
              <w:rPr>
                <w:sz w:val="20"/>
                <w:szCs w:val="20"/>
                <w:color w:val="auto"/>
              </w:rPr>
            </w:pPr>
            <w:r>
              <w:rPr>
                <w:rFonts w:ascii="Arial" w:cs="Arial" w:eastAsia="Arial" w:hAnsi="Arial"/>
                <w:sz w:val="13"/>
                <w:szCs w:val="13"/>
                <w:color w:val="auto"/>
              </w:rPr>
              <w:t>18.10%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(15.90)%</w:t>
            </w: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Consulting and professional fees</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41,360</w:t>
            </w:r>
          </w:p>
        </w:tc>
        <w:tc>
          <w:tcPr>
            <w:tcW w:w="1020" w:type="dxa"/>
            <w:vAlign w:val="bottom"/>
            <w:gridSpan w:val="2"/>
          </w:tcPr>
          <w:p>
            <w:pPr>
              <w:jc w:val="right"/>
              <w:ind w:right="75"/>
              <w:spacing w:after="0" w:line="135" w:lineRule="exact"/>
              <w:rPr>
                <w:sz w:val="20"/>
                <w:szCs w:val="20"/>
                <w:color w:val="auto"/>
              </w:rPr>
            </w:pPr>
            <w:r>
              <w:rPr>
                <w:rFonts w:ascii="Arial" w:cs="Arial" w:eastAsia="Arial" w:hAnsi="Arial"/>
                <w:sz w:val="13"/>
                <w:szCs w:val="13"/>
                <w:color w:val="auto"/>
              </w:rPr>
              <w:t>8%</w:t>
            </w:r>
          </w:p>
        </w:tc>
        <w:tc>
          <w:tcPr>
            <w:tcW w:w="100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106,193</w:t>
            </w:r>
          </w:p>
        </w:tc>
        <w:tc>
          <w:tcPr>
            <w:tcW w:w="1020" w:type="dxa"/>
            <w:vAlign w:val="bottom"/>
            <w:gridSpan w:val="2"/>
          </w:tcPr>
          <w:p>
            <w:pPr>
              <w:jc w:val="right"/>
              <w:ind w:right="75"/>
              <w:spacing w:after="0" w:line="135" w:lineRule="exact"/>
              <w:rPr>
                <w:sz w:val="20"/>
                <w:szCs w:val="20"/>
                <w:color w:val="auto"/>
              </w:rPr>
            </w:pPr>
            <w:r>
              <w:rPr>
                <w:rFonts w:ascii="Arial" w:cs="Arial" w:eastAsia="Arial" w:hAnsi="Arial"/>
                <w:sz w:val="13"/>
                <w:szCs w:val="13"/>
                <w:color w:val="auto"/>
              </w:rPr>
              <w:t>15%</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39,485</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gridSpan w:val="2"/>
          </w:tcPr>
          <w:p>
            <w:pPr>
              <w:jc w:val="right"/>
              <w:ind w:right="55"/>
              <w:spacing w:after="0" w:line="135" w:lineRule="exact"/>
              <w:rPr>
                <w:sz w:val="20"/>
                <w:szCs w:val="20"/>
                <w:color w:val="auto"/>
              </w:rPr>
            </w:pPr>
            <w:r>
              <w:rPr>
                <w:rFonts w:ascii="Arial" w:cs="Arial" w:eastAsia="Arial" w:hAnsi="Arial"/>
                <w:sz w:val="13"/>
                <w:szCs w:val="13"/>
                <w:color w:val="auto"/>
              </w:rPr>
              <w:t>5%</w:t>
            </w:r>
          </w:p>
        </w:tc>
        <w:tc>
          <w:tcPr>
            <w:tcW w:w="1080" w:type="dxa"/>
            <w:vAlign w:val="bottom"/>
            <w:gridSpan w:val="2"/>
          </w:tcPr>
          <w:p>
            <w:pPr>
              <w:jc w:val="right"/>
              <w:ind w:right="75"/>
              <w:spacing w:after="0" w:line="135" w:lineRule="exact"/>
              <w:rPr>
                <w:sz w:val="20"/>
                <w:szCs w:val="20"/>
                <w:color w:val="auto"/>
              </w:rPr>
            </w:pPr>
            <w:r>
              <w:rPr>
                <w:rFonts w:ascii="Arial" w:cs="Arial" w:eastAsia="Arial" w:hAnsi="Arial"/>
                <w:sz w:val="13"/>
                <w:szCs w:val="13"/>
                <w:color w:val="auto"/>
              </w:rPr>
              <w:t>(62.80)%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(4.50)%</w:t>
            </w: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Transport and communications</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41,636</w:t>
            </w:r>
          </w:p>
        </w:tc>
        <w:tc>
          <w:tcPr>
            <w:tcW w:w="1020" w:type="dxa"/>
            <w:vAlign w:val="bottom"/>
            <w:gridSpan w:val="2"/>
            <w:shd w:val="clear" w:color="auto" w:fill="CCEEFF"/>
          </w:tcPr>
          <w:p>
            <w:pPr>
              <w:jc w:val="right"/>
              <w:ind w:right="75"/>
              <w:spacing w:after="0" w:line="135" w:lineRule="exact"/>
              <w:rPr>
                <w:sz w:val="20"/>
                <w:szCs w:val="20"/>
                <w:color w:val="auto"/>
              </w:rPr>
            </w:pPr>
            <w:r>
              <w:rPr>
                <w:rFonts w:ascii="Arial" w:cs="Arial" w:eastAsia="Arial" w:hAnsi="Arial"/>
                <w:sz w:val="13"/>
                <w:szCs w:val="13"/>
                <w:color w:val="auto"/>
              </w:rPr>
              <w:t>8%</w:t>
            </w:r>
          </w:p>
        </w:tc>
        <w:tc>
          <w:tcPr>
            <w:tcW w:w="10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40,632</w:t>
            </w:r>
          </w:p>
        </w:tc>
        <w:tc>
          <w:tcPr>
            <w:tcW w:w="1020" w:type="dxa"/>
            <w:vAlign w:val="bottom"/>
            <w:gridSpan w:val="2"/>
            <w:shd w:val="clear" w:color="auto" w:fill="CCEEFF"/>
          </w:tcPr>
          <w:p>
            <w:pPr>
              <w:jc w:val="right"/>
              <w:ind w:right="75"/>
              <w:spacing w:after="0" w:line="135" w:lineRule="exact"/>
              <w:rPr>
                <w:sz w:val="20"/>
                <w:szCs w:val="20"/>
                <w:color w:val="auto"/>
              </w:rPr>
            </w:pPr>
            <w:r>
              <w:rPr>
                <w:rFonts w:ascii="Arial" w:cs="Arial" w:eastAsia="Arial" w:hAnsi="Arial"/>
                <w:sz w:val="13"/>
                <w:szCs w:val="13"/>
                <w:color w:val="auto"/>
              </w:rPr>
              <w:t>7%</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35,466</w:t>
            </w: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5%</w:t>
            </w:r>
          </w:p>
        </w:tc>
        <w:tc>
          <w:tcPr>
            <w:tcW w:w="1080" w:type="dxa"/>
            <w:vAlign w:val="bottom"/>
            <w:gridSpan w:val="2"/>
            <w:shd w:val="clear" w:color="auto" w:fill="CCEEFF"/>
          </w:tcPr>
          <w:p>
            <w:pPr>
              <w:jc w:val="right"/>
              <w:ind w:right="75"/>
              <w:spacing w:after="0" w:line="135" w:lineRule="exact"/>
              <w:rPr>
                <w:sz w:val="20"/>
                <w:szCs w:val="20"/>
                <w:color w:val="auto"/>
              </w:rPr>
            </w:pPr>
            <w:r>
              <w:rPr>
                <w:rFonts w:ascii="Arial" w:cs="Arial" w:eastAsia="Arial" w:hAnsi="Arial"/>
                <w:sz w:val="13"/>
                <w:szCs w:val="13"/>
                <w:color w:val="auto"/>
              </w:rPr>
              <w:t>(12.70)%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(14.80)%</w:t>
            </w: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Sundry supplies</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17,564</w:t>
            </w:r>
          </w:p>
        </w:tc>
        <w:tc>
          <w:tcPr>
            <w:tcW w:w="1020" w:type="dxa"/>
            <w:vAlign w:val="bottom"/>
            <w:gridSpan w:val="2"/>
          </w:tcPr>
          <w:p>
            <w:pPr>
              <w:jc w:val="right"/>
              <w:ind w:right="75"/>
              <w:spacing w:after="0" w:line="135" w:lineRule="exact"/>
              <w:rPr>
                <w:sz w:val="20"/>
                <w:szCs w:val="20"/>
                <w:color w:val="auto"/>
              </w:rPr>
            </w:pPr>
            <w:r>
              <w:rPr>
                <w:rFonts w:ascii="Arial" w:cs="Arial" w:eastAsia="Arial" w:hAnsi="Arial"/>
                <w:sz w:val="13"/>
                <w:szCs w:val="13"/>
                <w:color w:val="auto"/>
              </w:rPr>
              <w:t>3%</w:t>
            </w:r>
          </w:p>
        </w:tc>
        <w:tc>
          <w:tcPr>
            <w:tcW w:w="100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18,551</w:t>
            </w:r>
          </w:p>
        </w:tc>
        <w:tc>
          <w:tcPr>
            <w:tcW w:w="1020" w:type="dxa"/>
            <w:vAlign w:val="bottom"/>
            <w:gridSpan w:val="2"/>
          </w:tcPr>
          <w:p>
            <w:pPr>
              <w:jc w:val="right"/>
              <w:ind w:right="75"/>
              <w:spacing w:after="0" w:line="135" w:lineRule="exact"/>
              <w:rPr>
                <w:sz w:val="20"/>
                <w:szCs w:val="20"/>
                <w:color w:val="auto"/>
              </w:rPr>
            </w:pPr>
            <w:r>
              <w:rPr>
                <w:rFonts w:ascii="Arial" w:cs="Arial" w:eastAsia="Arial" w:hAnsi="Arial"/>
                <w:sz w:val="13"/>
                <w:szCs w:val="13"/>
                <w:color w:val="auto"/>
              </w:rPr>
              <w:t>3%</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23,424</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gridSpan w:val="2"/>
          </w:tcPr>
          <w:p>
            <w:pPr>
              <w:jc w:val="right"/>
              <w:ind w:right="55"/>
              <w:spacing w:after="0" w:line="135" w:lineRule="exact"/>
              <w:rPr>
                <w:sz w:val="20"/>
                <w:szCs w:val="20"/>
                <w:color w:val="auto"/>
              </w:rPr>
            </w:pPr>
            <w:r>
              <w:rPr>
                <w:rFonts w:ascii="Arial" w:cs="Arial" w:eastAsia="Arial" w:hAnsi="Arial"/>
                <w:sz w:val="13"/>
                <w:szCs w:val="13"/>
                <w:color w:val="auto"/>
              </w:rPr>
              <w:t>9%</w:t>
            </w:r>
          </w:p>
        </w:tc>
        <w:tc>
          <w:tcPr>
            <w:tcW w:w="1080" w:type="dxa"/>
            <w:vAlign w:val="bottom"/>
            <w:gridSpan w:val="2"/>
          </w:tcPr>
          <w:p>
            <w:pPr>
              <w:jc w:val="right"/>
              <w:ind w:right="115"/>
              <w:spacing w:after="0" w:line="135" w:lineRule="exact"/>
              <w:rPr>
                <w:sz w:val="20"/>
                <w:szCs w:val="20"/>
                <w:color w:val="auto"/>
              </w:rPr>
            </w:pPr>
            <w:r>
              <w:rPr>
                <w:rFonts w:ascii="Arial" w:cs="Arial" w:eastAsia="Arial" w:hAnsi="Arial"/>
                <w:sz w:val="13"/>
                <w:szCs w:val="13"/>
                <w:color w:val="auto"/>
              </w:rPr>
              <w:t>26.30%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33.40%</w:t>
            </w: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Security and protection</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17,002</w:t>
            </w:r>
          </w:p>
        </w:tc>
        <w:tc>
          <w:tcPr>
            <w:tcW w:w="1020" w:type="dxa"/>
            <w:vAlign w:val="bottom"/>
            <w:gridSpan w:val="2"/>
            <w:shd w:val="clear" w:color="auto" w:fill="CCEEFF"/>
          </w:tcPr>
          <w:p>
            <w:pPr>
              <w:jc w:val="right"/>
              <w:ind w:right="75"/>
              <w:spacing w:after="0" w:line="135" w:lineRule="exact"/>
              <w:rPr>
                <w:sz w:val="20"/>
                <w:szCs w:val="20"/>
                <w:color w:val="auto"/>
              </w:rPr>
            </w:pPr>
            <w:r>
              <w:rPr>
                <w:rFonts w:ascii="Arial" w:cs="Arial" w:eastAsia="Arial" w:hAnsi="Arial"/>
                <w:sz w:val="13"/>
                <w:szCs w:val="13"/>
                <w:color w:val="auto"/>
              </w:rPr>
              <w:t>3%</w:t>
            </w:r>
          </w:p>
        </w:tc>
        <w:tc>
          <w:tcPr>
            <w:tcW w:w="10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15,996</w:t>
            </w:r>
          </w:p>
        </w:tc>
        <w:tc>
          <w:tcPr>
            <w:tcW w:w="1020" w:type="dxa"/>
            <w:vAlign w:val="bottom"/>
            <w:gridSpan w:val="2"/>
            <w:shd w:val="clear" w:color="auto" w:fill="CCEEFF"/>
          </w:tcPr>
          <w:p>
            <w:pPr>
              <w:jc w:val="right"/>
              <w:ind w:right="75"/>
              <w:spacing w:after="0" w:line="135" w:lineRule="exact"/>
              <w:rPr>
                <w:sz w:val="20"/>
                <w:szCs w:val="20"/>
                <w:color w:val="auto"/>
              </w:rPr>
            </w:pPr>
            <w:r>
              <w:rPr>
                <w:rFonts w:ascii="Arial" w:cs="Arial" w:eastAsia="Arial" w:hAnsi="Arial"/>
                <w:sz w:val="13"/>
                <w:szCs w:val="13"/>
                <w:color w:val="auto"/>
              </w:rPr>
              <w:t>2%</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15,286</w:t>
            </w: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1%</w:t>
            </w:r>
          </w:p>
        </w:tc>
        <w:tc>
          <w:tcPr>
            <w:tcW w:w="1080" w:type="dxa"/>
            <w:vAlign w:val="bottom"/>
            <w:gridSpan w:val="2"/>
            <w:shd w:val="clear" w:color="auto" w:fill="CCEEFF"/>
          </w:tcPr>
          <w:p>
            <w:pPr>
              <w:jc w:val="right"/>
              <w:ind w:right="75"/>
              <w:spacing w:after="0" w:line="135" w:lineRule="exact"/>
              <w:rPr>
                <w:sz w:val="20"/>
                <w:szCs w:val="20"/>
                <w:color w:val="auto"/>
              </w:rPr>
            </w:pPr>
            <w:r>
              <w:rPr>
                <w:rFonts w:ascii="Arial" w:cs="Arial" w:eastAsia="Arial" w:hAnsi="Arial"/>
                <w:sz w:val="13"/>
                <w:szCs w:val="13"/>
                <w:color w:val="auto"/>
              </w:rPr>
              <w:t>(4.40)%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(10.10)%</w:t>
            </w: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Electricity and water</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12,027</w:t>
            </w:r>
          </w:p>
        </w:tc>
        <w:tc>
          <w:tcPr>
            <w:tcW w:w="1020" w:type="dxa"/>
            <w:vAlign w:val="bottom"/>
            <w:gridSpan w:val="2"/>
          </w:tcPr>
          <w:p>
            <w:pPr>
              <w:jc w:val="right"/>
              <w:ind w:right="75"/>
              <w:spacing w:after="0" w:line="135" w:lineRule="exact"/>
              <w:rPr>
                <w:sz w:val="20"/>
                <w:szCs w:val="20"/>
                <w:color w:val="auto"/>
              </w:rPr>
            </w:pPr>
            <w:r>
              <w:rPr>
                <w:rFonts w:ascii="Arial" w:cs="Arial" w:eastAsia="Arial" w:hAnsi="Arial"/>
                <w:sz w:val="13"/>
                <w:szCs w:val="13"/>
                <w:color w:val="auto"/>
              </w:rPr>
              <w:t>2%</w:t>
            </w:r>
          </w:p>
        </w:tc>
        <w:tc>
          <w:tcPr>
            <w:tcW w:w="100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14,644</w:t>
            </w:r>
          </w:p>
        </w:tc>
        <w:tc>
          <w:tcPr>
            <w:tcW w:w="1020" w:type="dxa"/>
            <w:vAlign w:val="bottom"/>
            <w:gridSpan w:val="2"/>
          </w:tcPr>
          <w:p>
            <w:pPr>
              <w:jc w:val="right"/>
              <w:ind w:right="75"/>
              <w:spacing w:after="0" w:line="135" w:lineRule="exact"/>
              <w:rPr>
                <w:sz w:val="20"/>
                <w:szCs w:val="20"/>
                <w:color w:val="auto"/>
              </w:rPr>
            </w:pPr>
            <w:r>
              <w:rPr>
                <w:rFonts w:ascii="Arial" w:cs="Arial" w:eastAsia="Arial" w:hAnsi="Arial"/>
                <w:sz w:val="13"/>
                <w:szCs w:val="13"/>
                <w:color w:val="auto"/>
              </w:rPr>
              <w:t>2%</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11,175</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gridSpan w:val="2"/>
          </w:tcPr>
          <w:p>
            <w:pPr>
              <w:jc w:val="right"/>
              <w:ind w:right="55"/>
              <w:spacing w:after="0" w:line="135" w:lineRule="exact"/>
              <w:rPr>
                <w:sz w:val="20"/>
                <w:szCs w:val="20"/>
                <w:color w:val="auto"/>
              </w:rPr>
            </w:pPr>
            <w:r>
              <w:rPr>
                <w:rFonts w:ascii="Arial" w:cs="Arial" w:eastAsia="Arial" w:hAnsi="Arial"/>
                <w:sz w:val="13"/>
                <w:szCs w:val="13"/>
                <w:color w:val="auto"/>
              </w:rPr>
              <w:t>1%</w:t>
            </w:r>
          </w:p>
        </w:tc>
        <w:tc>
          <w:tcPr>
            <w:tcW w:w="1080" w:type="dxa"/>
            <w:vAlign w:val="bottom"/>
            <w:gridSpan w:val="2"/>
          </w:tcPr>
          <w:p>
            <w:pPr>
              <w:jc w:val="right"/>
              <w:ind w:right="75"/>
              <w:spacing w:after="0" w:line="135" w:lineRule="exact"/>
              <w:rPr>
                <w:sz w:val="20"/>
                <w:szCs w:val="20"/>
                <w:color w:val="auto"/>
              </w:rPr>
            </w:pPr>
            <w:r>
              <w:rPr>
                <w:rFonts w:ascii="Arial" w:cs="Arial" w:eastAsia="Arial" w:hAnsi="Arial"/>
                <w:sz w:val="13"/>
                <w:szCs w:val="13"/>
                <w:color w:val="auto"/>
              </w:rPr>
              <w:t>(23.70)%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(7.10)%</w:t>
            </w: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Subscriptions and quotes</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9,570</w:t>
            </w:r>
          </w:p>
        </w:tc>
        <w:tc>
          <w:tcPr>
            <w:tcW w:w="1020" w:type="dxa"/>
            <w:vAlign w:val="bottom"/>
            <w:gridSpan w:val="2"/>
            <w:shd w:val="clear" w:color="auto" w:fill="CCEEFF"/>
          </w:tcPr>
          <w:p>
            <w:pPr>
              <w:jc w:val="right"/>
              <w:ind w:right="75"/>
              <w:spacing w:after="0" w:line="135" w:lineRule="exact"/>
              <w:rPr>
                <w:sz w:val="20"/>
                <w:szCs w:val="20"/>
                <w:color w:val="auto"/>
              </w:rPr>
            </w:pPr>
            <w:r>
              <w:rPr>
                <w:rFonts w:ascii="Arial" w:cs="Arial" w:eastAsia="Arial" w:hAnsi="Arial"/>
                <w:sz w:val="13"/>
                <w:szCs w:val="13"/>
                <w:color w:val="auto"/>
              </w:rPr>
              <w:t>2%</w:t>
            </w:r>
          </w:p>
        </w:tc>
        <w:tc>
          <w:tcPr>
            <w:tcW w:w="10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13,252</w:t>
            </w:r>
          </w:p>
        </w:tc>
        <w:tc>
          <w:tcPr>
            <w:tcW w:w="1020" w:type="dxa"/>
            <w:vAlign w:val="bottom"/>
            <w:gridSpan w:val="2"/>
            <w:shd w:val="clear" w:color="auto" w:fill="CCEEFF"/>
          </w:tcPr>
          <w:p>
            <w:pPr>
              <w:jc w:val="right"/>
              <w:ind w:right="75"/>
              <w:spacing w:after="0" w:line="135" w:lineRule="exact"/>
              <w:rPr>
                <w:sz w:val="20"/>
                <w:szCs w:val="20"/>
                <w:color w:val="auto"/>
              </w:rPr>
            </w:pPr>
            <w:r>
              <w:rPr>
                <w:rFonts w:ascii="Arial" w:cs="Arial" w:eastAsia="Arial" w:hAnsi="Arial"/>
                <w:sz w:val="13"/>
                <w:szCs w:val="13"/>
                <w:color w:val="auto"/>
              </w:rPr>
              <w:t>2%</w:t>
            </w: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10,752</w:t>
            </w: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4%</w:t>
            </w:r>
          </w:p>
        </w:tc>
        <w:tc>
          <w:tcPr>
            <w:tcW w:w="1080" w:type="dxa"/>
            <w:vAlign w:val="bottom"/>
            <w:gridSpan w:val="2"/>
            <w:shd w:val="clear" w:color="auto" w:fill="CCEEFF"/>
          </w:tcPr>
          <w:p>
            <w:pPr>
              <w:jc w:val="right"/>
              <w:ind w:right="75"/>
              <w:spacing w:after="0" w:line="135" w:lineRule="exact"/>
              <w:rPr>
                <w:sz w:val="20"/>
                <w:szCs w:val="20"/>
                <w:color w:val="auto"/>
              </w:rPr>
            </w:pPr>
            <w:r>
              <w:rPr>
                <w:rFonts w:ascii="Arial" w:cs="Arial" w:eastAsia="Arial" w:hAnsi="Arial"/>
                <w:sz w:val="13"/>
                <w:szCs w:val="13"/>
                <w:color w:val="auto"/>
              </w:rPr>
              <w:t>(18.90)%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12.40%</w:t>
            </w:r>
          </w:p>
        </w:tc>
      </w:tr>
      <w:tr>
        <w:trPr>
          <w:trHeight w:val="147"/>
        </w:trPr>
        <w:tc>
          <w:tcPr>
            <w:tcW w:w="3200" w:type="dxa"/>
            <w:vAlign w:val="bottom"/>
          </w:tcPr>
          <w:p>
            <w:pPr>
              <w:spacing w:after="0" w:line="148" w:lineRule="exact"/>
              <w:rPr>
                <w:sz w:val="20"/>
                <w:szCs w:val="20"/>
                <w:color w:val="auto"/>
              </w:rPr>
            </w:pPr>
            <w:r>
              <w:rPr>
                <w:rFonts w:ascii="Arial" w:cs="Arial" w:eastAsia="Arial" w:hAnsi="Arial"/>
                <w:sz w:val="13"/>
                <w:szCs w:val="13"/>
                <w:color w:val="auto"/>
              </w:rPr>
              <w:t>Services by third-party and others (1)</w:t>
            </w:r>
          </w:p>
        </w:tc>
        <w:tc>
          <w:tcPr>
            <w:tcW w:w="100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130,780</w:t>
            </w:r>
          </w:p>
        </w:tc>
        <w:tc>
          <w:tcPr>
            <w:tcW w:w="1020" w:type="dxa"/>
            <w:vAlign w:val="bottom"/>
            <w:gridSpan w:val="2"/>
          </w:tcPr>
          <w:p>
            <w:pPr>
              <w:jc w:val="right"/>
              <w:ind w:right="75"/>
              <w:spacing w:after="0" w:line="148" w:lineRule="exact"/>
              <w:rPr>
                <w:sz w:val="20"/>
                <w:szCs w:val="20"/>
                <w:color w:val="auto"/>
              </w:rPr>
            </w:pPr>
            <w:r>
              <w:rPr>
                <w:rFonts w:ascii="Arial" w:cs="Arial" w:eastAsia="Arial" w:hAnsi="Arial"/>
                <w:sz w:val="13"/>
                <w:szCs w:val="13"/>
                <w:color w:val="auto"/>
              </w:rPr>
              <w:t>25%</w:t>
            </w:r>
          </w:p>
        </w:tc>
        <w:tc>
          <w:tcPr>
            <w:tcW w:w="1000" w:type="dxa"/>
            <w:vAlign w:val="bottom"/>
            <w:gridSpan w:val="3"/>
          </w:tcPr>
          <w:p>
            <w:pPr>
              <w:jc w:val="right"/>
              <w:ind w:right="220"/>
              <w:spacing w:after="0" w:line="148" w:lineRule="exact"/>
              <w:rPr>
                <w:sz w:val="20"/>
                <w:szCs w:val="20"/>
                <w:color w:val="auto"/>
              </w:rPr>
            </w:pPr>
            <w:r>
              <w:rPr>
                <w:rFonts w:ascii="Arial" w:cs="Arial" w:eastAsia="Arial" w:hAnsi="Arial"/>
                <w:sz w:val="13"/>
                <w:szCs w:val="13"/>
                <w:color w:val="auto"/>
              </w:rPr>
              <w:t>77,597</w:t>
            </w:r>
          </w:p>
        </w:tc>
        <w:tc>
          <w:tcPr>
            <w:tcW w:w="1020" w:type="dxa"/>
            <w:vAlign w:val="bottom"/>
            <w:gridSpan w:val="2"/>
          </w:tcPr>
          <w:p>
            <w:pPr>
              <w:jc w:val="right"/>
              <w:ind w:right="75"/>
              <w:spacing w:after="0" w:line="148" w:lineRule="exact"/>
              <w:rPr>
                <w:sz w:val="20"/>
                <w:szCs w:val="20"/>
                <w:color w:val="auto"/>
              </w:rPr>
            </w:pPr>
            <w:r>
              <w:rPr>
                <w:rFonts w:ascii="Arial" w:cs="Arial" w:eastAsia="Arial" w:hAnsi="Arial"/>
                <w:sz w:val="13"/>
                <w:szCs w:val="13"/>
                <w:color w:val="auto"/>
              </w:rPr>
              <w:t>11%</w:t>
            </w:r>
          </w:p>
        </w:tc>
        <w:tc>
          <w:tcPr>
            <w:tcW w:w="98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135,580</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2"/>
          </w:tcPr>
          <w:p>
            <w:pPr>
              <w:jc w:val="right"/>
              <w:ind w:right="55"/>
              <w:spacing w:after="0" w:line="148" w:lineRule="exact"/>
              <w:rPr>
                <w:sz w:val="20"/>
                <w:szCs w:val="20"/>
                <w:color w:val="auto"/>
              </w:rPr>
            </w:pPr>
            <w:r>
              <w:rPr>
                <w:rFonts w:ascii="Arial" w:cs="Arial" w:eastAsia="Arial" w:hAnsi="Arial"/>
                <w:sz w:val="13"/>
                <w:szCs w:val="13"/>
                <w:color w:val="auto"/>
              </w:rPr>
              <w:t>9%</w:t>
            </w:r>
          </w:p>
        </w:tc>
        <w:tc>
          <w:tcPr>
            <w:tcW w:w="1080" w:type="dxa"/>
            <w:vAlign w:val="bottom"/>
            <w:gridSpan w:val="2"/>
          </w:tcPr>
          <w:p>
            <w:pPr>
              <w:jc w:val="right"/>
              <w:ind w:right="115"/>
              <w:spacing w:after="0" w:line="148" w:lineRule="exact"/>
              <w:rPr>
                <w:sz w:val="20"/>
                <w:szCs w:val="20"/>
                <w:color w:val="auto"/>
              </w:rPr>
            </w:pPr>
            <w:r>
              <w:rPr>
                <w:rFonts w:ascii="Arial" w:cs="Arial" w:eastAsia="Arial" w:hAnsi="Arial"/>
                <w:sz w:val="13"/>
                <w:szCs w:val="13"/>
                <w:color w:val="auto"/>
              </w:rPr>
              <w:t>74.70%</w:t>
            </w:r>
          </w:p>
        </w:tc>
        <w:tc>
          <w:tcPr>
            <w:tcW w:w="9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3.70%</w:t>
            </w:r>
          </w:p>
        </w:tc>
      </w:tr>
      <w:tr>
        <w:trPr>
          <w:trHeight w:val="140"/>
        </w:trPr>
        <w:tc>
          <w:tcPr>
            <w:tcW w:w="3200" w:type="dxa"/>
            <w:vAlign w:val="bottom"/>
            <w:tcBorders>
              <w:top w:val="single" w:sz="8" w:color="CCEEFF"/>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b w:val="1"/>
                <w:bCs w:val="1"/>
                <w:color w:val="auto"/>
              </w:rPr>
              <w:t>Total administrative and general expenses</w:t>
            </w:r>
          </w:p>
        </w:tc>
        <w:tc>
          <w:tcPr>
            <w:tcW w:w="78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b w:val="1"/>
                <w:bCs w:val="1"/>
                <w:color w:val="auto"/>
              </w:rPr>
              <w:t>538,157</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b w:val="1"/>
                <w:bCs w:val="1"/>
                <w:color w:val="auto"/>
              </w:rPr>
              <w:t>100</w:t>
            </w:r>
          </w:p>
        </w:tc>
        <w:tc>
          <w:tcPr>
            <w:tcW w:w="240" w:type="dxa"/>
            <w:vAlign w:val="bottom"/>
            <w:tcBorders>
              <w:top w:val="single" w:sz="8" w:color="CCEEFF"/>
              <w:bottom w:val="single" w:sz="8" w:color="CCEEFF"/>
            </w:tcBorders>
            <w:shd w:val="clear" w:color="auto" w:fill="CCEEFF"/>
          </w:tcPr>
          <w:p>
            <w:pPr>
              <w:jc w:val="right"/>
              <w:ind w:right="55"/>
              <w:spacing w:after="0" w:line="140" w:lineRule="exact"/>
              <w:rPr>
                <w:sz w:val="20"/>
                <w:szCs w:val="20"/>
                <w:color w:val="auto"/>
              </w:rPr>
            </w:pPr>
            <w:r>
              <w:rPr>
                <w:rFonts w:ascii="Arial" w:cs="Arial" w:eastAsia="Arial" w:hAnsi="Arial"/>
                <w:sz w:val="13"/>
                <w:szCs w:val="13"/>
                <w:b w:val="1"/>
                <w:bCs w:val="1"/>
                <w:color w:val="auto"/>
                <w:w w:val="86"/>
              </w:rPr>
              <w:t>%</w:t>
            </w:r>
          </w:p>
        </w:tc>
        <w:tc>
          <w:tcPr>
            <w:tcW w:w="100" w:type="dxa"/>
            <w:vAlign w:val="bottom"/>
            <w:tcBorders>
              <w:top w:val="single" w:sz="8" w:color="CCEEFF"/>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b w:val="1"/>
                <w:bCs w:val="1"/>
                <w:color w:val="auto"/>
              </w:rPr>
              <w:t>693,530</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b w:val="1"/>
                <w:bCs w:val="1"/>
                <w:color w:val="auto"/>
              </w:rPr>
              <w:t>101</w:t>
            </w:r>
          </w:p>
        </w:tc>
        <w:tc>
          <w:tcPr>
            <w:tcW w:w="260" w:type="dxa"/>
            <w:vAlign w:val="bottom"/>
            <w:tcBorders>
              <w:top w:val="single" w:sz="8" w:color="CCEEFF"/>
              <w:bottom w:val="single" w:sz="8" w:color="CCEEFF"/>
            </w:tcBorders>
            <w:shd w:val="clear" w:color="auto" w:fill="CCEEFF"/>
          </w:tcPr>
          <w:p>
            <w:pPr>
              <w:jc w:val="right"/>
              <w:ind w:right="55"/>
              <w:spacing w:after="0" w:line="140" w:lineRule="exact"/>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b w:val="1"/>
                <w:bCs w:val="1"/>
                <w:color w:val="auto"/>
              </w:rPr>
              <w:t>539,644</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b w:val="1"/>
                <w:bCs w:val="1"/>
                <w:color w:val="auto"/>
              </w:rPr>
              <w:t>100</w:t>
            </w:r>
          </w:p>
        </w:tc>
        <w:tc>
          <w:tcPr>
            <w:tcW w:w="240" w:type="dxa"/>
            <w:vAlign w:val="bottom"/>
            <w:tcBorders>
              <w:top w:val="single" w:sz="8" w:color="CCEEFF"/>
              <w:bottom w:val="single" w:sz="8" w:color="CCEEFF"/>
            </w:tcBorders>
            <w:shd w:val="clear" w:color="auto" w:fill="CCEEFF"/>
          </w:tcPr>
          <w:p>
            <w:pPr>
              <w:jc w:val="right"/>
              <w:ind w:right="35"/>
              <w:spacing w:after="0" w:line="140" w:lineRule="exact"/>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b w:val="1"/>
                <w:bCs w:val="1"/>
                <w:color w:val="auto"/>
              </w:rPr>
              <w:t>(23.0</w:t>
            </w:r>
          </w:p>
        </w:tc>
        <w:tc>
          <w:tcPr>
            <w:tcW w:w="300" w:type="dxa"/>
            <w:vAlign w:val="bottom"/>
            <w:tcBorders>
              <w:top w:val="single" w:sz="8" w:color="CCEEFF"/>
              <w:bottom w:val="single" w:sz="8" w:color="CCEEFF"/>
            </w:tcBorders>
            <w:shd w:val="clear" w:color="auto" w:fill="CCEEFF"/>
          </w:tcPr>
          <w:p>
            <w:pPr>
              <w:jc w:val="right"/>
              <w:ind w:right="55"/>
              <w:spacing w:after="0" w:line="140" w:lineRule="exact"/>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b w:val="1"/>
                <w:bCs w:val="1"/>
                <w:color w:val="auto"/>
              </w:rPr>
              <w:t>0.3</w:t>
            </w:r>
          </w:p>
        </w:tc>
        <w:tc>
          <w:tcPr>
            <w:tcW w:w="140" w:type="dxa"/>
            <w:vAlign w:val="bottom"/>
            <w:tcBorders>
              <w:top w:val="single" w:sz="8" w:color="CCEEFF"/>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b w:val="1"/>
                <w:bCs w:val="1"/>
                <w:color w:val="auto"/>
                <w:w w:val="86"/>
              </w:rPr>
              <w:t>%</w:t>
            </w:r>
          </w:p>
        </w:tc>
      </w:tr>
      <w:tr>
        <w:trPr>
          <w:trHeight w:val="20"/>
        </w:trPr>
        <w:tc>
          <w:tcPr>
            <w:tcW w:w="3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1068705"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068705" cy="762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(1)  Others include Atlantic Security Bank, BCP Bolivia, Grupo Credito and eliminations for consolidation.</w:t>
      </w:r>
    </w:p>
    <w:p>
      <w:pPr>
        <w:spacing w:after="0" w:line="209" w:lineRule="exact"/>
        <w:rPr>
          <w:sz w:val="20"/>
          <w:szCs w:val="20"/>
          <w:color w:val="auto"/>
        </w:rPr>
      </w:pPr>
    </w:p>
    <w:p>
      <w:pPr>
        <w:jc w:val="both"/>
        <w:ind w:right="20" w:firstLine="295"/>
        <w:spacing w:after="0" w:line="287" w:lineRule="auto"/>
        <w:rPr>
          <w:sz w:val="20"/>
          <w:szCs w:val="20"/>
          <w:color w:val="auto"/>
        </w:rPr>
      </w:pPr>
      <w:r>
        <w:rPr>
          <w:rFonts w:ascii="Arial" w:cs="Arial" w:eastAsia="Arial" w:hAnsi="Arial"/>
          <w:sz w:val="16"/>
          <w:szCs w:val="16"/>
          <w:color w:val="auto"/>
        </w:rPr>
        <w:t>The decrease in administrative and general expenses and taxes when comparing the three months ended March 31, 2020 to the three months ended December 31, 2019 was due primarily to a seasonal effect given that these expenses reach their highest point in the last quarter of every year.</w:t>
      </w:r>
    </w:p>
    <w:p>
      <w:pPr>
        <w:spacing w:after="0" w:line="150" w:lineRule="exact"/>
        <w:rPr>
          <w:sz w:val="20"/>
          <w:szCs w:val="20"/>
          <w:color w:val="auto"/>
        </w:rPr>
      </w:pPr>
    </w:p>
    <w:p>
      <w:pPr>
        <w:ind w:right="40" w:firstLine="295"/>
        <w:spacing w:after="0" w:line="287" w:lineRule="auto"/>
        <w:rPr>
          <w:sz w:val="20"/>
          <w:szCs w:val="20"/>
          <w:color w:val="auto"/>
        </w:rPr>
      </w:pPr>
      <w:r>
        <w:rPr>
          <w:rFonts w:ascii="Arial" w:cs="Arial" w:eastAsia="Arial" w:hAnsi="Arial"/>
          <w:sz w:val="16"/>
          <w:szCs w:val="16"/>
          <w:color w:val="auto"/>
        </w:rPr>
        <w:t>Comparing the three months ended March 31, 2020 to the corresponding period of 2019, which excludes the seasonal effect on operating expenses, administrative and general expenses and taxes remained stable, though with some notable increases.</w:t>
      </w:r>
    </w:p>
    <w:p>
      <w:pPr>
        <w:spacing w:after="0" w:line="150" w:lineRule="exact"/>
        <w:rPr>
          <w:sz w:val="20"/>
          <w:szCs w:val="20"/>
          <w:color w:val="auto"/>
        </w:rPr>
      </w:pPr>
    </w:p>
    <w:p>
      <w:pPr>
        <w:ind w:left="720" w:right="80" w:hanging="366"/>
        <w:spacing w:after="0" w:line="287" w:lineRule="auto"/>
        <w:tabs>
          <w:tab w:leader="none" w:pos="72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Total expenses for programs, systems and systems outsourcing increased, mainly in BCP Stand-alone, due to the higher expenses for the management of our IT infrastructure and the spending on new programs for projects related to our transformation strategy.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4385"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93" w:name="page194"/>
    <w:bookmarkEnd w:id="193"/>
    <w:p>
      <w:pPr>
        <w:ind w:left="722" w:right="140" w:hanging="366"/>
        <w:spacing w:after="0" w:line="287" w:lineRule="auto"/>
        <w:tabs>
          <w:tab w:leader="none" w:pos="722"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Infrastructure expense increased, primarily due to the purchase and distribution of medical supplies and to an increase in expenses for the cleaning of different branches at BCP.</w:t>
      </w:r>
    </w:p>
    <w:p>
      <w:pPr>
        <w:spacing w:after="0" w:line="150" w:lineRule="exact"/>
        <w:rPr>
          <w:sz w:val="20"/>
          <w:szCs w:val="20"/>
          <w:color w:val="auto"/>
        </w:rPr>
      </w:pPr>
    </w:p>
    <w:p>
      <w:pPr>
        <w:ind w:left="2" w:right="20" w:firstLine="295"/>
        <w:spacing w:after="0" w:line="287" w:lineRule="auto"/>
        <w:rPr>
          <w:sz w:val="20"/>
          <w:szCs w:val="20"/>
          <w:color w:val="auto"/>
        </w:rPr>
      </w:pPr>
      <w:r>
        <w:rPr>
          <w:rFonts w:ascii="Arial" w:cs="Arial" w:eastAsia="Arial" w:hAnsi="Arial"/>
          <w:sz w:val="16"/>
          <w:szCs w:val="16"/>
          <w:color w:val="auto"/>
        </w:rPr>
        <w:t>These increases were offset in part by a decrease in expenses for consultants, primarily at BCP, given that in the three months ended March 31, 2019, more consultants were needed to implement a variety of projects related to the transformation strategy.</w:t>
      </w:r>
    </w:p>
    <w:p>
      <w:pPr>
        <w:spacing w:after="0" w:line="150" w:lineRule="exact"/>
        <w:rPr>
          <w:sz w:val="20"/>
          <w:szCs w:val="20"/>
          <w:color w:val="auto"/>
        </w:rPr>
      </w:pPr>
    </w:p>
    <w:p>
      <w:pPr>
        <w:ind w:left="162"/>
        <w:spacing w:after="0"/>
        <w:rPr>
          <w:sz w:val="20"/>
          <w:szCs w:val="20"/>
          <w:color w:val="auto"/>
        </w:rPr>
      </w:pPr>
      <w:r>
        <w:rPr>
          <w:rFonts w:ascii="Arial" w:cs="Arial" w:eastAsia="Arial" w:hAnsi="Arial"/>
          <w:sz w:val="16"/>
          <w:szCs w:val="16"/>
          <w:b w:val="1"/>
          <w:bCs w:val="1"/>
          <w:i w:val="1"/>
          <w:iCs w:val="1"/>
          <w:color w:val="auto"/>
        </w:rPr>
        <w:t>Efficiency Ratio</w:t>
      </w:r>
    </w:p>
    <w:p>
      <w:pPr>
        <w:spacing w:after="0" w:line="205"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Efficiency Ratio by Subsidiary(1)</w:t>
      </w:r>
    </w:p>
    <w:p>
      <w:pPr>
        <w:spacing w:after="0" w:line="213"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1300" w:type="dxa"/>
            <w:vAlign w:val="bottom"/>
            <w:gridSpan w:val="2"/>
          </w:tcPr>
          <w:p>
            <w:pPr>
              <w:ind w:left="320"/>
              <w:spacing w:after="0"/>
              <w:rPr>
                <w:sz w:val="20"/>
                <w:szCs w:val="20"/>
                <w:color w:val="auto"/>
              </w:rPr>
            </w:pPr>
            <w:r>
              <w:rPr>
                <w:rFonts w:ascii="Arial" w:cs="Arial" w:eastAsia="Arial" w:hAnsi="Arial"/>
                <w:sz w:val="15"/>
                <w:szCs w:val="15"/>
                <w:b w:val="1"/>
                <w:bCs w:val="1"/>
                <w:color w:val="auto"/>
              </w:rPr>
              <w:t>BCP</w:t>
            </w:r>
          </w:p>
        </w:tc>
        <w:tc>
          <w:tcPr>
            <w:tcW w:w="1340" w:type="dxa"/>
            <w:vAlign w:val="bottom"/>
            <w:gridSpan w:val="2"/>
          </w:tcPr>
          <w:p>
            <w:pPr>
              <w:ind w:left="320"/>
              <w:spacing w:after="0"/>
              <w:rPr>
                <w:sz w:val="20"/>
                <w:szCs w:val="20"/>
                <w:color w:val="auto"/>
              </w:rPr>
            </w:pPr>
            <w:r>
              <w:rPr>
                <w:rFonts w:ascii="Arial" w:cs="Arial" w:eastAsia="Arial" w:hAnsi="Arial"/>
                <w:sz w:val="15"/>
                <w:szCs w:val="15"/>
                <w:b w:val="1"/>
                <w:bCs w:val="1"/>
                <w:color w:val="auto"/>
              </w:rPr>
              <w:t>BCP</w:t>
            </w: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4"/>
        </w:trPr>
        <w:tc>
          <w:tcPr>
            <w:tcW w:w="33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w w:val="95"/>
              </w:rPr>
              <w:t>Stand-alone</w:t>
            </w:r>
          </w:p>
        </w:tc>
        <w:tc>
          <w:tcPr>
            <w:tcW w:w="3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Bolivia</w:t>
            </w:r>
          </w:p>
        </w:tc>
        <w:tc>
          <w:tcPr>
            <w:tcW w:w="4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w w:val="97"/>
              </w:rPr>
              <w:t>Microfinance</w:t>
            </w:r>
          </w:p>
        </w:tc>
        <w:tc>
          <w:tcPr>
            <w:tcW w:w="3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Pacifico</w:t>
            </w:r>
          </w:p>
        </w:tc>
        <w:tc>
          <w:tcPr>
            <w:tcW w:w="4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Prima AFP</w:t>
            </w:r>
          </w:p>
        </w:tc>
        <w:tc>
          <w:tcPr>
            <w:tcW w:w="4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Credicorp</w:t>
            </w:r>
          </w:p>
        </w:tc>
        <w:tc>
          <w:tcPr>
            <w:tcW w:w="280" w:type="dxa"/>
            <w:vAlign w:val="bottom"/>
            <w:tcBorders>
              <w:bottom w:val="single" w:sz="8" w:color="CCEEFF"/>
            </w:tcBorders>
          </w:tcPr>
          <w:p>
            <w:pPr>
              <w:spacing w:after="0"/>
              <w:rPr>
                <w:sz w:val="16"/>
                <w:szCs w:val="16"/>
                <w:color w:val="auto"/>
              </w:rPr>
            </w:pPr>
          </w:p>
        </w:tc>
      </w:tr>
      <w:tr>
        <w:trPr>
          <w:trHeight w:val="179"/>
        </w:trPr>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Three Months Ended March 31, 2019</w:t>
            </w:r>
          </w:p>
        </w:tc>
        <w:tc>
          <w:tcPr>
            <w:tcW w:w="130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rPr>
              <w:t>38.1%</w:t>
            </w:r>
          </w:p>
        </w:tc>
        <w:tc>
          <w:tcPr>
            <w:tcW w:w="134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61.8%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55.0%</w:t>
            </w:r>
          </w:p>
        </w:tc>
        <w:tc>
          <w:tcPr>
            <w:tcW w:w="134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39.0%</w:t>
            </w:r>
          </w:p>
        </w:tc>
        <w:tc>
          <w:tcPr>
            <w:tcW w:w="132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rPr>
              <w:t>41.6%</w:t>
            </w:r>
          </w:p>
        </w:tc>
        <w:tc>
          <w:tcPr>
            <w:tcW w:w="124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42.4%</w:t>
            </w:r>
          </w:p>
        </w:tc>
      </w:tr>
      <w:tr>
        <w:trPr>
          <w:trHeight w:val="184"/>
        </w:trPr>
        <w:tc>
          <w:tcPr>
            <w:tcW w:w="3360" w:type="dxa"/>
            <w:vAlign w:val="bottom"/>
          </w:tcPr>
          <w:p>
            <w:pPr>
              <w:spacing w:after="0"/>
              <w:rPr>
                <w:sz w:val="20"/>
                <w:szCs w:val="20"/>
                <w:color w:val="auto"/>
              </w:rPr>
            </w:pPr>
            <w:r>
              <w:rPr>
                <w:rFonts w:ascii="Arial" w:cs="Arial" w:eastAsia="Arial" w:hAnsi="Arial"/>
                <w:sz w:val="15"/>
                <w:szCs w:val="15"/>
                <w:color w:val="auto"/>
              </w:rPr>
              <w:t>Three Months Ended December 31, 2019</w:t>
            </w:r>
          </w:p>
        </w:tc>
        <w:tc>
          <w:tcPr>
            <w:tcW w:w="1300" w:type="dxa"/>
            <w:vAlign w:val="bottom"/>
            <w:gridSpan w:val="2"/>
          </w:tcPr>
          <w:p>
            <w:pPr>
              <w:ind w:left="660"/>
              <w:spacing w:after="0"/>
              <w:rPr>
                <w:sz w:val="20"/>
                <w:szCs w:val="20"/>
                <w:color w:val="auto"/>
              </w:rPr>
            </w:pPr>
            <w:r>
              <w:rPr>
                <w:rFonts w:ascii="Arial" w:cs="Arial" w:eastAsia="Arial" w:hAnsi="Arial"/>
                <w:sz w:val="15"/>
                <w:szCs w:val="15"/>
                <w:color w:val="auto"/>
              </w:rPr>
              <w:t>43.8%</w:t>
            </w:r>
          </w:p>
        </w:tc>
        <w:tc>
          <w:tcPr>
            <w:tcW w:w="1340" w:type="dxa"/>
            <w:vAlign w:val="bottom"/>
            <w:gridSpan w:val="2"/>
          </w:tcPr>
          <w:p>
            <w:pPr>
              <w:ind w:left="680"/>
              <w:spacing w:after="0"/>
              <w:rPr>
                <w:sz w:val="20"/>
                <w:szCs w:val="20"/>
                <w:color w:val="auto"/>
              </w:rPr>
            </w:pPr>
            <w:r>
              <w:rPr>
                <w:rFonts w:ascii="Arial" w:cs="Arial" w:eastAsia="Arial" w:hAnsi="Arial"/>
                <w:sz w:val="15"/>
                <w:szCs w:val="15"/>
                <w:color w:val="auto"/>
              </w:rPr>
              <w:t>60.1%</w:t>
            </w: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56.4%</w:t>
            </w:r>
          </w:p>
        </w:tc>
        <w:tc>
          <w:tcPr>
            <w:tcW w:w="1340" w:type="dxa"/>
            <w:vAlign w:val="bottom"/>
            <w:gridSpan w:val="2"/>
          </w:tcPr>
          <w:p>
            <w:pPr>
              <w:ind w:left="680"/>
              <w:spacing w:after="0"/>
              <w:rPr>
                <w:sz w:val="20"/>
                <w:szCs w:val="20"/>
                <w:color w:val="auto"/>
              </w:rPr>
            </w:pPr>
            <w:r>
              <w:rPr>
                <w:rFonts w:ascii="Arial" w:cs="Arial" w:eastAsia="Arial" w:hAnsi="Arial"/>
                <w:sz w:val="15"/>
                <w:szCs w:val="15"/>
                <w:color w:val="auto"/>
              </w:rPr>
              <w:t>44.7%</w:t>
            </w:r>
          </w:p>
        </w:tc>
        <w:tc>
          <w:tcPr>
            <w:tcW w:w="1320" w:type="dxa"/>
            <w:vAlign w:val="bottom"/>
            <w:gridSpan w:val="2"/>
          </w:tcPr>
          <w:p>
            <w:pPr>
              <w:ind w:left="660"/>
              <w:spacing w:after="0"/>
              <w:rPr>
                <w:sz w:val="20"/>
                <w:szCs w:val="20"/>
                <w:color w:val="auto"/>
              </w:rPr>
            </w:pPr>
            <w:r>
              <w:rPr>
                <w:rFonts w:ascii="Arial" w:cs="Arial" w:eastAsia="Arial" w:hAnsi="Arial"/>
                <w:sz w:val="15"/>
                <w:szCs w:val="15"/>
                <w:color w:val="auto"/>
              </w:rPr>
              <w:t>45.1%</w:t>
            </w:r>
          </w:p>
        </w:tc>
        <w:tc>
          <w:tcPr>
            <w:tcW w:w="1240" w:type="dxa"/>
            <w:vAlign w:val="bottom"/>
            <w:gridSpan w:val="2"/>
          </w:tcPr>
          <w:p>
            <w:pPr>
              <w:ind w:left="700"/>
              <w:spacing w:after="0"/>
              <w:rPr>
                <w:sz w:val="20"/>
                <w:szCs w:val="20"/>
                <w:color w:val="auto"/>
              </w:rPr>
            </w:pPr>
            <w:r>
              <w:rPr>
                <w:rFonts w:ascii="Arial" w:cs="Arial" w:eastAsia="Arial" w:hAnsi="Arial"/>
                <w:sz w:val="15"/>
                <w:szCs w:val="15"/>
                <w:color w:val="auto"/>
              </w:rPr>
              <w:t>45.7%</w:t>
            </w:r>
          </w:p>
        </w:tc>
      </w:tr>
      <w:tr>
        <w:trPr>
          <w:trHeight w:val="184"/>
        </w:trPr>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Three Months Ended March 31, 2020</w:t>
            </w:r>
          </w:p>
        </w:tc>
        <w:tc>
          <w:tcPr>
            <w:tcW w:w="130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rPr>
              <w:t>38.8%</w:t>
            </w:r>
          </w:p>
        </w:tc>
        <w:tc>
          <w:tcPr>
            <w:tcW w:w="134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57.0%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58.4%</w:t>
            </w:r>
          </w:p>
        </w:tc>
        <w:tc>
          <w:tcPr>
            <w:tcW w:w="134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41.5%</w:t>
            </w:r>
          </w:p>
        </w:tc>
        <w:tc>
          <w:tcPr>
            <w:tcW w:w="132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rPr>
              <w:t>40.6%</w:t>
            </w:r>
          </w:p>
        </w:tc>
        <w:tc>
          <w:tcPr>
            <w:tcW w:w="124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43.4%</w:t>
            </w:r>
          </w:p>
        </w:tc>
      </w:tr>
      <w:tr>
        <w:trPr>
          <w:trHeight w:val="184"/>
        </w:trPr>
        <w:tc>
          <w:tcPr>
            <w:tcW w:w="3360" w:type="dxa"/>
            <w:vAlign w:val="bottom"/>
          </w:tcPr>
          <w:p>
            <w:pPr>
              <w:spacing w:after="0"/>
              <w:rPr>
                <w:sz w:val="20"/>
                <w:szCs w:val="20"/>
                <w:color w:val="auto"/>
              </w:rPr>
            </w:pPr>
            <w:r>
              <w:rPr>
                <w:rFonts w:ascii="Arial" w:cs="Arial" w:eastAsia="Arial" w:hAnsi="Arial"/>
                <w:sz w:val="15"/>
                <w:szCs w:val="15"/>
                <w:b w:val="1"/>
                <w:bCs w:val="1"/>
                <w:color w:val="auto"/>
              </w:rPr>
              <w:t>Variation (Quarter on Quarter)</w:t>
            </w:r>
          </w:p>
        </w:tc>
        <w:tc>
          <w:tcPr>
            <w:tcW w:w="1300" w:type="dxa"/>
            <w:vAlign w:val="bottom"/>
            <w:gridSpan w:val="2"/>
          </w:tcPr>
          <w:p>
            <w:pPr>
              <w:ind w:left="640"/>
              <w:spacing w:after="0"/>
              <w:rPr>
                <w:sz w:val="20"/>
                <w:szCs w:val="20"/>
                <w:color w:val="auto"/>
              </w:rPr>
            </w:pPr>
            <w:r>
              <w:rPr>
                <w:rFonts w:ascii="Arial" w:cs="Arial" w:eastAsia="Arial" w:hAnsi="Arial"/>
                <w:sz w:val="15"/>
                <w:szCs w:val="15"/>
                <w:b w:val="1"/>
                <w:bCs w:val="1"/>
                <w:color w:val="auto"/>
              </w:rPr>
              <w:t>(500)bps</w:t>
            </w:r>
          </w:p>
        </w:tc>
        <w:tc>
          <w:tcPr>
            <w:tcW w:w="1340" w:type="dxa"/>
            <w:vAlign w:val="bottom"/>
            <w:gridSpan w:val="2"/>
          </w:tcPr>
          <w:p>
            <w:pPr>
              <w:ind w:left="660"/>
              <w:spacing w:after="0"/>
              <w:rPr>
                <w:sz w:val="20"/>
                <w:szCs w:val="20"/>
                <w:color w:val="auto"/>
              </w:rPr>
            </w:pPr>
            <w:r>
              <w:rPr>
                <w:rFonts w:ascii="Arial" w:cs="Arial" w:eastAsia="Arial" w:hAnsi="Arial"/>
                <w:sz w:val="15"/>
                <w:szCs w:val="15"/>
                <w:b w:val="1"/>
                <w:bCs w:val="1"/>
                <w:color w:val="auto"/>
              </w:rPr>
              <w:t>(310)bps</w:t>
            </w:r>
          </w:p>
        </w:tc>
        <w:tc>
          <w:tcPr>
            <w:tcW w:w="13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200bps</w:t>
            </w:r>
          </w:p>
        </w:tc>
        <w:tc>
          <w:tcPr>
            <w:tcW w:w="1340" w:type="dxa"/>
            <w:vAlign w:val="bottom"/>
            <w:gridSpan w:val="2"/>
          </w:tcPr>
          <w:p>
            <w:pPr>
              <w:ind w:left="660"/>
              <w:spacing w:after="0"/>
              <w:rPr>
                <w:sz w:val="20"/>
                <w:szCs w:val="20"/>
                <w:color w:val="auto"/>
              </w:rPr>
            </w:pPr>
            <w:r>
              <w:rPr>
                <w:rFonts w:ascii="Arial" w:cs="Arial" w:eastAsia="Arial" w:hAnsi="Arial"/>
                <w:sz w:val="15"/>
                <w:szCs w:val="15"/>
                <w:b w:val="1"/>
                <w:bCs w:val="1"/>
                <w:color w:val="auto"/>
              </w:rPr>
              <w:t>(320)bps</w:t>
            </w:r>
          </w:p>
        </w:tc>
        <w:tc>
          <w:tcPr>
            <w:tcW w:w="1320" w:type="dxa"/>
            <w:vAlign w:val="bottom"/>
            <w:gridSpan w:val="2"/>
          </w:tcPr>
          <w:p>
            <w:pPr>
              <w:ind w:left="660"/>
              <w:spacing w:after="0"/>
              <w:rPr>
                <w:sz w:val="20"/>
                <w:szCs w:val="20"/>
                <w:color w:val="auto"/>
              </w:rPr>
            </w:pPr>
            <w:r>
              <w:rPr>
                <w:rFonts w:ascii="Arial" w:cs="Arial" w:eastAsia="Arial" w:hAnsi="Arial"/>
                <w:sz w:val="15"/>
                <w:szCs w:val="15"/>
                <w:b w:val="1"/>
                <w:bCs w:val="1"/>
                <w:color w:val="auto"/>
              </w:rPr>
              <w:t>(450)bps</w:t>
            </w:r>
          </w:p>
        </w:tc>
        <w:tc>
          <w:tcPr>
            <w:tcW w:w="1240" w:type="dxa"/>
            <w:vAlign w:val="bottom"/>
            <w:gridSpan w:val="2"/>
          </w:tcPr>
          <w:p>
            <w:pPr>
              <w:ind w:left="700"/>
              <w:spacing w:after="0"/>
              <w:rPr>
                <w:sz w:val="20"/>
                <w:szCs w:val="20"/>
                <w:color w:val="auto"/>
              </w:rPr>
            </w:pPr>
            <w:r>
              <w:rPr>
                <w:rFonts w:ascii="Arial" w:cs="Arial" w:eastAsia="Arial" w:hAnsi="Arial"/>
                <w:sz w:val="15"/>
                <w:szCs w:val="15"/>
                <w:b w:val="1"/>
                <w:bCs w:val="1"/>
                <w:color w:val="auto"/>
                <w:w w:val="84"/>
              </w:rPr>
              <w:t>(230)bps</w:t>
            </w:r>
          </w:p>
        </w:tc>
      </w:tr>
      <w:tr>
        <w:trPr>
          <w:trHeight w:val="197"/>
        </w:trPr>
        <w:tc>
          <w:tcPr>
            <w:tcW w:w="3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Variation (Year on Year)</w:t>
            </w:r>
          </w:p>
        </w:tc>
        <w:tc>
          <w:tcPr>
            <w:tcW w:w="1300" w:type="dxa"/>
            <w:vAlign w:val="bottom"/>
            <w:gridSpan w:val="2"/>
            <w:shd w:val="clear" w:color="auto" w:fill="CCEEFF"/>
          </w:tcPr>
          <w:p>
            <w:pPr>
              <w:ind w:left="760"/>
              <w:spacing w:after="0"/>
              <w:rPr>
                <w:sz w:val="20"/>
                <w:szCs w:val="20"/>
                <w:color w:val="auto"/>
              </w:rPr>
            </w:pPr>
            <w:r>
              <w:rPr>
                <w:rFonts w:ascii="Arial" w:cs="Arial" w:eastAsia="Arial" w:hAnsi="Arial"/>
                <w:sz w:val="15"/>
                <w:szCs w:val="15"/>
                <w:b w:val="1"/>
                <w:bCs w:val="1"/>
                <w:color w:val="auto"/>
              </w:rPr>
              <w:t xml:space="preserve">70 </w:t>
            </w:r>
            <w:r>
              <w:rPr>
                <w:rFonts w:ascii="Arial" w:cs="Arial" w:eastAsia="Arial" w:hAnsi="Arial"/>
                <w:sz w:val="16"/>
                <w:szCs w:val="16"/>
                <w:b w:val="1"/>
                <w:bCs w:val="1"/>
                <w:color w:val="auto"/>
              </w:rPr>
              <w:t>bps</w:t>
            </w:r>
          </w:p>
        </w:tc>
        <w:tc>
          <w:tcPr>
            <w:tcW w:w="1340" w:type="dxa"/>
            <w:vAlign w:val="bottom"/>
            <w:gridSpan w:val="2"/>
            <w:shd w:val="clear" w:color="auto" w:fill="CCEEFF"/>
          </w:tcPr>
          <w:p>
            <w:pPr>
              <w:ind w:left="660"/>
              <w:spacing w:after="0"/>
              <w:rPr>
                <w:sz w:val="20"/>
                <w:szCs w:val="20"/>
                <w:color w:val="auto"/>
              </w:rPr>
            </w:pPr>
            <w:r>
              <w:rPr>
                <w:rFonts w:ascii="Arial" w:cs="Arial" w:eastAsia="Arial" w:hAnsi="Arial"/>
                <w:sz w:val="15"/>
                <w:szCs w:val="15"/>
                <w:b w:val="1"/>
                <w:bCs w:val="1"/>
                <w:color w:val="auto"/>
              </w:rPr>
              <w:t>(480)bps</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340bps</w:t>
            </w:r>
          </w:p>
        </w:tc>
        <w:tc>
          <w:tcPr>
            <w:tcW w:w="1340" w:type="dxa"/>
            <w:vAlign w:val="bottom"/>
            <w:gridSpan w:val="2"/>
            <w:shd w:val="clear" w:color="auto" w:fill="CCEEFF"/>
          </w:tcPr>
          <w:p>
            <w:pPr>
              <w:ind w:left="720"/>
              <w:spacing w:after="0"/>
              <w:rPr>
                <w:sz w:val="20"/>
                <w:szCs w:val="20"/>
                <w:color w:val="auto"/>
              </w:rPr>
            </w:pPr>
            <w:r>
              <w:rPr>
                <w:rFonts w:ascii="Arial" w:cs="Arial" w:eastAsia="Arial" w:hAnsi="Arial"/>
                <w:sz w:val="15"/>
                <w:szCs w:val="15"/>
                <w:b w:val="1"/>
                <w:bCs w:val="1"/>
                <w:color w:val="auto"/>
              </w:rPr>
              <w:t>250 bps</w:t>
            </w:r>
          </w:p>
        </w:tc>
        <w:tc>
          <w:tcPr>
            <w:tcW w:w="1320" w:type="dxa"/>
            <w:vAlign w:val="bottom"/>
            <w:gridSpan w:val="2"/>
            <w:shd w:val="clear" w:color="auto" w:fill="CCEEFF"/>
          </w:tcPr>
          <w:p>
            <w:pPr>
              <w:ind w:left="660"/>
              <w:spacing w:after="0"/>
              <w:rPr>
                <w:sz w:val="20"/>
                <w:szCs w:val="20"/>
                <w:color w:val="auto"/>
              </w:rPr>
            </w:pPr>
            <w:r>
              <w:rPr>
                <w:rFonts w:ascii="Arial" w:cs="Arial" w:eastAsia="Arial" w:hAnsi="Arial"/>
                <w:sz w:val="15"/>
                <w:szCs w:val="15"/>
                <w:b w:val="1"/>
                <w:bCs w:val="1"/>
                <w:color w:val="auto"/>
              </w:rPr>
              <w:t>(100)bps</w:t>
            </w:r>
          </w:p>
        </w:tc>
        <w:tc>
          <w:tcPr>
            <w:tcW w:w="1240" w:type="dxa"/>
            <w:vAlign w:val="bottom"/>
            <w:gridSpan w:val="2"/>
            <w:shd w:val="clear" w:color="auto" w:fill="CCEEFF"/>
          </w:tcPr>
          <w:p>
            <w:pPr>
              <w:ind w:left="740"/>
              <w:spacing w:after="0"/>
              <w:rPr>
                <w:sz w:val="20"/>
                <w:szCs w:val="20"/>
                <w:color w:val="auto"/>
              </w:rPr>
            </w:pPr>
            <w:r>
              <w:rPr>
                <w:rFonts w:ascii="Arial" w:cs="Arial" w:eastAsia="Arial" w:hAnsi="Arial"/>
                <w:sz w:val="15"/>
                <w:szCs w:val="15"/>
                <w:b w:val="1"/>
                <w:bCs w:val="1"/>
                <w:color w:val="auto"/>
                <w:w w:val="85"/>
              </w:rPr>
              <w:t>100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1068705"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068705" cy="7620"/>
                    </a:xfrm>
                    <a:prstGeom prst="rect">
                      <a:avLst/>
                    </a:prstGeom>
                    <a:noFill/>
                  </pic:spPr>
                </pic:pic>
              </a:graphicData>
            </a:graphic>
          </wp:anchor>
        </w:drawing>
      </w:r>
    </w:p>
    <w:p>
      <w:pPr>
        <w:spacing w:after="0" w:line="213" w:lineRule="exact"/>
        <w:rPr>
          <w:sz w:val="20"/>
          <w:szCs w:val="20"/>
          <w:color w:val="auto"/>
        </w:rPr>
      </w:pPr>
    </w:p>
    <w:p>
      <w:pPr>
        <w:ind w:left="302" w:right="200" w:hanging="302"/>
        <w:spacing w:after="0" w:line="271" w:lineRule="auto"/>
        <w:tabs>
          <w:tab w:leader="none" w:pos="302" w:val="left"/>
        </w:tabs>
        <w:numPr>
          <w:ilvl w:val="0"/>
          <w:numId w:val="207"/>
        </w:numPr>
        <w:rPr>
          <w:rFonts w:ascii="Arial" w:cs="Arial" w:eastAsia="Arial" w:hAnsi="Arial"/>
          <w:sz w:val="16"/>
          <w:szCs w:val="16"/>
          <w:color w:val="auto"/>
        </w:rPr>
      </w:pPr>
      <w:r>
        <w:rPr>
          <w:rFonts w:ascii="Arial" w:cs="Arial" w:eastAsia="Arial" w:hAnsi="Arial"/>
          <w:sz w:val="16"/>
          <w:szCs w:val="16"/>
          <w:color w:val="auto"/>
        </w:rPr>
        <w:t>(Salaries and employee’s benefits plus Administrative, general and tax expenses plus Depreciation and amortization plus Acquisition costs plus Association in participation) / (Net interest income plus Fee income plus Net gain on foreign exchange transactions plus Net gain from associates plus Net gain on derivatives held for trading plus Result on exchange differences plus Net premiums earned).</w:t>
      </w:r>
    </w:p>
    <w:p>
      <w:pPr>
        <w:spacing w:after="0" w:line="163" w:lineRule="exact"/>
        <w:rPr>
          <w:sz w:val="20"/>
          <w:szCs w:val="20"/>
          <w:color w:val="auto"/>
        </w:rPr>
      </w:pPr>
    </w:p>
    <w:p>
      <w:pPr>
        <w:ind w:left="2" w:right="80" w:firstLine="295"/>
        <w:spacing w:after="0" w:line="271" w:lineRule="auto"/>
        <w:rPr>
          <w:sz w:val="20"/>
          <w:szCs w:val="20"/>
          <w:color w:val="auto"/>
        </w:rPr>
      </w:pPr>
      <w:r>
        <w:rPr>
          <w:rFonts w:ascii="Arial" w:cs="Arial" w:eastAsia="Arial" w:hAnsi="Arial"/>
          <w:sz w:val="16"/>
          <w:szCs w:val="16"/>
          <w:color w:val="auto"/>
        </w:rPr>
        <w:t>Comparing the three months ended March 31, 2020 to the three months ended December 31, 2019, the improvement in the efficiency ratio was attributable to a seasonal effect on operating expenses. As such, comparing the three months ended March 31, 2020 to the corresponding period of 2019 analysis provides a clearer picture of the change in the efficiency ratio.</w:t>
      </w:r>
    </w:p>
    <w:p>
      <w:pPr>
        <w:spacing w:after="0" w:line="163" w:lineRule="exact"/>
        <w:rPr>
          <w:sz w:val="20"/>
          <w:szCs w:val="20"/>
          <w:color w:val="auto"/>
        </w:rPr>
      </w:pPr>
    </w:p>
    <w:p>
      <w:pPr>
        <w:ind w:left="2" w:right="560" w:firstLine="295"/>
        <w:spacing w:after="0" w:line="287" w:lineRule="auto"/>
        <w:rPr>
          <w:sz w:val="20"/>
          <w:szCs w:val="20"/>
          <w:color w:val="auto"/>
        </w:rPr>
      </w:pPr>
      <w:r>
        <w:rPr>
          <w:rFonts w:ascii="Arial" w:cs="Arial" w:eastAsia="Arial" w:hAnsi="Arial"/>
          <w:sz w:val="16"/>
          <w:szCs w:val="16"/>
          <w:color w:val="auto"/>
        </w:rPr>
        <w:t>The figure below shows the contribution of each subsidiary to the evolution of the efficiency ratio for the three months ended March 31, 2020 compared to the corresponding period of 2019.</w:t>
      </w:r>
    </w:p>
    <w:p>
      <w:pPr>
        <w:spacing w:after="0" w:line="14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Year on Year Evolution of the Efficiency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5912485" cy="14973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912485" cy="149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02" w:right="100" w:hanging="302"/>
        <w:spacing w:after="0" w:line="287" w:lineRule="auto"/>
        <w:tabs>
          <w:tab w:leader="none" w:pos="30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Others includes: Credicorp Capital, Prima AFP, BCP Bolivia, Atlantic Security Bank, Grupo Credito, among other subsidiaries and the eliminations for consolidation purposes.</w:t>
      </w:r>
    </w:p>
    <w:p>
      <w:pPr>
        <w:spacing w:after="0" w:line="149" w:lineRule="exact"/>
        <w:rPr>
          <w:rFonts w:ascii="Arial" w:cs="Arial" w:eastAsia="Arial" w:hAnsi="Arial"/>
          <w:sz w:val="16"/>
          <w:szCs w:val="16"/>
          <w:color w:val="auto"/>
        </w:rPr>
      </w:pPr>
    </w:p>
    <w:p>
      <w:pPr>
        <w:ind w:left="302"/>
        <w:spacing w:after="0"/>
        <w:rPr>
          <w:rFonts w:ascii="Arial" w:cs="Arial" w:eastAsia="Arial" w:hAnsi="Arial"/>
          <w:sz w:val="16"/>
          <w:szCs w:val="16"/>
          <w:color w:val="auto"/>
        </w:rPr>
      </w:pPr>
      <w:r>
        <w:rPr>
          <w:rFonts w:ascii="Arial" w:cs="Arial" w:eastAsia="Arial" w:hAnsi="Arial"/>
          <w:sz w:val="15"/>
          <w:szCs w:val="15"/>
          <w:color w:val="auto"/>
        </w:rPr>
        <w:t>Comparing the three months ended March 31, 2020 to the corresponding period of 2019, efficiency deteriorated 100 basis points, which was attributable to:</w:t>
      </w:r>
    </w:p>
    <w:p>
      <w:pPr>
        <w:spacing w:after="0" w:line="220" w:lineRule="exact"/>
        <w:rPr>
          <w:rFonts w:ascii="Arial" w:cs="Arial" w:eastAsia="Arial" w:hAnsi="Arial"/>
          <w:sz w:val="16"/>
          <w:szCs w:val="16"/>
          <w:color w:val="auto"/>
        </w:rPr>
      </w:pPr>
    </w:p>
    <w:p>
      <w:pPr>
        <w:ind w:left="722" w:right="280" w:hanging="366"/>
        <w:spacing w:after="0" w:line="266" w:lineRule="auto"/>
        <w:tabs>
          <w:tab w:leader="none" w:pos="722" w:val="left"/>
        </w:tabs>
        <w:numPr>
          <w:ilvl w:val="1"/>
          <w:numId w:val="208"/>
        </w:numPr>
        <w:rPr>
          <w:rFonts w:ascii="Arial" w:cs="Arial" w:eastAsia="Arial" w:hAnsi="Arial"/>
          <w:sz w:val="16"/>
          <w:szCs w:val="16"/>
          <w:color w:val="auto"/>
        </w:rPr>
      </w:pPr>
      <w:r>
        <w:rPr>
          <w:rFonts w:ascii="Arial" w:cs="Arial" w:eastAsia="Arial" w:hAnsi="Arial"/>
          <w:sz w:val="16"/>
          <w:szCs w:val="16"/>
          <w:color w:val="auto"/>
        </w:rPr>
        <w:t>The incorporation of Bancompartir, which was included in the balance sheet since December 2019 within the Microfinance business line. This subsidiary contributed 50 basis points to total deterioration given that more than 2,000 employees were added to Credicorp’s payroll after the acquisition. Increased expenses related to Bancompartir were not offset by the net interest income at Bancompartir. Mibanco also registered slight deterioration, which was mainly attributable to on-going increases in headcount in 2019;</w:t>
      </w:r>
    </w:p>
    <w:p>
      <w:pPr>
        <w:spacing w:after="0" w:line="36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24" w:right="339" w:bottom="1440" w:gutter="0" w:footer="0" w:header="0"/>
        </w:sectPr>
      </w:pPr>
    </w:p>
    <w:bookmarkStart w:id="194" w:name="page195"/>
    <w:bookmarkEnd w:id="194"/>
    <w:p>
      <w:pPr>
        <w:ind w:left="366" w:right="20" w:hanging="366"/>
        <w:spacing w:after="0" w:line="289" w:lineRule="auto"/>
        <w:tabs>
          <w:tab w:leader="none" w:pos="366" w:val="left"/>
        </w:tabs>
        <w:numPr>
          <w:ilvl w:val="0"/>
          <w:numId w:val="209"/>
        </w:numPr>
        <w:rPr>
          <w:rFonts w:ascii="Arial" w:cs="Arial" w:eastAsia="Arial" w:hAnsi="Arial"/>
          <w:sz w:val="15"/>
          <w:szCs w:val="15"/>
          <w:color w:val="auto"/>
        </w:rPr>
      </w:pPr>
      <w:r>
        <w:rPr>
          <w:rFonts w:ascii="Arial" w:cs="Arial" w:eastAsia="Arial" w:hAnsi="Arial"/>
          <w:sz w:val="15"/>
          <w:szCs w:val="15"/>
          <w:color w:val="auto"/>
        </w:rPr>
        <w:t>BCP Stand-alone registered an increase in administrative and general expenses, which was mainly attributable to payments to renew licenses for software programs and to higher marketing expenses for advertising campaigns through digital channels. Additionally, the expense for salaries and employee benefits increased due to growth in the headcount in 2019 and to a transportation bonus to help personnel reach branches during the quarantine. These expense increases and their effect on the efficiency ratio were offset in part by an increase in net interest income, in line with growth in average daily balances; and</w:t>
      </w:r>
    </w:p>
    <w:p>
      <w:pPr>
        <w:spacing w:after="0" w:line="151" w:lineRule="exact"/>
        <w:rPr>
          <w:rFonts w:ascii="Arial" w:cs="Arial" w:eastAsia="Arial" w:hAnsi="Arial"/>
          <w:sz w:val="15"/>
          <w:szCs w:val="15"/>
          <w:color w:val="auto"/>
        </w:rPr>
      </w:pPr>
    </w:p>
    <w:p>
      <w:pPr>
        <w:ind w:left="366" w:hanging="366"/>
        <w:spacing w:after="0" w:line="271" w:lineRule="auto"/>
        <w:tabs>
          <w:tab w:leader="none" w:pos="366" w:val="left"/>
        </w:tabs>
        <w:numPr>
          <w:ilvl w:val="0"/>
          <w:numId w:val="209"/>
        </w:numPr>
        <w:rPr>
          <w:rFonts w:ascii="Arial" w:cs="Arial" w:eastAsia="Arial" w:hAnsi="Arial"/>
          <w:sz w:val="16"/>
          <w:szCs w:val="16"/>
          <w:color w:val="auto"/>
        </w:rPr>
      </w:pPr>
      <w:r>
        <w:rPr>
          <w:rFonts w:ascii="Arial" w:cs="Arial" w:eastAsia="Arial" w:hAnsi="Arial"/>
          <w:sz w:val="16"/>
          <w:szCs w:val="16"/>
          <w:color w:val="auto"/>
        </w:rPr>
        <w:t>Grupo Pacifico, which registered an increase in the acquisition costs in the life business due to growth in sales of D&amp;S policies through the alliance channel and in the P&amp;C business due to the reimbursement of 50% of the premiums for car insurance for certain clients for the months of March and April in connection with the quarantine ordered by the Peruvian government in relation to the COVID-19 pandemic.</w:t>
      </w:r>
    </w:p>
    <w:p>
      <w:pPr>
        <w:spacing w:after="0" w:line="359" w:lineRule="exact"/>
        <w:rPr>
          <w:sz w:val="20"/>
          <w:szCs w:val="20"/>
          <w:color w:val="auto"/>
        </w:rPr>
      </w:pPr>
    </w:p>
    <w:p>
      <w:pPr>
        <w:jc w:val="center"/>
        <w:ind w:right="314"/>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15875</wp:posOffset>
            </wp:positionV>
            <wp:extent cx="7144385"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866"/>
          </w:cols>
          <w:pgMar w:left="674" w:top="324" w:right="359" w:bottom="1440" w:gutter="0" w:footer="0" w:header="0"/>
        </w:sectPr>
      </w:pPr>
    </w:p>
    <w:bookmarkStart w:id="195" w:name="page196"/>
    <w:bookmarkEnd w:id="195"/>
    <w:p>
      <w:pPr>
        <w:jc w:val="center"/>
        <w:ind w:right="-1"/>
        <w:spacing w:after="0"/>
        <w:rPr>
          <w:sz w:val="20"/>
          <w:szCs w:val="20"/>
          <w:color w:val="auto"/>
        </w:rPr>
      </w:pPr>
      <w:r>
        <w:rPr>
          <w:rFonts w:ascii="Arial" w:cs="Arial" w:eastAsia="Arial" w:hAnsi="Arial"/>
          <w:sz w:val="16"/>
          <w:szCs w:val="16"/>
          <w:b w:val="1"/>
          <w:bCs w:val="1"/>
          <w:color w:val="auto"/>
        </w:rPr>
        <w:t>BUSINESS AND OTHER UPDATES</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Recent Developments</w:t>
      </w:r>
    </w:p>
    <w:p>
      <w:pPr>
        <w:spacing w:after="0" w:line="213" w:lineRule="exact"/>
        <w:rPr>
          <w:sz w:val="20"/>
          <w:szCs w:val="20"/>
          <w:color w:val="auto"/>
        </w:rPr>
      </w:pPr>
    </w:p>
    <w:p>
      <w:pPr>
        <w:ind w:left="162"/>
        <w:spacing w:after="0"/>
        <w:rPr>
          <w:sz w:val="20"/>
          <w:szCs w:val="20"/>
          <w:color w:val="auto"/>
        </w:rPr>
      </w:pPr>
      <w:r>
        <w:rPr>
          <w:rFonts w:ascii="Arial" w:cs="Arial" w:eastAsia="Arial" w:hAnsi="Arial"/>
          <w:sz w:val="16"/>
          <w:szCs w:val="16"/>
          <w:b w:val="1"/>
          <w:bCs w:val="1"/>
          <w:i w:val="1"/>
          <w:iCs w:val="1"/>
          <w:color w:val="auto"/>
        </w:rPr>
        <w:t>Declaration of dividends</w:t>
      </w:r>
    </w:p>
    <w:p>
      <w:pPr>
        <w:spacing w:after="0" w:line="209" w:lineRule="exact"/>
        <w:rPr>
          <w:sz w:val="20"/>
          <w:szCs w:val="20"/>
          <w:color w:val="auto"/>
        </w:rPr>
      </w:pPr>
    </w:p>
    <w:p>
      <w:pPr>
        <w:ind w:left="2" w:right="140" w:firstLine="295"/>
        <w:spacing w:after="0" w:line="271" w:lineRule="auto"/>
        <w:rPr>
          <w:sz w:val="20"/>
          <w:szCs w:val="20"/>
          <w:color w:val="auto"/>
        </w:rPr>
      </w:pPr>
      <w:r>
        <w:rPr>
          <w:rFonts w:ascii="Arial" w:cs="Arial" w:eastAsia="Arial" w:hAnsi="Arial"/>
          <w:sz w:val="16"/>
          <w:szCs w:val="16"/>
          <w:color w:val="auto"/>
        </w:rPr>
        <w:t>At a meeting held on February 27, 2020, our Board of Directors approved the distribution of a cash dividend of S/2,831,469,510.00, for a total of 94,382,317 outstanding shares, which is equivalent to S/30.00 per share. The cash dividend was paid on May 8, 2020, without withholding tax at source, to shareholders of record on April 13, 2020.</w:t>
      </w:r>
    </w:p>
    <w:p>
      <w:pPr>
        <w:spacing w:after="0" w:line="163" w:lineRule="exact"/>
        <w:rPr>
          <w:sz w:val="20"/>
          <w:szCs w:val="20"/>
          <w:color w:val="auto"/>
        </w:rPr>
      </w:pPr>
    </w:p>
    <w:p>
      <w:pPr>
        <w:ind w:left="2" w:right="280" w:firstLine="295"/>
        <w:spacing w:after="0" w:line="287" w:lineRule="auto"/>
        <w:rPr>
          <w:sz w:val="20"/>
          <w:szCs w:val="20"/>
          <w:color w:val="auto"/>
        </w:rPr>
      </w:pPr>
      <w:r>
        <w:rPr>
          <w:rFonts w:ascii="Arial" w:cs="Arial" w:eastAsia="Arial" w:hAnsi="Arial"/>
          <w:sz w:val="16"/>
          <w:szCs w:val="16"/>
          <w:color w:val="auto"/>
        </w:rPr>
        <w:t>The dividend was paid in U.S. dollars using the weighted exchange rate reported by the SBS for transactions at the close of business on May 6, 2020 (S/3.4081 per U.S. dollar). As a result, the dividend paid per share was U.S.$8.8026, equivalent to the declared dividend of S/30.00 per share.</w:t>
      </w:r>
    </w:p>
    <w:p>
      <w:pPr>
        <w:spacing w:after="0" w:line="150" w:lineRule="exact"/>
        <w:rPr>
          <w:sz w:val="20"/>
          <w:szCs w:val="20"/>
          <w:color w:val="auto"/>
        </w:rPr>
      </w:pPr>
    </w:p>
    <w:p>
      <w:pPr>
        <w:ind w:left="162"/>
        <w:spacing w:after="0"/>
        <w:rPr>
          <w:sz w:val="20"/>
          <w:szCs w:val="20"/>
          <w:color w:val="auto"/>
        </w:rPr>
      </w:pPr>
      <w:r>
        <w:rPr>
          <w:rFonts w:ascii="Arial" w:cs="Arial" w:eastAsia="Arial" w:hAnsi="Arial"/>
          <w:sz w:val="16"/>
          <w:szCs w:val="16"/>
          <w:b w:val="1"/>
          <w:bCs w:val="1"/>
          <w:i w:val="1"/>
          <w:iCs w:val="1"/>
          <w:color w:val="auto"/>
        </w:rPr>
        <w:t>Board of Directors</w:t>
      </w:r>
    </w:p>
    <w:p>
      <w:pPr>
        <w:spacing w:after="0" w:line="209" w:lineRule="exact"/>
        <w:rPr>
          <w:sz w:val="20"/>
          <w:szCs w:val="20"/>
          <w:color w:val="auto"/>
        </w:rPr>
      </w:pPr>
    </w:p>
    <w:p>
      <w:pPr>
        <w:ind w:left="2" w:right="20" w:firstLine="295"/>
        <w:spacing w:after="0" w:line="283" w:lineRule="auto"/>
        <w:rPr>
          <w:sz w:val="20"/>
          <w:szCs w:val="20"/>
          <w:color w:val="auto"/>
        </w:rPr>
      </w:pPr>
      <w:r>
        <w:rPr>
          <w:rFonts w:ascii="Arial" w:cs="Arial" w:eastAsia="Arial" w:hAnsi="Arial"/>
          <w:sz w:val="15"/>
          <w:szCs w:val="15"/>
          <w:color w:val="auto"/>
        </w:rPr>
        <w:t>On April 24, 2020, we announced that Dionisio Romero Paoletti, Chairman of the Board of Directors, would not stand for reelection to our Board of Directors. At our Annual General Meeting of Shareholders held on June 5, 2020, the following individuals were re-elected as members of our Board of Directors: Fernando Fort Marie, Patricia Lizarraga Guthertz, Raimundo Morales Dasso and Luis Enrique Romero Belismelis. The following individuals were newly-elected as independent members of our Board of Directors: Mr. Alexandre Gouvea, Ms. Maite Aranzabal Harreguy, Mr. Antonio Abruña Puyol and Mr. Irzio Pinasco Menchelli. The shareholders also decided to increase the number of directors from eight to nine. As per our Bye-laws, after the Annual General Meeting of Shareholders, the new Board of Directors in its first session shall designate the new Chairman and the new composition of committees of the Board of Directors.</w:t>
      </w:r>
    </w:p>
    <w:p>
      <w:pPr>
        <w:spacing w:after="0" w:line="15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Distribution Channels</w:t>
      </w:r>
    </w:p>
    <w:p>
      <w:pPr>
        <w:spacing w:after="0" w:line="213" w:lineRule="exact"/>
        <w:rPr>
          <w:sz w:val="20"/>
          <w:szCs w:val="20"/>
          <w:color w:val="auto"/>
        </w:rPr>
      </w:pPr>
    </w:p>
    <w:p>
      <w:pPr>
        <w:ind w:left="2" w:right="140" w:firstLine="295"/>
        <w:spacing w:after="0" w:line="266" w:lineRule="auto"/>
        <w:rPr>
          <w:sz w:val="20"/>
          <w:szCs w:val="20"/>
          <w:color w:val="auto"/>
        </w:rPr>
      </w:pPr>
      <w:r>
        <w:rPr>
          <w:rFonts w:ascii="Arial" w:cs="Arial" w:eastAsia="Arial" w:hAnsi="Arial"/>
          <w:sz w:val="16"/>
          <w:szCs w:val="16"/>
          <w:color w:val="auto"/>
        </w:rPr>
        <w:t>Distribution channels at BCP, Mibanco and BCP Bolivia totaled 10,806 points of contact at the end of March 2020, which represented a decrease of 194 points when comparing March 31, 2020 to December 31, 2019 due to a decrease in the number of Agentes BCP (BCP Agents). Comparing March 31, 2020 to March 31, 2019, however, the total expanded 356 points, which was mainly driven by growth in cost-efficient channels at BCP Bolivia, bolstered by more BCP Agentes, and, to a lesser extent, by expansion of these channels at BCP Stand-alone.</w:t>
      </w:r>
    </w:p>
    <w:p>
      <w:pPr>
        <w:spacing w:after="0" w:line="16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Consolidated Points of Contact</w:t>
      </w:r>
    </w:p>
    <w:p>
      <w:pPr>
        <w:spacing w:after="0" w:line="226" w:lineRule="exact"/>
        <w:rPr>
          <w:sz w:val="20"/>
          <w:szCs w:val="20"/>
          <w:color w:val="auto"/>
        </w:rPr>
      </w:pPr>
    </w:p>
    <w:tbl>
      <w:tblPr>
        <w:tblLayout w:type="fixed"/>
        <w:tblInd w:w="2"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5"/>
              </w:rPr>
              <w:t>As of</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4"/>
          </w:tcPr>
          <w:p>
            <w:pPr>
              <w:jc w:val="right"/>
              <w:ind w:right="92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top w:val="single" w:sz="8" w:color="auto"/>
            </w:tcBorders>
            <w:gridSpan w:val="2"/>
          </w:tcPr>
          <w:p>
            <w:pPr>
              <w:jc w:val="right"/>
              <w:ind w:right="478"/>
              <w:spacing w:after="0" w:line="167" w:lineRule="exact"/>
              <w:rPr>
                <w:sz w:val="20"/>
                <w:szCs w:val="20"/>
                <w:color w:val="auto"/>
              </w:rPr>
            </w:pPr>
            <w:r>
              <w:rPr>
                <w:rFonts w:ascii="Arial" w:cs="Arial" w:eastAsia="Arial" w:hAnsi="Arial"/>
                <w:sz w:val="15"/>
                <w:szCs w:val="15"/>
                <w:b w:val="1"/>
                <w:bCs w:val="1"/>
                <w:color w:val="auto"/>
              </w:rPr>
              <w:t>March</w:t>
            </w: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146"/>
              <w:spacing w:after="0"/>
              <w:rPr>
                <w:sz w:val="20"/>
                <w:szCs w:val="20"/>
                <w:color w:val="auto"/>
              </w:rPr>
            </w:pPr>
            <w:r>
              <w:rPr>
                <w:rFonts w:ascii="Arial" w:cs="Arial" w:eastAsia="Arial" w:hAnsi="Arial"/>
                <w:sz w:val="15"/>
                <w:szCs w:val="15"/>
                <w:b w:val="1"/>
                <w:bCs w:val="1"/>
                <w:color w:val="auto"/>
              </w:rPr>
              <w:t>31, 2020 /</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240" w:type="dxa"/>
            <w:vAlign w:val="bottom"/>
            <w:gridSpan w:val="2"/>
          </w:tcPr>
          <w:p>
            <w:pPr>
              <w:ind w:left="300"/>
              <w:spacing w:after="0"/>
              <w:rPr>
                <w:sz w:val="20"/>
                <w:szCs w:val="20"/>
                <w:color w:val="auto"/>
              </w:rPr>
            </w:pPr>
            <w:r>
              <w:rPr>
                <w:rFonts w:ascii="Arial" w:cs="Arial" w:eastAsia="Arial" w:hAnsi="Arial"/>
                <w:sz w:val="15"/>
                <w:szCs w:val="15"/>
                <w:b w:val="1"/>
                <w:bCs w:val="1"/>
                <w:color w:val="auto"/>
              </w:rPr>
              <w:t>March</w:t>
            </w:r>
          </w:p>
        </w:tc>
        <w:tc>
          <w:tcPr>
            <w:tcW w:w="12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December</w:t>
            </w:r>
          </w:p>
        </w:tc>
        <w:tc>
          <w:tcPr>
            <w:tcW w:w="122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March</w:t>
            </w:r>
          </w:p>
        </w:tc>
        <w:tc>
          <w:tcPr>
            <w:tcW w:w="1240" w:type="dxa"/>
            <w:vAlign w:val="bottom"/>
            <w:gridSpan w:val="2"/>
          </w:tcPr>
          <w:p>
            <w:pPr>
              <w:jc w:val="right"/>
              <w:ind w:right="378"/>
              <w:spacing w:after="0"/>
              <w:rPr>
                <w:sz w:val="20"/>
                <w:szCs w:val="20"/>
                <w:color w:val="auto"/>
              </w:rPr>
            </w:pPr>
            <w:r>
              <w:rPr>
                <w:rFonts w:ascii="Arial" w:cs="Arial" w:eastAsia="Arial" w:hAnsi="Arial"/>
                <w:sz w:val="15"/>
                <w:szCs w:val="15"/>
                <w:b w:val="1"/>
                <w:bCs w:val="1"/>
                <w:color w:val="auto"/>
              </w:rPr>
              <w:t>December</w:t>
            </w:r>
          </w:p>
        </w:tc>
        <w:tc>
          <w:tcPr>
            <w:tcW w:w="11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March</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31, 2019</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31, 2019</w:t>
            </w:r>
          </w:p>
        </w:tc>
        <w:tc>
          <w:tcPr>
            <w:tcW w:w="2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31, 2020</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31, 2019</w:t>
            </w:r>
          </w:p>
        </w:tc>
        <w:tc>
          <w:tcPr>
            <w:tcW w:w="2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0"/>
              </w:rPr>
              <w:t>31, 2020 / 2019</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BCP Stand-alone</w:t>
            </w: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5"/>
                <w:szCs w:val="15"/>
                <w:color w:val="auto"/>
              </w:rPr>
              <w:t>Branches</w:t>
            </w:r>
          </w:p>
        </w:tc>
        <w:tc>
          <w:tcPr>
            <w:tcW w:w="1020" w:type="dxa"/>
            <w:vAlign w:val="bottom"/>
          </w:tcPr>
          <w:p>
            <w:pPr>
              <w:jc w:val="right"/>
              <w:spacing w:after="0"/>
              <w:rPr>
                <w:sz w:val="20"/>
                <w:szCs w:val="20"/>
                <w:color w:val="auto"/>
              </w:rPr>
            </w:pPr>
            <w:r>
              <w:rPr>
                <w:rFonts w:ascii="Arial" w:cs="Arial" w:eastAsia="Arial" w:hAnsi="Arial"/>
                <w:sz w:val="15"/>
                <w:szCs w:val="15"/>
                <w:color w:val="auto"/>
              </w:rPr>
              <w:t>405</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404</w:t>
            </w: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404</w:t>
            </w:r>
          </w:p>
        </w:tc>
        <w:tc>
          <w:tcPr>
            <w:tcW w:w="1240" w:type="dxa"/>
            <w:vAlign w:val="bottom"/>
            <w:gridSpan w:val="2"/>
          </w:tcPr>
          <w:p>
            <w:pPr>
              <w:jc w:val="right"/>
              <w:ind w:right="178"/>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ATMs</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2,244</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2,285</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2,291</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5"/>
                <w:szCs w:val="15"/>
                <w:color w:val="auto"/>
              </w:rPr>
              <w:t>Agentes BCP</w:t>
            </w:r>
          </w:p>
        </w:tc>
        <w:tc>
          <w:tcPr>
            <w:tcW w:w="1020" w:type="dxa"/>
            <w:vAlign w:val="bottom"/>
          </w:tcPr>
          <w:p>
            <w:pPr>
              <w:jc w:val="right"/>
              <w:spacing w:after="0"/>
              <w:rPr>
                <w:sz w:val="20"/>
                <w:szCs w:val="20"/>
                <w:color w:val="auto"/>
              </w:rPr>
            </w:pPr>
            <w:r>
              <w:rPr>
                <w:rFonts w:ascii="Arial" w:cs="Arial" w:eastAsia="Arial" w:hAnsi="Arial"/>
                <w:sz w:val="15"/>
                <w:szCs w:val="15"/>
                <w:color w:val="auto"/>
              </w:rPr>
              <w:t>6,759</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7,187</w:t>
            </w: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6,869</w:t>
            </w:r>
          </w:p>
        </w:tc>
        <w:tc>
          <w:tcPr>
            <w:tcW w:w="1240" w:type="dxa"/>
            <w:vAlign w:val="bottom"/>
            <w:gridSpan w:val="2"/>
          </w:tcPr>
          <w:p>
            <w:pPr>
              <w:jc w:val="right"/>
              <w:ind w:right="138"/>
              <w:spacing w:after="0"/>
              <w:rPr>
                <w:sz w:val="20"/>
                <w:szCs w:val="20"/>
                <w:color w:val="auto"/>
              </w:rPr>
            </w:pPr>
            <w:r>
              <w:rPr>
                <w:rFonts w:ascii="Arial" w:cs="Arial" w:eastAsia="Arial" w:hAnsi="Arial"/>
                <w:sz w:val="15"/>
                <w:szCs w:val="15"/>
                <w:color w:val="auto"/>
              </w:rPr>
              <w:t>(318)</w:t>
            </w: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BCP Stand-alone</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9,408</w:t>
            </w: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9,876</w:t>
            </w: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9,564</w:t>
            </w: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(312</w:t>
            </w:r>
          </w:p>
        </w:tc>
        <w:tc>
          <w:tcPr>
            <w:tcW w:w="220" w:type="dxa"/>
            <w:vAlign w:val="bottom"/>
            <w:tcBorders>
              <w:top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b w:val="1"/>
                <w:bCs w:val="1"/>
                <w:color w:val="auto"/>
                <w:w w:val="7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156</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80" w:type="dxa"/>
            <w:vAlign w:val="bottom"/>
            <w:tcBorders>
              <w:bottom w:val="single" w:sz="8" w:color="CCEEFF"/>
            </w:tcBorders>
          </w:tcPr>
          <w:p>
            <w:pPr>
              <w:spacing w:after="0" w:line="172" w:lineRule="exact"/>
              <w:rPr>
                <w:sz w:val="20"/>
                <w:szCs w:val="20"/>
                <w:color w:val="auto"/>
              </w:rPr>
            </w:pPr>
            <w:r>
              <w:rPr>
                <w:rFonts w:ascii="Arial" w:cs="Arial" w:eastAsia="Arial" w:hAnsi="Arial"/>
                <w:sz w:val="15"/>
                <w:szCs w:val="15"/>
                <w:b w:val="1"/>
                <w:bCs w:val="1"/>
                <w:color w:val="auto"/>
              </w:rPr>
              <w:t>Total Mibanco’s Network (1)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324</w:t>
            </w:r>
          </w:p>
        </w:tc>
        <w:tc>
          <w:tcPr>
            <w:tcW w:w="2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323</w:t>
            </w:r>
          </w:p>
        </w:tc>
        <w:tc>
          <w:tcPr>
            <w:tcW w:w="2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325</w:t>
            </w:r>
          </w:p>
        </w:tc>
        <w:tc>
          <w:tcPr>
            <w:tcW w:w="2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w:t>
            </w:r>
          </w:p>
        </w:tc>
        <w:tc>
          <w:tcPr>
            <w:tcW w:w="2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80" w:type="dxa"/>
            <w:vAlign w:val="bottom"/>
            <w:shd w:val="clear" w:color="auto" w:fill="CCEEFF"/>
          </w:tcPr>
          <w:p>
            <w:pPr>
              <w:spacing w:after="0" w:line="172" w:lineRule="exact"/>
              <w:rPr>
                <w:sz w:val="20"/>
                <w:szCs w:val="20"/>
                <w:color w:val="auto"/>
              </w:rPr>
            </w:pPr>
            <w:r>
              <w:rPr>
                <w:rFonts w:ascii="Arial" w:cs="Arial" w:eastAsia="Arial" w:hAnsi="Arial"/>
                <w:sz w:val="15"/>
                <w:szCs w:val="15"/>
                <w:b w:val="1"/>
                <w:bCs w:val="1"/>
                <w:color w:val="auto"/>
              </w:rPr>
              <w:t>BCP Bolivia</w:t>
            </w: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5"/>
                <w:szCs w:val="15"/>
                <w:color w:val="auto"/>
              </w:rPr>
              <w:t>Branches</w:t>
            </w:r>
          </w:p>
        </w:tc>
        <w:tc>
          <w:tcPr>
            <w:tcW w:w="1020" w:type="dxa"/>
            <w:vAlign w:val="bottom"/>
          </w:tcPr>
          <w:p>
            <w:pPr>
              <w:jc w:val="right"/>
              <w:spacing w:after="0"/>
              <w:rPr>
                <w:sz w:val="20"/>
                <w:szCs w:val="20"/>
                <w:color w:val="auto"/>
              </w:rPr>
            </w:pPr>
            <w:r>
              <w:rPr>
                <w:rFonts w:ascii="Arial" w:cs="Arial" w:eastAsia="Arial" w:hAnsi="Arial"/>
                <w:sz w:val="15"/>
                <w:szCs w:val="15"/>
                <w:color w:val="auto"/>
              </w:rPr>
              <w:t>56</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54</w:t>
            </w: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55</w:t>
            </w:r>
          </w:p>
        </w:tc>
        <w:tc>
          <w:tcPr>
            <w:tcW w:w="1020" w:type="dxa"/>
            <w:vAlign w:val="bottom"/>
          </w:tcPr>
          <w:p>
            <w:pPr>
              <w:jc w:val="right"/>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ATMs</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307</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5"/>
                <w:szCs w:val="15"/>
                <w:color w:val="auto"/>
              </w:rPr>
              <w:t>Agentes BCP Bolivia</w:t>
            </w:r>
          </w:p>
        </w:tc>
        <w:tc>
          <w:tcPr>
            <w:tcW w:w="1020" w:type="dxa"/>
            <w:vAlign w:val="bottom"/>
          </w:tcPr>
          <w:p>
            <w:pPr>
              <w:jc w:val="right"/>
              <w:spacing w:after="0"/>
              <w:rPr>
                <w:sz w:val="20"/>
                <w:szCs w:val="20"/>
                <w:color w:val="auto"/>
              </w:rPr>
            </w:pPr>
            <w:r>
              <w:rPr>
                <w:rFonts w:ascii="Arial" w:cs="Arial" w:eastAsia="Arial" w:hAnsi="Arial"/>
                <w:sz w:val="15"/>
                <w:szCs w:val="15"/>
                <w:color w:val="auto"/>
              </w:rPr>
              <w:t>363</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446</w:t>
            </w: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555</w:t>
            </w:r>
          </w:p>
        </w:tc>
        <w:tc>
          <w:tcPr>
            <w:tcW w:w="1020" w:type="dxa"/>
            <w:vAlign w:val="bottom"/>
          </w:tcPr>
          <w:p>
            <w:pPr>
              <w:jc w:val="right"/>
              <w:spacing w:after="0"/>
              <w:rPr>
                <w:sz w:val="20"/>
                <w:szCs w:val="20"/>
                <w:color w:val="auto"/>
              </w:rPr>
            </w:pPr>
            <w:r>
              <w:rPr>
                <w:rFonts w:ascii="Arial" w:cs="Arial" w:eastAsia="Arial" w:hAnsi="Arial"/>
                <w:sz w:val="15"/>
                <w:szCs w:val="15"/>
                <w:color w:val="auto"/>
              </w:rPr>
              <w:t>109</w:t>
            </w:r>
          </w:p>
        </w:tc>
        <w:tc>
          <w:tcPr>
            <w:tcW w:w="22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Bolivia’s Network</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718</w:t>
            </w: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801</w:t>
            </w: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917</w:t>
            </w: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116</w:t>
            </w: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199</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Points of Contact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10,450</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11,000</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10,806</w:t>
            </w:r>
          </w:p>
        </w:tc>
        <w:tc>
          <w:tcPr>
            <w:tcW w:w="1240" w:type="dxa"/>
            <w:vAlign w:val="bottom"/>
            <w:gridSpan w:val="2"/>
            <w:shd w:val="clear" w:color="auto" w:fill="CCEEFF"/>
          </w:tcPr>
          <w:p>
            <w:pPr>
              <w:jc w:val="right"/>
              <w:ind w:right="138"/>
              <w:spacing w:after="0"/>
              <w:rPr>
                <w:sz w:val="20"/>
                <w:szCs w:val="20"/>
                <w:color w:val="auto"/>
              </w:rPr>
            </w:pPr>
            <w:r>
              <w:rPr>
                <w:rFonts w:ascii="Arial" w:cs="Arial" w:eastAsia="Arial" w:hAnsi="Arial"/>
                <w:sz w:val="15"/>
                <w:szCs w:val="15"/>
                <w:b w:val="1"/>
                <w:bCs w:val="1"/>
                <w:color w:val="auto"/>
              </w:rPr>
              <w:t>(194)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068705"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068705" cy="7620"/>
                    </a:xfrm>
                    <a:prstGeom prst="rect">
                      <a:avLst/>
                    </a:prstGeom>
                    <a:noFill/>
                  </pic:spPr>
                </pic:pic>
              </a:graphicData>
            </a:graphic>
          </wp:anchor>
        </w:drawing>
      </w:r>
    </w:p>
    <w:p>
      <w:pPr>
        <w:spacing w:after="0" w:line="189" w:lineRule="exact"/>
        <w:rPr>
          <w:sz w:val="20"/>
          <w:szCs w:val="20"/>
          <w:color w:val="auto"/>
        </w:rPr>
      </w:pPr>
    </w:p>
    <w:p>
      <w:pPr>
        <w:ind w:left="302" w:right="580" w:hanging="302"/>
        <w:spacing w:after="0" w:line="287" w:lineRule="auto"/>
        <w:tabs>
          <w:tab w:leader="none" w:pos="302" w:val="left"/>
        </w:tabs>
        <w:numPr>
          <w:ilvl w:val="0"/>
          <w:numId w:val="210"/>
        </w:numPr>
        <w:rPr>
          <w:rFonts w:ascii="Arial" w:cs="Arial" w:eastAsia="Arial" w:hAnsi="Arial"/>
          <w:sz w:val="16"/>
          <w:szCs w:val="16"/>
          <w:color w:val="auto"/>
        </w:rPr>
      </w:pPr>
      <w:r>
        <w:rPr>
          <w:rFonts w:ascii="Arial" w:cs="Arial" w:eastAsia="Arial" w:hAnsi="Arial"/>
          <w:sz w:val="16"/>
          <w:szCs w:val="16"/>
          <w:color w:val="auto"/>
        </w:rPr>
        <w:t>Mibanco does not have Agents or ATMs because it uses the BCP network. Mibanco branches include Banco de la Nacion branches, which in March 31, 2019, December 31, 2019 and March 31, 2020 were 35.</w:t>
      </w:r>
    </w:p>
    <w:p>
      <w:pPr>
        <w:spacing w:after="0" w:line="34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19" w:right="339" w:bottom="1440" w:gutter="0" w:footer="0" w:header="0"/>
        </w:sectPr>
      </w:pPr>
    </w:p>
    <w:bookmarkStart w:id="196" w:name="page197"/>
    <w:bookmarkEnd w:id="196"/>
    <w:p>
      <w:pPr>
        <w:ind w:left="160"/>
        <w:spacing w:after="0"/>
        <w:rPr>
          <w:sz w:val="20"/>
          <w:szCs w:val="20"/>
          <w:color w:val="auto"/>
        </w:rPr>
      </w:pPr>
      <w:r>
        <w:rPr>
          <w:rFonts w:ascii="Arial" w:cs="Arial" w:eastAsia="Arial" w:hAnsi="Arial"/>
          <w:sz w:val="16"/>
          <w:szCs w:val="16"/>
          <w:b w:val="1"/>
          <w:bCs w:val="1"/>
          <w:i w:val="1"/>
          <w:iCs w:val="1"/>
          <w:color w:val="auto"/>
        </w:rPr>
        <w:t>Universal Banking</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Points of Contact by Geographic Area – BCP</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5"/>
              </w:rPr>
              <w:t>As of</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jc w:val="right"/>
              <w:ind w:right="920"/>
              <w:spacing w:after="0"/>
              <w:rPr>
                <w:sz w:val="20"/>
                <w:szCs w:val="20"/>
                <w:color w:val="auto"/>
              </w:rPr>
            </w:pPr>
            <w:r>
              <w:rPr>
                <w:rFonts w:ascii="Arial" w:cs="Arial" w:eastAsia="Arial" w:hAnsi="Arial"/>
                <w:sz w:val="15"/>
                <w:szCs w:val="15"/>
                <w:b w:val="1"/>
                <w:bCs w:val="1"/>
                <w:color w:val="auto"/>
              </w:rPr>
              <w:t># Change</w:t>
            </w:r>
          </w:p>
        </w:tc>
      </w:tr>
      <w:tr>
        <w:trPr>
          <w:trHeight w:val="167"/>
        </w:trPr>
        <w:tc>
          <w:tcPr>
            <w:tcW w:w="52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top w:val="single" w:sz="8" w:color="auto"/>
            </w:tcBorders>
            <w:gridSpan w:val="2"/>
          </w:tcPr>
          <w:p>
            <w:pPr>
              <w:jc w:val="right"/>
              <w:ind w:right="478"/>
              <w:spacing w:after="0" w:line="167" w:lineRule="exact"/>
              <w:rPr>
                <w:sz w:val="20"/>
                <w:szCs w:val="20"/>
                <w:color w:val="auto"/>
              </w:rPr>
            </w:pPr>
            <w:r>
              <w:rPr>
                <w:rFonts w:ascii="Arial" w:cs="Arial" w:eastAsia="Arial" w:hAnsi="Arial"/>
                <w:sz w:val="15"/>
                <w:szCs w:val="15"/>
                <w:b w:val="1"/>
                <w:bCs w:val="1"/>
                <w:color w:val="auto"/>
              </w:rPr>
              <w:t>March</w:t>
            </w:r>
          </w:p>
        </w:tc>
        <w:tc>
          <w:tcPr>
            <w:tcW w:w="10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4"/>
        </w:trPr>
        <w:tc>
          <w:tcPr>
            <w:tcW w:w="5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146"/>
              <w:spacing w:after="0"/>
              <w:rPr>
                <w:sz w:val="20"/>
                <w:szCs w:val="20"/>
                <w:color w:val="auto"/>
              </w:rPr>
            </w:pPr>
            <w:r>
              <w:rPr>
                <w:rFonts w:ascii="Arial" w:cs="Arial" w:eastAsia="Arial" w:hAnsi="Arial"/>
                <w:sz w:val="15"/>
                <w:szCs w:val="15"/>
                <w:b w:val="1"/>
                <w:bCs w:val="1"/>
                <w:color w:val="auto"/>
              </w:rPr>
              <w:t>31, 2020 /</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5200" w:type="dxa"/>
            <w:vAlign w:val="bottom"/>
          </w:tcPr>
          <w:p>
            <w:pPr>
              <w:spacing w:after="0"/>
              <w:rPr>
                <w:sz w:val="16"/>
                <w:szCs w:val="16"/>
                <w:color w:val="auto"/>
              </w:rPr>
            </w:pPr>
          </w:p>
        </w:tc>
        <w:tc>
          <w:tcPr>
            <w:tcW w:w="1240" w:type="dxa"/>
            <w:vAlign w:val="bottom"/>
            <w:gridSpan w:val="2"/>
          </w:tcPr>
          <w:p>
            <w:pPr>
              <w:ind w:left="300"/>
              <w:spacing w:after="0"/>
              <w:rPr>
                <w:sz w:val="20"/>
                <w:szCs w:val="20"/>
                <w:color w:val="auto"/>
              </w:rPr>
            </w:pPr>
            <w:r>
              <w:rPr>
                <w:rFonts w:ascii="Arial" w:cs="Arial" w:eastAsia="Arial" w:hAnsi="Arial"/>
                <w:sz w:val="15"/>
                <w:szCs w:val="15"/>
                <w:b w:val="1"/>
                <w:bCs w:val="1"/>
                <w:color w:val="auto"/>
              </w:rPr>
              <w:t>March</w:t>
            </w:r>
          </w:p>
        </w:tc>
        <w:tc>
          <w:tcPr>
            <w:tcW w:w="12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December</w:t>
            </w:r>
          </w:p>
        </w:tc>
        <w:tc>
          <w:tcPr>
            <w:tcW w:w="122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March</w:t>
            </w:r>
          </w:p>
        </w:tc>
        <w:tc>
          <w:tcPr>
            <w:tcW w:w="1240" w:type="dxa"/>
            <w:vAlign w:val="bottom"/>
            <w:gridSpan w:val="2"/>
          </w:tcPr>
          <w:p>
            <w:pPr>
              <w:jc w:val="right"/>
              <w:ind w:right="378"/>
              <w:spacing w:after="0"/>
              <w:rPr>
                <w:sz w:val="20"/>
                <w:szCs w:val="20"/>
                <w:color w:val="auto"/>
              </w:rPr>
            </w:pPr>
            <w:r>
              <w:rPr>
                <w:rFonts w:ascii="Arial" w:cs="Arial" w:eastAsia="Arial" w:hAnsi="Arial"/>
                <w:sz w:val="15"/>
                <w:szCs w:val="15"/>
                <w:b w:val="1"/>
                <w:bCs w:val="1"/>
                <w:color w:val="auto"/>
              </w:rPr>
              <w:t>December</w:t>
            </w:r>
          </w:p>
        </w:tc>
        <w:tc>
          <w:tcPr>
            <w:tcW w:w="1100" w:type="dxa"/>
            <w:vAlign w:val="bottom"/>
            <w:gridSpan w:val="3"/>
          </w:tcPr>
          <w:p>
            <w:pPr>
              <w:jc w:val="right"/>
              <w:ind w:right="400"/>
              <w:spacing w:after="0"/>
              <w:rPr>
                <w:sz w:val="20"/>
                <w:szCs w:val="20"/>
                <w:color w:val="auto"/>
              </w:rPr>
            </w:pPr>
            <w:r>
              <w:rPr>
                <w:rFonts w:ascii="Arial" w:cs="Arial" w:eastAsia="Arial" w:hAnsi="Arial"/>
                <w:sz w:val="15"/>
                <w:szCs w:val="15"/>
                <w:b w:val="1"/>
                <w:bCs w:val="1"/>
                <w:color w:val="auto"/>
              </w:rPr>
              <w:t>March</w:t>
            </w:r>
          </w:p>
        </w:tc>
      </w:tr>
      <w:tr>
        <w:trPr>
          <w:trHeight w:val="194"/>
        </w:trPr>
        <w:tc>
          <w:tcPr>
            <w:tcW w:w="52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31, 2019</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31, 2019</w:t>
            </w:r>
          </w:p>
        </w:tc>
        <w:tc>
          <w:tcPr>
            <w:tcW w:w="2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31, 2020</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31, 2019</w:t>
            </w:r>
          </w:p>
        </w:tc>
        <w:tc>
          <w:tcPr>
            <w:tcW w:w="2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0"/>
              </w:rPr>
              <w:t>31, 2020 / 2019</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r>
      <w:tr>
        <w:trPr>
          <w:trHeight w:val="179"/>
        </w:trPr>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Lima</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22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r>
      <w:tr>
        <w:trPr>
          <w:trHeight w:val="191"/>
        </w:trPr>
        <w:tc>
          <w:tcPr>
            <w:tcW w:w="5200" w:type="dxa"/>
            <w:vAlign w:val="bottom"/>
          </w:tcPr>
          <w:p>
            <w:pPr>
              <w:spacing w:after="0"/>
              <w:rPr>
                <w:sz w:val="20"/>
                <w:szCs w:val="20"/>
                <w:color w:val="auto"/>
              </w:rPr>
            </w:pPr>
            <w:r>
              <w:rPr>
                <w:rFonts w:ascii="Arial" w:cs="Arial" w:eastAsia="Arial" w:hAnsi="Arial"/>
                <w:sz w:val="15"/>
                <w:szCs w:val="15"/>
                <w:color w:val="auto"/>
              </w:rPr>
              <w:t>Provinces</w:t>
            </w:r>
          </w:p>
        </w:tc>
        <w:tc>
          <w:tcPr>
            <w:tcW w:w="1020" w:type="dxa"/>
            <w:vAlign w:val="bottom"/>
          </w:tcPr>
          <w:p>
            <w:pPr>
              <w:jc w:val="right"/>
              <w:spacing w:after="0"/>
              <w:rPr>
                <w:sz w:val="20"/>
                <w:szCs w:val="20"/>
                <w:color w:val="auto"/>
              </w:rPr>
            </w:pPr>
            <w:r>
              <w:rPr>
                <w:rFonts w:ascii="Arial" w:cs="Arial" w:eastAsia="Arial" w:hAnsi="Arial"/>
                <w:sz w:val="15"/>
                <w:szCs w:val="15"/>
                <w:color w:val="auto"/>
              </w:rPr>
              <w:t>149</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149</w:t>
            </w: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149</w:t>
            </w:r>
          </w:p>
        </w:tc>
        <w:tc>
          <w:tcPr>
            <w:tcW w:w="1020" w:type="dxa"/>
            <w:vAlign w:val="bottom"/>
          </w:tcPr>
          <w:p>
            <w:pPr>
              <w:jc w:val="right"/>
              <w:spacing w:after="0"/>
              <w:rPr>
                <w:sz w:val="20"/>
                <w:szCs w:val="20"/>
                <w:color w:val="auto"/>
              </w:rPr>
            </w:pPr>
            <w:r>
              <w:rPr>
                <w:rFonts w:ascii="Arial" w:cs="Arial" w:eastAsia="Arial" w:hAnsi="Arial"/>
                <w:sz w:val="15"/>
                <w:szCs w:val="15"/>
                <w:color w:val="auto"/>
              </w:rPr>
              <w:t>0</w:t>
            </w:r>
          </w:p>
        </w:tc>
        <w:tc>
          <w:tcPr>
            <w:tcW w:w="2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16"/>
                <w:szCs w:val="16"/>
                <w:color w:val="auto"/>
              </w:rPr>
            </w:pPr>
          </w:p>
        </w:tc>
      </w:tr>
      <w:tr>
        <w:trPr>
          <w:trHeight w:val="182"/>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Branches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405</w:t>
            </w: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404</w:t>
            </w: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404</w:t>
            </w: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w:t>
            </w: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w:t>
            </w:r>
          </w:p>
        </w:tc>
        <w:tc>
          <w:tcPr>
            <w:tcW w:w="1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8"/>
                <w:szCs w:val="8"/>
                <w:b w:val="1"/>
                <w:bCs w:val="1"/>
                <w:color w:val="auto"/>
                <w:w w:val="73"/>
              </w:rPr>
              <w:t>)</w:t>
            </w:r>
          </w:p>
        </w:tc>
      </w:tr>
      <w:tr>
        <w:trPr>
          <w:trHeight w:val="177"/>
        </w:trPr>
        <w:tc>
          <w:tcPr>
            <w:tcW w:w="5200" w:type="dxa"/>
            <w:vAlign w:val="bottom"/>
          </w:tcPr>
          <w:p>
            <w:pPr>
              <w:spacing w:after="0" w:line="172" w:lineRule="exact"/>
              <w:rPr>
                <w:sz w:val="20"/>
                <w:szCs w:val="20"/>
                <w:color w:val="auto"/>
              </w:rPr>
            </w:pPr>
            <w:r>
              <w:rPr>
                <w:rFonts w:ascii="Arial" w:cs="Arial" w:eastAsia="Arial" w:hAnsi="Arial"/>
                <w:sz w:val="15"/>
                <w:szCs w:val="15"/>
                <w:color w:val="auto"/>
              </w:rPr>
              <w:t>Lima</w:t>
            </w:r>
          </w:p>
        </w:tc>
        <w:tc>
          <w:tcPr>
            <w:tcW w:w="1020" w:type="dxa"/>
            <w:vAlign w:val="bottom"/>
          </w:tcPr>
          <w:p>
            <w:pPr>
              <w:jc w:val="right"/>
              <w:spacing w:after="0"/>
              <w:rPr>
                <w:sz w:val="20"/>
                <w:szCs w:val="20"/>
                <w:color w:val="auto"/>
              </w:rPr>
            </w:pPr>
            <w:r>
              <w:rPr>
                <w:rFonts w:ascii="Arial" w:cs="Arial" w:eastAsia="Arial" w:hAnsi="Arial"/>
                <w:sz w:val="15"/>
                <w:szCs w:val="15"/>
                <w:color w:val="auto"/>
              </w:rPr>
              <w:t>1,490</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1,533</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1,536</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7"/>
        </w:trPr>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Provinces</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754</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752</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755</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r>
      <w:tr>
        <w:trPr>
          <w:trHeight w:val="177"/>
        </w:trPr>
        <w:tc>
          <w:tcPr>
            <w:tcW w:w="5200" w:type="dxa"/>
            <w:vAlign w:val="bottom"/>
            <w:tcBorders>
              <w:bottom w:val="single" w:sz="8" w:color="CCEEFF"/>
            </w:tcBorders>
          </w:tcPr>
          <w:p>
            <w:pPr>
              <w:spacing w:after="0" w:line="172" w:lineRule="exact"/>
              <w:rPr>
                <w:sz w:val="20"/>
                <w:szCs w:val="20"/>
                <w:color w:val="auto"/>
              </w:rPr>
            </w:pPr>
            <w:r>
              <w:rPr>
                <w:rFonts w:ascii="Arial" w:cs="Arial" w:eastAsia="Arial" w:hAnsi="Arial"/>
                <w:sz w:val="15"/>
                <w:szCs w:val="15"/>
                <w:b w:val="1"/>
                <w:bCs w:val="1"/>
                <w:color w:val="auto"/>
              </w:rPr>
              <w:t>Total ATM’s</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2,244</w:t>
            </w:r>
          </w:p>
        </w:tc>
        <w:tc>
          <w:tcPr>
            <w:tcW w:w="22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2,285</w:t>
            </w:r>
          </w:p>
        </w:tc>
        <w:tc>
          <w:tcPr>
            <w:tcW w:w="22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2,291</w:t>
            </w:r>
          </w:p>
        </w:tc>
        <w:tc>
          <w:tcPr>
            <w:tcW w:w="22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w:t>
            </w:r>
          </w:p>
        </w:tc>
        <w:tc>
          <w:tcPr>
            <w:tcW w:w="22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47</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77"/>
        </w:trPr>
        <w:tc>
          <w:tcPr>
            <w:tcW w:w="52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Lima</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3,460</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3,581</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3,418</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00" w:type="dxa"/>
            <w:vAlign w:val="bottom"/>
            <w:gridSpan w:val="2"/>
            <w:shd w:val="clear" w:color="auto" w:fill="CCEEFF"/>
          </w:tcPr>
          <w:p>
            <w:pPr>
              <w:spacing w:after="0"/>
              <w:rPr>
                <w:sz w:val="15"/>
                <w:szCs w:val="15"/>
                <w:color w:val="auto"/>
              </w:rPr>
            </w:pPr>
          </w:p>
        </w:tc>
      </w:tr>
      <w:tr>
        <w:trPr>
          <w:trHeight w:val="191"/>
        </w:trPr>
        <w:tc>
          <w:tcPr>
            <w:tcW w:w="5200" w:type="dxa"/>
            <w:vAlign w:val="bottom"/>
          </w:tcPr>
          <w:p>
            <w:pPr>
              <w:spacing w:after="0"/>
              <w:rPr>
                <w:sz w:val="20"/>
                <w:szCs w:val="20"/>
                <w:color w:val="auto"/>
              </w:rPr>
            </w:pPr>
            <w:r>
              <w:rPr>
                <w:rFonts w:ascii="Arial" w:cs="Arial" w:eastAsia="Arial" w:hAnsi="Arial"/>
                <w:sz w:val="15"/>
                <w:szCs w:val="15"/>
                <w:color w:val="auto"/>
              </w:rPr>
              <w:t>Provinces</w:t>
            </w:r>
          </w:p>
        </w:tc>
        <w:tc>
          <w:tcPr>
            <w:tcW w:w="1020" w:type="dxa"/>
            <w:vAlign w:val="bottom"/>
          </w:tcPr>
          <w:p>
            <w:pPr>
              <w:jc w:val="right"/>
              <w:spacing w:after="0"/>
              <w:rPr>
                <w:sz w:val="20"/>
                <w:szCs w:val="20"/>
                <w:color w:val="auto"/>
              </w:rPr>
            </w:pPr>
            <w:r>
              <w:rPr>
                <w:rFonts w:ascii="Arial" w:cs="Arial" w:eastAsia="Arial" w:hAnsi="Arial"/>
                <w:sz w:val="15"/>
                <w:szCs w:val="15"/>
                <w:color w:val="auto"/>
              </w:rPr>
              <w:t>3,299</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3,606</w:t>
            </w: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3,451</w:t>
            </w:r>
          </w:p>
        </w:tc>
        <w:tc>
          <w:tcPr>
            <w:tcW w:w="1240" w:type="dxa"/>
            <w:vAlign w:val="bottom"/>
            <w:gridSpan w:val="2"/>
          </w:tcPr>
          <w:p>
            <w:pPr>
              <w:jc w:val="right"/>
              <w:ind w:right="138"/>
              <w:spacing w:after="0"/>
              <w:rPr>
                <w:sz w:val="20"/>
                <w:szCs w:val="20"/>
                <w:color w:val="auto"/>
              </w:rPr>
            </w:pPr>
            <w:r>
              <w:rPr>
                <w:rFonts w:ascii="Arial" w:cs="Arial" w:eastAsia="Arial" w:hAnsi="Arial"/>
                <w:sz w:val="15"/>
                <w:szCs w:val="15"/>
                <w:color w:val="auto"/>
              </w:rPr>
              <w:t>(155)</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152</w:t>
            </w:r>
          </w:p>
        </w:tc>
        <w:tc>
          <w:tcPr>
            <w:tcW w:w="80" w:type="dxa"/>
            <w:vAlign w:val="bottom"/>
          </w:tcPr>
          <w:p>
            <w:pPr>
              <w:spacing w:after="0"/>
              <w:rPr>
                <w:sz w:val="16"/>
                <w:szCs w:val="16"/>
                <w:color w:val="auto"/>
              </w:rPr>
            </w:pPr>
          </w:p>
        </w:tc>
      </w:tr>
      <w:tr>
        <w:trPr>
          <w:trHeight w:val="182"/>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Agentes BCP</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6,759</w:t>
            </w: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7,187</w:t>
            </w: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6,869</w:t>
            </w: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(318</w:t>
            </w:r>
          </w:p>
        </w:tc>
        <w:tc>
          <w:tcPr>
            <w:tcW w:w="220" w:type="dxa"/>
            <w:vAlign w:val="bottom"/>
            <w:tcBorders>
              <w:top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b w:val="1"/>
                <w:bCs w:val="1"/>
                <w:color w:val="auto"/>
                <w:w w:val="7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110</w:t>
            </w:r>
          </w:p>
        </w:tc>
        <w:tc>
          <w:tcPr>
            <w:tcW w:w="100" w:type="dxa"/>
            <w:vAlign w:val="bottom"/>
            <w:tcBorders>
              <w:top w:val="single" w:sz="8" w:color="CCEEFF"/>
            </w:tcBorders>
            <w:gridSpan w:val="2"/>
            <w:shd w:val="clear" w:color="auto" w:fill="CCEEFF"/>
          </w:tcPr>
          <w:p>
            <w:pPr>
              <w:spacing w:after="0"/>
              <w:rPr>
                <w:sz w:val="15"/>
                <w:szCs w:val="15"/>
                <w:color w:val="auto"/>
              </w:rPr>
            </w:pPr>
          </w:p>
        </w:tc>
      </w:tr>
      <w:tr>
        <w:trPr>
          <w:trHeight w:val="177"/>
        </w:trPr>
        <w:tc>
          <w:tcPr>
            <w:tcW w:w="5200" w:type="dxa"/>
            <w:vAlign w:val="bottom"/>
          </w:tcPr>
          <w:p>
            <w:pPr>
              <w:spacing w:after="0" w:line="172" w:lineRule="exact"/>
              <w:rPr>
                <w:sz w:val="20"/>
                <w:szCs w:val="20"/>
                <w:color w:val="auto"/>
              </w:rPr>
            </w:pPr>
            <w:r>
              <w:rPr>
                <w:rFonts w:ascii="Arial" w:cs="Arial" w:eastAsia="Arial" w:hAnsi="Arial"/>
                <w:sz w:val="15"/>
                <w:szCs w:val="15"/>
                <w:b w:val="1"/>
                <w:bCs w:val="1"/>
                <w:color w:val="auto"/>
              </w:rPr>
              <w:t>Total Points of Contact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9,408</w:t>
            </w: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9,876</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9,564</w:t>
            </w: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(312</w:t>
            </w:r>
          </w:p>
        </w:tc>
        <w:tc>
          <w:tcPr>
            <w:tcW w:w="220" w:type="dxa"/>
            <w:vAlign w:val="bottom"/>
          </w:tcPr>
          <w:p>
            <w:pPr>
              <w:jc w:val="right"/>
              <w:ind w:right="138"/>
              <w:spacing w:after="0"/>
              <w:rPr>
                <w:sz w:val="20"/>
                <w:szCs w:val="20"/>
                <w:color w:val="auto"/>
              </w:rPr>
            </w:pPr>
            <w:r>
              <w:rPr>
                <w:rFonts w:ascii="Arial" w:cs="Arial" w:eastAsia="Arial" w:hAnsi="Arial"/>
                <w:sz w:val="8"/>
                <w:szCs w:val="8"/>
                <w:b w:val="1"/>
                <w:bCs w:val="1"/>
                <w:color w:val="auto"/>
                <w:w w:val="73"/>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156</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bl>
    <w:p>
      <w:pPr>
        <w:spacing w:after="0" w:line="184" w:lineRule="exact"/>
        <w:rPr>
          <w:sz w:val="20"/>
          <w:szCs w:val="20"/>
          <w:color w:val="auto"/>
        </w:rPr>
      </w:pPr>
    </w:p>
    <w:p>
      <w:pPr>
        <w:ind w:right="120" w:firstLine="295"/>
        <w:spacing w:after="0" w:line="262" w:lineRule="auto"/>
        <w:rPr>
          <w:sz w:val="20"/>
          <w:szCs w:val="20"/>
          <w:color w:val="auto"/>
        </w:rPr>
      </w:pPr>
      <w:r>
        <w:rPr>
          <w:rFonts w:ascii="Arial" w:cs="Arial" w:eastAsia="Arial" w:hAnsi="Arial"/>
          <w:sz w:val="16"/>
          <w:szCs w:val="16"/>
          <w:color w:val="auto"/>
        </w:rPr>
        <w:t>BCP recorded a decrease of 312 points of contact comparing March 31, 2020 to December 31, 2019, to a total of 9,564 points as of March 31, 2020. The decline was due primarily to a decrease in the number of Agentes BCP, which fell 318 points (163 points in Lima and 155 in the provinces). Our service channels are evaluated on a regular basis to determine if they should remain open or be relocated. Decisions on these matters are executed in the first quarter of the year. In 2020, the plan was to relocate a large number of agents. As such, non-performing channels were closed at the beginning of the first quarter of 2020. In addition, the outbreak of COVID-19 and the government measures ordering the population to shelter in place adversely affected BCP’s plans to relocate certain Agentes, which is expected to commence when the state of emergency is lifted.</w:t>
      </w:r>
    </w:p>
    <w:p>
      <w:pPr>
        <w:spacing w:after="0" w:line="171" w:lineRule="exact"/>
        <w:rPr>
          <w:sz w:val="20"/>
          <w:szCs w:val="20"/>
          <w:color w:val="auto"/>
        </w:rPr>
      </w:pPr>
    </w:p>
    <w:p>
      <w:pPr>
        <w:ind w:right="180" w:firstLine="295"/>
        <w:spacing w:after="0" w:line="322" w:lineRule="auto"/>
        <w:rPr>
          <w:sz w:val="20"/>
          <w:szCs w:val="20"/>
          <w:color w:val="auto"/>
        </w:rPr>
      </w:pPr>
      <w:r>
        <w:rPr>
          <w:rFonts w:ascii="Arial" w:cs="Arial" w:eastAsia="Arial" w:hAnsi="Arial"/>
          <w:sz w:val="15"/>
          <w:szCs w:val="15"/>
          <w:color w:val="auto"/>
        </w:rPr>
        <w:t>The number of branches between December 31, 2019 and March 31, 2020 remained stable and ATMs increased by six. Growth at the branch level was seen in areas that required more coverage to meet the needs of BCP’s clients. Expansion in ATMs was due to openings of neutral points in Lima and in certain provinces.</w:t>
      </w:r>
    </w:p>
    <w:p>
      <w:pPr>
        <w:spacing w:after="0" w:line="127" w:lineRule="exact"/>
        <w:rPr>
          <w:sz w:val="20"/>
          <w:szCs w:val="20"/>
          <w:color w:val="auto"/>
        </w:rPr>
      </w:pPr>
    </w:p>
    <w:p>
      <w:pPr>
        <w:ind w:right="40" w:firstLine="295"/>
        <w:spacing w:after="0" w:line="266" w:lineRule="auto"/>
        <w:rPr>
          <w:sz w:val="20"/>
          <w:szCs w:val="20"/>
          <w:color w:val="auto"/>
        </w:rPr>
      </w:pPr>
      <w:r>
        <w:rPr>
          <w:rFonts w:ascii="Arial" w:cs="Arial" w:eastAsia="Arial" w:hAnsi="Arial"/>
          <w:sz w:val="16"/>
          <w:szCs w:val="16"/>
          <w:color w:val="auto"/>
        </w:rPr>
        <w:t>Comparing March 31, 2020 to March 31, 2019, BCP’s total points of contact increased by 156 points. This was driven primarily by growth in Agentes BCP in the provinces (152) and by an increase in ATMs (47) after neutral points were installed in Lima and new modules were set up at our branches in Lima and Callao in 2019. The abovementioned reflects the bank’s strategy to be closer to our clients and to the population that has yet to access the financial system by providing cost-efficient channels and ensuring better coverage in locations where we already have a presence.</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Transactions per Channel – BCP Stand-alone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Transactions per Channel – BCP Stand-alone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9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1"/>
                <w:szCs w:val="11"/>
                <w:b w:val="1"/>
                <w:bCs w:val="1"/>
                <w:color w:val="auto"/>
              </w:rPr>
              <w:t>Monthly Average in Each Quarter</w:t>
            </w:r>
          </w:p>
        </w:tc>
        <w:tc>
          <w:tcPr>
            <w:tcW w:w="10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 Change</w:t>
            </w: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920" w:type="dxa"/>
            <w:vAlign w:val="bottom"/>
          </w:tcPr>
          <w:p>
            <w:pPr>
              <w:spacing w:after="0"/>
              <w:rPr>
                <w:sz w:val="8"/>
                <w:szCs w:val="8"/>
                <w:color w:val="auto"/>
              </w:rPr>
            </w:pPr>
          </w:p>
        </w:tc>
        <w:tc>
          <w:tcPr>
            <w:tcW w:w="180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N</w:t>
            </w:r>
            <w:r>
              <w:rPr>
                <w:rFonts w:ascii="Arial" w:cs="Arial" w:eastAsia="Arial" w:hAnsi="Arial"/>
                <w:sz w:val="11"/>
                <w:szCs w:val="11"/>
                <w:color w:val="auto"/>
              </w:rPr>
              <w:t>o.</w:t>
            </w:r>
            <w:r>
              <w:rPr>
                <w:rFonts w:ascii="Arial" w:cs="Arial" w:eastAsia="Arial" w:hAnsi="Arial"/>
                <w:sz w:val="11"/>
                <w:szCs w:val="11"/>
                <w:b w:val="1"/>
                <w:bCs w:val="1"/>
                <w:color w:val="auto"/>
              </w:rPr>
              <w:t xml:space="preserve"> of Transactions per</w:t>
            </w:r>
          </w:p>
        </w:tc>
        <w:tc>
          <w:tcPr>
            <w:tcW w:w="120" w:type="dxa"/>
            <w:vAlign w:val="bottom"/>
          </w:tcPr>
          <w:p>
            <w:pPr>
              <w:spacing w:after="0"/>
              <w:rPr>
                <w:sz w:val="8"/>
                <w:szCs w:val="8"/>
                <w:color w:val="auto"/>
              </w:rPr>
            </w:pPr>
          </w:p>
        </w:tc>
        <w:tc>
          <w:tcPr>
            <w:tcW w:w="1240" w:type="dxa"/>
            <w:vAlign w:val="bottom"/>
            <w:gridSpan w:val="2"/>
          </w:tcPr>
          <w:p>
            <w:pPr>
              <w:jc w:val="center"/>
              <w:ind w:right="200"/>
              <w:spacing w:after="0" w:line="100" w:lineRule="exact"/>
              <w:rPr>
                <w:sz w:val="20"/>
                <w:szCs w:val="20"/>
                <w:color w:val="auto"/>
              </w:rPr>
            </w:pPr>
            <w:r>
              <w:rPr>
                <w:rFonts w:ascii="Arial" w:cs="Arial" w:eastAsia="Arial" w:hAnsi="Arial"/>
                <w:sz w:val="11"/>
                <w:szCs w:val="11"/>
                <w:b w:val="1"/>
                <w:bCs w:val="1"/>
                <w:color w:val="auto"/>
                <w:w w:val="94"/>
              </w:rPr>
              <w:t>Three Months</w:t>
            </w: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gridSpan w:val="2"/>
          </w:tcPr>
          <w:p>
            <w:pPr>
              <w:jc w:val="center"/>
              <w:ind w:right="240"/>
              <w:spacing w:after="0" w:line="100" w:lineRule="exact"/>
              <w:rPr>
                <w:sz w:val="20"/>
                <w:szCs w:val="20"/>
                <w:color w:val="auto"/>
              </w:rPr>
            </w:pPr>
            <w:r>
              <w:rPr>
                <w:rFonts w:ascii="Arial" w:cs="Arial" w:eastAsia="Arial" w:hAnsi="Arial"/>
                <w:sz w:val="11"/>
                <w:szCs w:val="11"/>
                <w:b w:val="1"/>
                <w:bCs w:val="1"/>
                <w:color w:val="auto"/>
                <w:w w:val="96"/>
              </w:rPr>
              <w:t>Three Months</w:t>
            </w: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96"/>
              </w:rPr>
              <w:t>Three Months</w:t>
            </w: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9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jc w:val="center"/>
              <w:ind w:right="200"/>
              <w:spacing w:after="0" w:line="114" w:lineRule="exact"/>
              <w:rPr>
                <w:sz w:val="20"/>
                <w:szCs w:val="20"/>
                <w:color w:val="auto"/>
              </w:rPr>
            </w:pPr>
            <w:r>
              <w:rPr>
                <w:rFonts w:ascii="Arial" w:cs="Arial" w:eastAsia="Arial" w:hAnsi="Arial"/>
                <w:sz w:val="11"/>
                <w:szCs w:val="11"/>
                <w:b w:val="1"/>
                <w:bCs w:val="1"/>
                <w:color w:val="auto"/>
                <w:w w:val="98"/>
              </w:rPr>
              <w:t>Ended March</w:t>
            </w: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gridSpan w:val="2"/>
          </w:tcPr>
          <w:p>
            <w:pPr>
              <w:jc w:val="center"/>
              <w:ind w:right="220"/>
              <w:spacing w:after="0" w:line="114" w:lineRule="exact"/>
              <w:rPr>
                <w:sz w:val="20"/>
                <w:szCs w:val="20"/>
                <w:color w:val="auto"/>
              </w:rPr>
            </w:pPr>
            <w:r>
              <w:rPr>
                <w:rFonts w:ascii="Arial" w:cs="Arial" w:eastAsia="Arial" w:hAnsi="Arial"/>
                <w:sz w:val="11"/>
                <w:szCs w:val="11"/>
                <w:b w:val="1"/>
                <w:bCs w:val="1"/>
                <w:color w:val="auto"/>
                <w:w w:val="93"/>
              </w:rPr>
              <w:t>Ended December</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tcPr>
          <w:p>
            <w:pPr>
              <w:jc w:val="center"/>
              <w:ind w:right="220"/>
              <w:spacing w:after="0" w:line="114" w:lineRule="exact"/>
              <w:rPr>
                <w:sz w:val="20"/>
                <w:szCs w:val="20"/>
                <w:color w:val="auto"/>
              </w:rPr>
            </w:pPr>
            <w:r>
              <w:rPr>
                <w:rFonts w:ascii="Arial" w:cs="Arial" w:eastAsia="Arial" w:hAnsi="Arial"/>
                <w:sz w:val="11"/>
                <w:szCs w:val="11"/>
                <w:b w:val="1"/>
                <w:bCs w:val="1"/>
                <w:color w:val="auto"/>
                <w:w w:val="95"/>
              </w:rPr>
              <w:t>Ended March</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gridSpan w:val="2"/>
          </w:tcPr>
          <w:p>
            <w:pPr>
              <w:jc w:val="right"/>
              <w:ind w:right="480"/>
              <w:spacing w:after="0" w:line="114" w:lineRule="exact"/>
              <w:rPr>
                <w:sz w:val="20"/>
                <w:szCs w:val="20"/>
                <w:color w:val="auto"/>
              </w:rPr>
            </w:pPr>
            <w:r>
              <w:rPr>
                <w:rFonts w:ascii="Arial" w:cs="Arial" w:eastAsia="Arial" w:hAnsi="Arial"/>
                <w:sz w:val="11"/>
                <w:szCs w:val="11"/>
                <w:b w:val="1"/>
                <w:bCs w:val="1"/>
                <w:color w:val="auto"/>
              </w:rPr>
              <w:t>Quarter on</w:t>
            </w:r>
          </w:p>
        </w:tc>
        <w:tc>
          <w:tcPr>
            <w:tcW w:w="780" w:type="dxa"/>
            <w:vAlign w:val="bottom"/>
            <w:gridSpan w:val="2"/>
          </w:tcPr>
          <w:p>
            <w:pPr>
              <w:jc w:val="right"/>
              <w:ind w:right="260"/>
              <w:spacing w:after="0" w:line="114" w:lineRule="exact"/>
              <w:rPr>
                <w:sz w:val="20"/>
                <w:szCs w:val="20"/>
                <w:color w:val="auto"/>
              </w:rPr>
            </w:pPr>
            <w:r>
              <w:rPr>
                <w:rFonts w:ascii="Arial" w:cs="Arial" w:eastAsia="Arial" w:hAnsi="Arial"/>
                <w:sz w:val="11"/>
                <w:szCs w:val="11"/>
                <w:b w:val="1"/>
                <w:bCs w:val="1"/>
                <w:color w:val="auto"/>
              </w:rPr>
              <w:t>Year on</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800" w:type="dxa"/>
            <w:vAlign w:val="bottom"/>
            <w:tcBorders>
              <w:bottom w:val="single" w:sz="8" w:color="auto"/>
            </w:tcBorders>
          </w:tcPr>
          <w:p>
            <w:pPr>
              <w:ind w:left="640"/>
              <w:spacing w:after="0"/>
              <w:rPr>
                <w:sz w:val="20"/>
                <w:szCs w:val="20"/>
                <w:color w:val="auto"/>
              </w:rPr>
            </w:pPr>
            <w:r>
              <w:rPr>
                <w:rFonts w:ascii="Arial" w:cs="Arial" w:eastAsia="Arial" w:hAnsi="Arial"/>
                <w:sz w:val="11"/>
                <w:szCs w:val="11"/>
                <w:b w:val="1"/>
                <w:bCs w:val="1"/>
                <w:color w:val="auto"/>
              </w:rPr>
              <w:t>channel(1)</w:t>
            </w:r>
          </w:p>
        </w:tc>
        <w:tc>
          <w:tcPr>
            <w:tcW w:w="1140" w:type="dxa"/>
            <w:vAlign w:val="bottom"/>
            <w:gridSpan w:val="2"/>
          </w:tcPr>
          <w:p>
            <w:pPr>
              <w:jc w:val="center"/>
              <w:ind w:left="83"/>
              <w:spacing w:after="0"/>
              <w:rPr>
                <w:sz w:val="20"/>
                <w:szCs w:val="20"/>
                <w:color w:val="auto"/>
              </w:rPr>
            </w:pPr>
            <w:r>
              <w:rPr>
                <w:rFonts w:ascii="Arial" w:cs="Arial" w:eastAsia="Arial" w:hAnsi="Arial"/>
                <w:sz w:val="11"/>
                <w:szCs w:val="11"/>
                <w:b w:val="1"/>
                <w:bCs w:val="1"/>
                <w:color w:val="auto"/>
                <w:w w:val="93"/>
              </w:rPr>
              <w:t>31, 2019</w:t>
            </w:r>
          </w:p>
        </w:tc>
        <w:tc>
          <w:tcPr>
            <w:tcW w:w="220" w:type="dxa"/>
            <w:vAlign w:val="bottom"/>
          </w:tcPr>
          <w:p>
            <w:pPr>
              <w:spacing w:after="0"/>
              <w:rPr>
                <w:sz w:val="11"/>
                <w:szCs w:val="11"/>
                <w:color w:val="auto"/>
              </w:rPr>
            </w:pPr>
          </w:p>
        </w:tc>
        <w:tc>
          <w:tcPr>
            <w:tcW w:w="680" w:type="dxa"/>
            <w:vAlign w:val="bottom"/>
          </w:tcPr>
          <w:p>
            <w:pPr>
              <w:jc w:val="right"/>
              <w:ind w:right="223"/>
              <w:spacing w:after="0"/>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3"/>
              </w:rPr>
              <w:t>31, 2019</w:t>
            </w:r>
          </w:p>
        </w:tc>
        <w:tc>
          <w:tcPr>
            <w:tcW w:w="220" w:type="dxa"/>
            <w:vAlign w:val="bottom"/>
          </w:tcPr>
          <w:p>
            <w:pPr>
              <w:spacing w:after="0"/>
              <w:rPr>
                <w:sz w:val="11"/>
                <w:szCs w:val="11"/>
                <w:color w:val="auto"/>
              </w:rPr>
            </w:pPr>
          </w:p>
        </w:tc>
        <w:tc>
          <w:tcPr>
            <w:tcW w:w="660" w:type="dxa"/>
            <w:vAlign w:val="bottom"/>
          </w:tcPr>
          <w:p>
            <w:pPr>
              <w:jc w:val="right"/>
              <w:ind w:right="203"/>
              <w:spacing w:after="0"/>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93"/>
              </w:rPr>
              <w:t>31, 2020</w:t>
            </w:r>
          </w:p>
        </w:tc>
        <w:tc>
          <w:tcPr>
            <w:tcW w:w="220" w:type="dxa"/>
            <w:vAlign w:val="bottom"/>
          </w:tcPr>
          <w:p>
            <w:pPr>
              <w:spacing w:after="0"/>
              <w:rPr>
                <w:sz w:val="11"/>
                <w:szCs w:val="11"/>
                <w:color w:val="auto"/>
              </w:rPr>
            </w:pPr>
          </w:p>
        </w:tc>
        <w:tc>
          <w:tcPr>
            <w:tcW w:w="660" w:type="dxa"/>
            <w:vAlign w:val="bottom"/>
          </w:tcPr>
          <w:p>
            <w:pPr>
              <w:jc w:val="right"/>
              <w:ind w:right="223"/>
              <w:spacing w:after="0"/>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1"/>
                <w:szCs w:val="11"/>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rPr>
              <w:t>Quarter</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Year</w:t>
            </w:r>
          </w:p>
        </w:tc>
        <w:tc>
          <w:tcPr>
            <w:tcW w:w="0" w:type="dxa"/>
            <w:vAlign w:val="bottom"/>
          </w:tcPr>
          <w:p>
            <w:pPr>
              <w:spacing w:after="0"/>
              <w:rPr>
                <w:sz w:val="1"/>
                <w:szCs w:val="1"/>
                <w:color w:val="auto"/>
              </w:rPr>
            </w:pPr>
          </w:p>
        </w:tc>
      </w:tr>
      <w:tr>
        <w:trPr>
          <w:trHeight w:val="20"/>
        </w:trPr>
        <w:tc>
          <w:tcPr>
            <w:tcW w:w="920" w:type="dxa"/>
            <w:vAlign w:val="bottom"/>
            <w:vMerge w:val="restart"/>
            <w:shd w:val="clear" w:color="auto" w:fill="CCEEFF"/>
          </w:tcPr>
          <w:p>
            <w:pPr>
              <w:spacing w:after="0"/>
              <w:rPr>
                <w:sz w:val="20"/>
                <w:szCs w:val="20"/>
                <w:color w:val="auto"/>
              </w:rPr>
            </w:pPr>
            <w:r>
              <w:rPr>
                <w:rFonts w:ascii="Arial" w:cs="Arial" w:eastAsia="Arial" w:hAnsi="Arial"/>
                <w:sz w:val="11"/>
                <w:szCs w:val="11"/>
                <w:b w:val="1"/>
                <w:bCs w:val="1"/>
                <w:color w:val="auto"/>
              </w:rPr>
              <w:t>Traditional</w:t>
            </w:r>
          </w:p>
        </w:tc>
        <w:tc>
          <w:tcPr>
            <w:tcW w:w="180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Teller</w:t>
            </w:r>
          </w:p>
        </w:tc>
        <w:tc>
          <w:tcPr>
            <w:tcW w:w="1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920" w:type="dxa"/>
            <w:vAlign w:val="bottom"/>
            <w:vMerge w:val="continue"/>
            <w:shd w:val="clear" w:color="auto" w:fill="CCEEFF"/>
          </w:tcPr>
          <w:p>
            <w:pPr>
              <w:spacing w:after="0"/>
              <w:rPr>
                <w:sz w:val="9"/>
                <w:szCs w:val="9"/>
                <w:color w:val="auto"/>
              </w:rPr>
            </w:pPr>
          </w:p>
        </w:tc>
        <w:tc>
          <w:tcPr>
            <w:tcW w:w="1800" w:type="dxa"/>
            <w:vAlign w:val="bottom"/>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020" w:type="dxa"/>
            <w:vAlign w:val="bottom"/>
            <w:shd w:val="clear" w:color="auto" w:fill="CCEEFF"/>
          </w:tcPr>
          <w:p>
            <w:pPr>
              <w:jc w:val="right"/>
              <w:spacing w:after="0" w:line="107" w:lineRule="exact"/>
              <w:rPr>
                <w:sz w:val="20"/>
                <w:szCs w:val="20"/>
                <w:color w:val="auto"/>
              </w:rPr>
            </w:pPr>
            <w:r>
              <w:rPr>
                <w:rFonts w:ascii="Arial" w:cs="Arial" w:eastAsia="Arial" w:hAnsi="Arial"/>
                <w:sz w:val="11"/>
                <w:szCs w:val="11"/>
                <w:color w:val="auto"/>
              </w:rPr>
              <w:t>7,836,871</w:t>
            </w:r>
          </w:p>
        </w:tc>
        <w:tc>
          <w:tcPr>
            <w:tcW w:w="220" w:type="dxa"/>
            <w:vAlign w:val="bottom"/>
            <w:vMerge w:val="continue"/>
            <w:shd w:val="clear" w:color="auto" w:fill="CCEEFF"/>
          </w:tcPr>
          <w:p>
            <w:pPr>
              <w:spacing w:after="0"/>
              <w:rPr>
                <w:sz w:val="9"/>
                <w:szCs w:val="9"/>
                <w:color w:val="auto"/>
              </w:rPr>
            </w:pPr>
          </w:p>
        </w:tc>
        <w:tc>
          <w:tcPr>
            <w:tcW w:w="900" w:type="dxa"/>
            <w:vAlign w:val="bottom"/>
            <w:gridSpan w:val="2"/>
            <w:shd w:val="clear" w:color="auto" w:fill="CCEEFF"/>
          </w:tcPr>
          <w:p>
            <w:pPr>
              <w:jc w:val="right"/>
              <w:ind w:right="140"/>
              <w:spacing w:after="0" w:line="107" w:lineRule="exact"/>
              <w:rPr>
                <w:sz w:val="20"/>
                <w:szCs w:val="20"/>
                <w:color w:val="auto"/>
              </w:rPr>
            </w:pPr>
            <w:r>
              <w:rPr>
                <w:rFonts w:ascii="Arial" w:cs="Arial" w:eastAsia="Arial" w:hAnsi="Arial"/>
                <w:sz w:val="11"/>
                <w:szCs w:val="11"/>
                <w:color w:val="auto"/>
              </w:rPr>
              <w:t>4.4%</w:t>
            </w:r>
          </w:p>
        </w:tc>
        <w:tc>
          <w:tcPr>
            <w:tcW w:w="1000" w:type="dxa"/>
            <w:vAlign w:val="bottom"/>
            <w:shd w:val="clear" w:color="auto" w:fill="CCEEFF"/>
          </w:tcPr>
          <w:p>
            <w:pPr>
              <w:jc w:val="right"/>
              <w:spacing w:after="0" w:line="107" w:lineRule="exact"/>
              <w:rPr>
                <w:sz w:val="20"/>
                <w:szCs w:val="20"/>
                <w:color w:val="auto"/>
              </w:rPr>
            </w:pPr>
            <w:r>
              <w:rPr>
                <w:rFonts w:ascii="Arial" w:cs="Arial" w:eastAsia="Arial" w:hAnsi="Arial"/>
                <w:sz w:val="11"/>
                <w:szCs w:val="11"/>
                <w:color w:val="auto"/>
              </w:rPr>
              <w:t>7,715,870</w:t>
            </w:r>
          </w:p>
        </w:tc>
        <w:tc>
          <w:tcPr>
            <w:tcW w:w="220" w:type="dxa"/>
            <w:vAlign w:val="bottom"/>
            <w:vMerge w:val="continue"/>
            <w:shd w:val="clear" w:color="auto" w:fill="CCEEFF"/>
          </w:tcPr>
          <w:p>
            <w:pPr>
              <w:spacing w:after="0"/>
              <w:rPr>
                <w:sz w:val="9"/>
                <w:szCs w:val="9"/>
                <w:color w:val="auto"/>
              </w:rPr>
            </w:pPr>
          </w:p>
        </w:tc>
        <w:tc>
          <w:tcPr>
            <w:tcW w:w="880" w:type="dxa"/>
            <w:vAlign w:val="bottom"/>
            <w:gridSpan w:val="2"/>
            <w:shd w:val="clear" w:color="auto" w:fill="CCEEFF"/>
          </w:tcPr>
          <w:p>
            <w:pPr>
              <w:jc w:val="right"/>
              <w:ind w:right="120"/>
              <w:spacing w:after="0" w:line="107" w:lineRule="exact"/>
              <w:rPr>
                <w:sz w:val="20"/>
                <w:szCs w:val="20"/>
                <w:color w:val="auto"/>
              </w:rPr>
            </w:pPr>
            <w:r>
              <w:rPr>
                <w:rFonts w:ascii="Arial" w:cs="Arial" w:eastAsia="Arial" w:hAnsi="Arial"/>
                <w:sz w:val="11"/>
                <w:szCs w:val="11"/>
                <w:color w:val="auto"/>
              </w:rPr>
              <w:t>3.1%</w:t>
            </w:r>
          </w:p>
        </w:tc>
        <w:tc>
          <w:tcPr>
            <w:tcW w:w="1020" w:type="dxa"/>
            <w:vAlign w:val="bottom"/>
            <w:shd w:val="clear" w:color="auto" w:fill="CCEEFF"/>
          </w:tcPr>
          <w:p>
            <w:pPr>
              <w:jc w:val="right"/>
              <w:spacing w:after="0" w:line="107" w:lineRule="exact"/>
              <w:rPr>
                <w:sz w:val="20"/>
                <w:szCs w:val="20"/>
                <w:color w:val="auto"/>
              </w:rPr>
            </w:pPr>
            <w:r>
              <w:rPr>
                <w:rFonts w:ascii="Arial" w:cs="Arial" w:eastAsia="Arial" w:hAnsi="Arial"/>
                <w:sz w:val="11"/>
                <w:szCs w:val="11"/>
                <w:color w:val="auto"/>
              </w:rPr>
              <w:t>6,699,584</w:t>
            </w:r>
          </w:p>
        </w:tc>
        <w:tc>
          <w:tcPr>
            <w:tcW w:w="220" w:type="dxa"/>
            <w:vAlign w:val="bottom"/>
            <w:vMerge w:val="continue"/>
            <w:shd w:val="clear" w:color="auto" w:fill="CCEEFF"/>
          </w:tcPr>
          <w:p>
            <w:pPr>
              <w:spacing w:after="0"/>
              <w:rPr>
                <w:sz w:val="9"/>
                <w:szCs w:val="9"/>
                <w:color w:val="auto"/>
              </w:rPr>
            </w:pPr>
          </w:p>
        </w:tc>
        <w:tc>
          <w:tcPr>
            <w:tcW w:w="880" w:type="dxa"/>
            <w:vAlign w:val="bottom"/>
            <w:gridSpan w:val="2"/>
            <w:shd w:val="clear" w:color="auto" w:fill="CCEEFF"/>
          </w:tcPr>
          <w:p>
            <w:pPr>
              <w:jc w:val="right"/>
              <w:ind w:right="120"/>
              <w:spacing w:after="0" w:line="107" w:lineRule="exact"/>
              <w:rPr>
                <w:sz w:val="20"/>
                <w:szCs w:val="20"/>
                <w:color w:val="auto"/>
              </w:rPr>
            </w:pPr>
            <w:r>
              <w:rPr>
                <w:rFonts w:ascii="Arial" w:cs="Arial" w:eastAsia="Arial" w:hAnsi="Arial"/>
                <w:sz w:val="11"/>
                <w:szCs w:val="11"/>
                <w:color w:val="auto"/>
              </w:rPr>
              <w:t>2.9%</w:t>
            </w:r>
          </w:p>
        </w:tc>
        <w:tc>
          <w:tcPr>
            <w:tcW w:w="1260" w:type="dxa"/>
            <w:vAlign w:val="bottom"/>
            <w:gridSpan w:val="2"/>
            <w:shd w:val="clear" w:color="auto" w:fill="CCEEFF"/>
          </w:tcPr>
          <w:p>
            <w:pPr>
              <w:jc w:val="right"/>
              <w:ind w:right="120"/>
              <w:spacing w:after="0" w:line="107" w:lineRule="exact"/>
              <w:rPr>
                <w:sz w:val="20"/>
                <w:szCs w:val="20"/>
                <w:color w:val="auto"/>
              </w:rPr>
            </w:pPr>
            <w:r>
              <w:rPr>
                <w:rFonts w:ascii="Arial" w:cs="Arial" w:eastAsia="Arial" w:hAnsi="Arial"/>
                <w:sz w:val="11"/>
                <w:szCs w:val="11"/>
                <w:color w:val="auto"/>
              </w:rPr>
              <w:t>(13.2)%</w:t>
            </w:r>
          </w:p>
        </w:tc>
        <w:tc>
          <w:tcPr>
            <w:tcW w:w="780" w:type="dxa"/>
            <w:vAlign w:val="bottom"/>
            <w:gridSpan w:val="2"/>
            <w:shd w:val="clear" w:color="auto" w:fill="CCEEFF"/>
          </w:tcPr>
          <w:p>
            <w:pPr>
              <w:jc w:val="right"/>
              <w:spacing w:after="0" w:line="107" w:lineRule="exact"/>
              <w:rPr>
                <w:sz w:val="20"/>
                <w:szCs w:val="20"/>
                <w:color w:val="auto"/>
              </w:rPr>
            </w:pPr>
            <w:r>
              <w:rPr>
                <w:rFonts w:ascii="Arial" w:cs="Arial" w:eastAsia="Arial" w:hAnsi="Arial"/>
                <w:sz w:val="11"/>
                <w:szCs w:val="11"/>
                <w:color w:val="auto"/>
              </w:rPr>
              <w:t>(14.5)%</w:t>
            </w:r>
          </w:p>
        </w:tc>
        <w:tc>
          <w:tcPr>
            <w:tcW w:w="0" w:type="dxa"/>
            <w:vAlign w:val="bottom"/>
          </w:tcPr>
          <w:p>
            <w:pPr>
              <w:spacing w:after="0"/>
              <w:rPr>
                <w:sz w:val="1"/>
                <w:szCs w:val="1"/>
                <w:color w:val="auto"/>
              </w:rPr>
            </w:pPr>
          </w:p>
        </w:tc>
      </w:tr>
      <w:tr>
        <w:trPr>
          <w:trHeight w:val="123"/>
        </w:trPr>
        <w:tc>
          <w:tcPr>
            <w:tcW w:w="920" w:type="dxa"/>
            <w:vAlign w:val="bottom"/>
          </w:tcPr>
          <w:p>
            <w:pPr>
              <w:spacing w:after="0" w:line="123" w:lineRule="exact"/>
              <w:rPr>
                <w:sz w:val="20"/>
                <w:szCs w:val="20"/>
                <w:color w:val="auto"/>
              </w:rPr>
            </w:pPr>
            <w:r>
              <w:rPr>
                <w:rFonts w:ascii="Arial" w:cs="Arial" w:eastAsia="Arial" w:hAnsi="Arial"/>
                <w:sz w:val="11"/>
                <w:szCs w:val="11"/>
                <w:b w:val="1"/>
                <w:bCs w:val="1"/>
                <w:color w:val="auto"/>
              </w:rPr>
              <w:t>channels</w:t>
            </w:r>
          </w:p>
        </w:tc>
        <w:tc>
          <w:tcPr>
            <w:tcW w:w="1800" w:type="dxa"/>
            <w:vAlign w:val="bottom"/>
          </w:tcPr>
          <w:p>
            <w:pPr>
              <w:spacing w:after="0" w:line="123" w:lineRule="exact"/>
              <w:rPr>
                <w:sz w:val="20"/>
                <w:szCs w:val="20"/>
                <w:color w:val="auto"/>
              </w:rPr>
            </w:pPr>
            <w:r>
              <w:rPr>
                <w:rFonts w:ascii="Arial" w:cs="Arial" w:eastAsia="Arial" w:hAnsi="Arial"/>
                <w:sz w:val="11"/>
                <w:szCs w:val="11"/>
                <w:color w:val="auto"/>
              </w:rPr>
              <w:t>Telephone banking</w:t>
            </w:r>
          </w:p>
        </w:tc>
        <w:tc>
          <w:tcPr>
            <w:tcW w:w="1360" w:type="dxa"/>
            <w:vAlign w:val="bottom"/>
            <w:gridSpan w:val="3"/>
          </w:tcPr>
          <w:p>
            <w:pPr>
              <w:jc w:val="right"/>
              <w:ind w:right="220"/>
              <w:spacing w:after="0" w:line="123" w:lineRule="exact"/>
              <w:rPr>
                <w:sz w:val="20"/>
                <w:szCs w:val="20"/>
                <w:color w:val="auto"/>
              </w:rPr>
            </w:pPr>
            <w:r>
              <w:rPr>
                <w:rFonts w:ascii="Arial" w:cs="Arial" w:eastAsia="Arial" w:hAnsi="Arial"/>
                <w:sz w:val="11"/>
                <w:szCs w:val="11"/>
                <w:color w:val="auto"/>
              </w:rPr>
              <w:t>4,947,564</w:t>
            </w:r>
          </w:p>
        </w:tc>
        <w:tc>
          <w:tcPr>
            <w:tcW w:w="9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2.8%</w:t>
            </w:r>
          </w:p>
        </w:tc>
        <w:tc>
          <w:tcPr>
            <w:tcW w:w="1000" w:type="dxa"/>
            <w:vAlign w:val="bottom"/>
          </w:tcPr>
          <w:p>
            <w:pPr>
              <w:jc w:val="right"/>
              <w:spacing w:after="0" w:line="123" w:lineRule="exact"/>
              <w:rPr>
                <w:sz w:val="20"/>
                <w:szCs w:val="20"/>
                <w:color w:val="auto"/>
              </w:rPr>
            </w:pPr>
            <w:r>
              <w:rPr>
                <w:rFonts w:ascii="Arial" w:cs="Arial" w:eastAsia="Arial" w:hAnsi="Arial"/>
                <w:sz w:val="11"/>
                <w:szCs w:val="11"/>
                <w:color w:val="auto"/>
              </w:rPr>
              <w:t>5,056,869</w:t>
            </w:r>
          </w:p>
        </w:tc>
        <w:tc>
          <w:tcPr>
            <w:tcW w:w="220" w:type="dxa"/>
            <w:vAlign w:val="bottom"/>
          </w:tcPr>
          <w:p>
            <w:pPr>
              <w:spacing w:after="0"/>
              <w:rPr>
                <w:sz w:val="10"/>
                <w:szCs w:val="10"/>
                <w:color w:val="auto"/>
              </w:rPr>
            </w:pPr>
          </w:p>
        </w:tc>
        <w:tc>
          <w:tcPr>
            <w:tcW w:w="88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2.0%</w:t>
            </w:r>
          </w:p>
        </w:tc>
        <w:tc>
          <w:tcPr>
            <w:tcW w:w="124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4,354,138</w:t>
            </w:r>
          </w:p>
        </w:tc>
        <w:tc>
          <w:tcPr>
            <w:tcW w:w="88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1.9%</w:t>
            </w:r>
          </w:p>
        </w:tc>
        <w:tc>
          <w:tcPr>
            <w:tcW w:w="126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(13.9)%</w:t>
            </w:r>
          </w:p>
        </w:tc>
        <w:tc>
          <w:tcPr>
            <w:tcW w:w="780" w:type="dxa"/>
            <w:vAlign w:val="bottom"/>
            <w:gridSpan w:val="2"/>
          </w:tcPr>
          <w:p>
            <w:pPr>
              <w:jc w:val="right"/>
              <w:spacing w:after="0" w:line="123" w:lineRule="exact"/>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23"/>
        </w:trPr>
        <w:tc>
          <w:tcPr>
            <w:tcW w:w="92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Cost-efficient</w:t>
            </w:r>
          </w:p>
        </w:tc>
        <w:tc>
          <w:tcPr>
            <w:tcW w:w="180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Agentes BCP</w:t>
            </w:r>
          </w:p>
        </w:tc>
        <w:tc>
          <w:tcPr>
            <w:tcW w:w="1360" w:type="dxa"/>
            <w:vAlign w:val="bottom"/>
            <w:gridSpan w:val="3"/>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24,802,140</w:t>
            </w:r>
          </w:p>
        </w:tc>
        <w:tc>
          <w:tcPr>
            <w:tcW w:w="9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14.0%</w:t>
            </w:r>
          </w:p>
        </w:tc>
        <w:tc>
          <w:tcPr>
            <w:tcW w:w="122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32,534,245</w:t>
            </w:r>
          </w:p>
        </w:tc>
        <w:tc>
          <w:tcPr>
            <w:tcW w:w="88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13.0%</w:t>
            </w:r>
          </w:p>
        </w:tc>
        <w:tc>
          <w:tcPr>
            <w:tcW w:w="124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28,285,371</w:t>
            </w:r>
          </w:p>
        </w:tc>
        <w:tc>
          <w:tcPr>
            <w:tcW w:w="88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12.2%</w:t>
            </w:r>
          </w:p>
        </w:tc>
        <w:tc>
          <w:tcPr>
            <w:tcW w:w="126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(13.1)%</w:t>
            </w:r>
          </w:p>
        </w:tc>
        <w:tc>
          <w:tcPr>
            <w:tcW w:w="78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14.0%</w:t>
            </w:r>
          </w:p>
        </w:tc>
        <w:tc>
          <w:tcPr>
            <w:tcW w:w="0" w:type="dxa"/>
            <w:vAlign w:val="bottom"/>
          </w:tcPr>
          <w:p>
            <w:pPr>
              <w:spacing w:after="0"/>
              <w:rPr>
                <w:sz w:val="1"/>
                <w:szCs w:val="1"/>
                <w:color w:val="auto"/>
              </w:rPr>
            </w:pPr>
          </w:p>
        </w:tc>
      </w:tr>
      <w:tr>
        <w:trPr>
          <w:trHeight w:val="123"/>
        </w:trPr>
        <w:tc>
          <w:tcPr>
            <w:tcW w:w="920" w:type="dxa"/>
            <w:vAlign w:val="bottom"/>
          </w:tcPr>
          <w:p>
            <w:pPr>
              <w:spacing w:after="0" w:line="123" w:lineRule="exact"/>
              <w:rPr>
                <w:sz w:val="20"/>
                <w:szCs w:val="20"/>
                <w:color w:val="auto"/>
              </w:rPr>
            </w:pPr>
            <w:r>
              <w:rPr>
                <w:rFonts w:ascii="Arial" w:cs="Arial" w:eastAsia="Arial" w:hAnsi="Arial"/>
                <w:sz w:val="11"/>
                <w:szCs w:val="11"/>
                <w:b w:val="1"/>
                <w:bCs w:val="1"/>
                <w:color w:val="auto"/>
              </w:rPr>
              <w:t>channels</w:t>
            </w:r>
          </w:p>
        </w:tc>
        <w:tc>
          <w:tcPr>
            <w:tcW w:w="1800" w:type="dxa"/>
            <w:vAlign w:val="bottom"/>
          </w:tcPr>
          <w:p>
            <w:pPr>
              <w:spacing w:after="0" w:line="123" w:lineRule="exact"/>
              <w:rPr>
                <w:sz w:val="20"/>
                <w:szCs w:val="20"/>
                <w:color w:val="auto"/>
              </w:rPr>
            </w:pPr>
            <w:r>
              <w:rPr>
                <w:rFonts w:ascii="Arial" w:cs="Arial" w:eastAsia="Arial" w:hAnsi="Arial"/>
                <w:sz w:val="11"/>
                <w:szCs w:val="11"/>
                <w:color w:val="auto"/>
              </w:rPr>
              <w:t>ATMs</w:t>
            </w:r>
          </w:p>
        </w:tc>
        <w:tc>
          <w:tcPr>
            <w:tcW w:w="1360" w:type="dxa"/>
            <w:vAlign w:val="bottom"/>
            <w:gridSpan w:val="3"/>
          </w:tcPr>
          <w:p>
            <w:pPr>
              <w:jc w:val="right"/>
              <w:ind w:right="220"/>
              <w:spacing w:after="0" w:line="123" w:lineRule="exact"/>
              <w:rPr>
                <w:sz w:val="20"/>
                <w:szCs w:val="20"/>
                <w:color w:val="auto"/>
              </w:rPr>
            </w:pPr>
            <w:r>
              <w:rPr>
                <w:rFonts w:ascii="Arial" w:cs="Arial" w:eastAsia="Arial" w:hAnsi="Arial"/>
                <w:sz w:val="11"/>
                <w:szCs w:val="11"/>
                <w:color w:val="auto"/>
              </w:rPr>
              <w:t>24,405,732</w:t>
            </w:r>
          </w:p>
        </w:tc>
        <w:tc>
          <w:tcPr>
            <w:tcW w:w="900" w:type="dxa"/>
            <w:vAlign w:val="bottom"/>
            <w:gridSpan w:val="2"/>
          </w:tcPr>
          <w:p>
            <w:pPr>
              <w:jc w:val="right"/>
              <w:ind w:right="140"/>
              <w:spacing w:after="0" w:line="123" w:lineRule="exact"/>
              <w:rPr>
                <w:sz w:val="20"/>
                <w:szCs w:val="20"/>
                <w:color w:val="auto"/>
              </w:rPr>
            </w:pPr>
            <w:r>
              <w:rPr>
                <w:rFonts w:ascii="Arial" w:cs="Arial" w:eastAsia="Arial" w:hAnsi="Arial"/>
                <w:sz w:val="11"/>
                <w:szCs w:val="11"/>
                <w:color w:val="auto"/>
              </w:rPr>
              <w:t>13.8%</w:t>
            </w:r>
          </w:p>
        </w:tc>
        <w:tc>
          <w:tcPr>
            <w:tcW w:w="122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25,678,078</w:t>
            </w:r>
          </w:p>
        </w:tc>
        <w:tc>
          <w:tcPr>
            <w:tcW w:w="88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10.3%</w:t>
            </w:r>
          </w:p>
        </w:tc>
        <w:tc>
          <w:tcPr>
            <w:tcW w:w="124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21,110,659</w:t>
            </w:r>
          </w:p>
        </w:tc>
        <w:tc>
          <w:tcPr>
            <w:tcW w:w="88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9.1%</w:t>
            </w:r>
          </w:p>
        </w:tc>
        <w:tc>
          <w:tcPr>
            <w:tcW w:w="1260" w:type="dxa"/>
            <w:vAlign w:val="bottom"/>
            <w:gridSpan w:val="2"/>
          </w:tcPr>
          <w:p>
            <w:pPr>
              <w:jc w:val="right"/>
              <w:ind w:right="120"/>
              <w:spacing w:after="0" w:line="123" w:lineRule="exact"/>
              <w:rPr>
                <w:sz w:val="20"/>
                <w:szCs w:val="20"/>
                <w:color w:val="auto"/>
              </w:rPr>
            </w:pPr>
            <w:r>
              <w:rPr>
                <w:rFonts w:ascii="Arial" w:cs="Arial" w:eastAsia="Arial" w:hAnsi="Arial"/>
                <w:sz w:val="11"/>
                <w:szCs w:val="11"/>
                <w:color w:val="auto"/>
              </w:rPr>
              <w:t>(17.8)%</w:t>
            </w:r>
          </w:p>
        </w:tc>
        <w:tc>
          <w:tcPr>
            <w:tcW w:w="78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(13.5)</w:t>
            </w:r>
          </w:p>
        </w:tc>
        <w:tc>
          <w:tcPr>
            <w:tcW w:w="0" w:type="dxa"/>
            <w:vAlign w:val="bottom"/>
          </w:tcPr>
          <w:p>
            <w:pPr>
              <w:spacing w:after="0"/>
              <w:rPr>
                <w:sz w:val="1"/>
                <w:szCs w:val="1"/>
                <w:color w:val="auto"/>
              </w:rPr>
            </w:pPr>
          </w:p>
        </w:tc>
      </w:tr>
      <w:tr>
        <w:trPr>
          <w:trHeight w:val="123"/>
        </w:trPr>
        <w:tc>
          <w:tcPr>
            <w:tcW w:w="92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Digital</w:t>
            </w:r>
          </w:p>
        </w:tc>
        <w:tc>
          <w:tcPr>
            <w:tcW w:w="180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rPr>
              <w:t>Mobile banking</w:t>
            </w:r>
          </w:p>
        </w:tc>
        <w:tc>
          <w:tcPr>
            <w:tcW w:w="1360" w:type="dxa"/>
            <w:vAlign w:val="bottom"/>
            <w:gridSpan w:val="3"/>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68,528,959</w:t>
            </w:r>
          </w:p>
        </w:tc>
        <w:tc>
          <w:tcPr>
            <w:tcW w:w="900" w:type="dxa"/>
            <w:vAlign w:val="bottom"/>
            <w:gridSpan w:val="2"/>
            <w:shd w:val="clear" w:color="auto" w:fill="CCEEFF"/>
          </w:tcPr>
          <w:p>
            <w:pPr>
              <w:jc w:val="right"/>
              <w:ind w:right="140"/>
              <w:spacing w:after="0" w:line="123" w:lineRule="exact"/>
              <w:rPr>
                <w:sz w:val="20"/>
                <w:szCs w:val="20"/>
                <w:color w:val="auto"/>
              </w:rPr>
            </w:pPr>
            <w:r>
              <w:rPr>
                <w:rFonts w:ascii="Arial" w:cs="Arial" w:eastAsia="Arial" w:hAnsi="Arial"/>
                <w:sz w:val="11"/>
                <w:szCs w:val="11"/>
                <w:color w:val="auto"/>
              </w:rPr>
              <w:t>38.6%</w:t>
            </w:r>
          </w:p>
        </w:tc>
        <w:tc>
          <w:tcPr>
            <w:tcW w:w="10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120,275,484</w:t>
            </w:r>
          </w:p>
        </w:tc>
        <w:tc>
          <w:tcPr>
            <w:tcW w:w="2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48.1%</w:t>
            </w:r>
          </w:p>
        </w:tc>
        <w:tc>
          <w:tcPr>
            <w:tcW w:w="124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114,479,895</w:t>
            </w:r>
          </w:p>
        </w:tc>
        <w:tc>
          <w:tcPr>
            <w:tcW w:w="88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49.4%</w:t>
            </w:r>
          </w:p>
        </w:tc>
        <w:tc>
          <w:tcPr>
            <w:tcW w:w="126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1"/>
                <w:szCs w:val="11"/>
                <w:color w:val="auto"/>
              </w:rPr>
              <w:t>(4.8)%</w:t>
            </w:r>
          </w:p>
        </w:tc>
        <w:tc>
          <w:tcPr>
            <w:tcW w:w="780" w:type="dxa"/>
            <w:vAlign w:val="bottom"/>
            <w:gridSpan w:val="2"/>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67.1%</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20"/>
                <w:szCs w:val="20"/>
                <w:color w:val="auto"/>
              </w:rPr>
            </w:pPr>
            <w:r>
              <w:rPr>
                <w:rFonts w:ascii="Arial" w:cs="Arial" w:eastAsia="Arial" w:hAnsi="Arial"/>
                <w:sz w:val="11"/>
                <w:szCs w:val="11"/>
                <w:b w:val="1"/>
                <w:bCs w:val="1"/>
                <w:color w:val="auto"/>
              </w:rPr>
              <w:t>channels</w:t>
            </w:r>
          </w:p>
        </w:tc>
        <w:tc>
          <w:tcPr>
            <w:tcW w:w="1800" w:type="dxa"/>
            <w:vAlign w:val="bottom"/>
          </w:tcPr>
          <w:p>
            <w:pPr>
              <w:spacing w:after="0"/>
              <w:rPr>
                <w:sz w:val="20"/>
                <w:szCs w:val="20"/>
                <w:color w:val="auto"/>
              </w:rPr>
            </w:pPr>
            <w:r>
              <w:rPr>
                <w:rFonts w:ascii="Arial" w:cs="Arial" w:eastAsia="Arial" w:hAnsi="Arial"/>
                <w:sz w:val="11"/>
                <w:szCs w:val="11"/>
                <w:color w:val="auto"/>
              </w:rPr>
              <w:t>Internet banking Via BCP</w:t>
            </w:r>
          </w:p>
        </w:tc>
        <w:tc>
          <w:tcPr>
            <w:tcW w:w="1360" w:type="dxa"/>
            <w:vAlign w:val="bottom"/>
            <w:gridSpan w:val="3"/>
          </w:tcPr>
          <w:p>
            <w:pPr>
              <w:jc w:val="right"/>
              <w:ind w:right="220"/>
              <w:spacing w:after="0"/>
              <w:rPr>
                <w:sz w:val="20"/>
                <w:szCs w:val="20"/>
                <w:color w:val="auto"/>
              </w:rPr>
            </w:pPr>
            <w:r>
              <w:rPr>
                <w:rFonts w:ascii="Arial" w:cs="Arial" w:eastAsia="Arial" w:hAnsi="Arial"/>
                <w:sz w:val="11"/>
                <w:szCs w:val="11"/>
                <w:color w:val="auto"/>
              </w:rPr>
              <w:t>16,185,835</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9.1%</w:t>
            </w:r>
          </w:p>
        </w:tc>
        <w:tc>
          <w:tcPr>
            <w:tcW w:w="1220" w:type="dxa"/>
            <w:vAlign w:val="bottom"/>
            <w:gridSpan w:val="2"/>
          </w:tcPr>
          <w:p>
            <w:pPr>
              <w:jc w:val="right"/>
              <w:ind w:right="220"/>
              <w:spacing w:after="0"/>
              <w:rPr>
                <w:sz w:val="20"/>
                <w:szCs w:val="20"/>
                <w:color w:val="auto"/>
              </w:rPr>
            </w:pPr>
            <w:r>
              <w:rPr>
                <w:rFonts w:ascii="Arial" w:cs="Arial" w:eastAsia="Arial" w:hAnsi="Arial"/>
                <w:sz w:val="11"/>
                <w:szCs w:val="11"/>
                <w:color w:val="auto"/>
              </w:rPr>
              <w:t>23,757,780</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9.5%</w:t>
            </w:r>
          </w:p>
        </w:tc>
        <w:tc>
          <w:tcPr>
            <w:tcW w:w="1240" w:type="dxa"/>
            <w:vAlign w:val="bottom"/>
            <w:gridSpan w:val="2"/>
          </w:tcPr>
          <w:p>
            <w:pPr>
              <w:jc w:val="right"/>
              <w:ind w:right="220"/>
              <w:spacing w:after="0"/>
              <w:rPr>
                <w:sz w:val="20"/>
                <w:szCs w:val="20"/>
                <w:color w:val="auto"/>
              </w:rPr>
            </w:pPr>
            <w:r>
              <w:rPr>
                <w:rFonts w:ascii="Arial" w:cs="Arial" w:eastAsia="Arial" w:hAnsi="Arial"/>
                <w:sz w:val="11"/>
                <w:szCs w:val="11"/>
                <w:color w:val="auto"/>
              </w:rPr>
              <w:t>22,449,556</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9.7%</w:t>
            </w: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(5.5)%</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38.7%</w:t>
            </w:r>
          </w:p>
        </w:tc>
        <w:tc>
          <w:tcPr>
            <w:tcW w:w="0" w:type="dxa"/>
            <w:vAlign w:val="bottom"/>
          </w:tcPr>
          <w:p>
            <w:pPr>
              <w:spacing w:after="0"/>
              <w:rPr>
                <w:sz w:val="1"/>
                <w:szCs w:val="1"/>
                <w:color w:val="auto"/>
              </w:rPr>
            </w:pPr>
          </w:p>
        </w:tc>
      </w:tr>
    </w:tbl>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7" w:name="page198"/>
    <w:bookmarkEnd w:id="197"/>
    <w:tbl>
      <w:tblPr>
        <w:tblLayout w:type="fixed"/>
        <w:tblInd w:w="2" w:type="dxa"/>
        <w:tblCellMar>
          <w:top w:w="0" w:type="dxa"/>
          <w:left w:w="0" w:type="dxa"/>
          <w:bottom w:w="0" w:type="dxa"/>
          <w:right w:w="0" w:type="dxa"/>
        </w:tblCellMar>
      </w:tblPr>
      <w:tr>
        <w:trPr>
          <w:trHeight w:val="139"/>
        </w:trPr>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4"/>
          </w:tcPr>
          <w:p>
            <w:pPr>
              <w:jc w:val="right"/>
              <w:ind w:right="283"/>
              <w:spacing w:after="0"/>
              <w:rPr>
                <w:sz w:val="20"/>
                <w:szCs w:val="20"/>
                <w:color w:val="auto"/>
              </w:rPr>
            </w:pPr>
            <w:r>
              <w:rPr>
                <w:rFonts w:ascii="Arial" w:cs="Arial" w:eastAsia="Arial" w:hAnsi="Arial"/>
                <w:sz w:val="11"/>
                <w:szCs w:val="11"/>
                <w:b w:val="1"/>
                <w:bCs w:val="1"/>
                <w:color w:val="auto"/>
              </w:rPr>
              <w:t>Monthly Average in Each Quarter</w:t>
            </w:r>
          </w:p>
        </w:tc>
        <w:tc>
          <w:tcPr>
            <w:tcW w:w="10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1"/>
                <w:szCs w:val="11"/>
                <w:b w:val="1"/>
                <w:bCs w:val="1"/>
                <w:color w:val="auto"/>
              </w:rPr>
              <w:t>% Change</w:t>
            </w:r>
          </w:p>
        </w:tc>
        <w:tc>
          <w:tcPr>
            <w:tcW w:w="6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99"/>
        </w:trPr>
        <w:tc>
          <w:tcPr>
            <w:tcW w:w="9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tcPr>
          <w:p>
            <w:pPr>
              <w:jc w:val="center"/>
              <w:ind w:right="200"/>
              <w:spacing w:after="0" w:line="100" w:lineRule="exact"/>
              <w:rPr>
                <w:sz w:val="20"/>
                <w:szCs w:val="20"/>
                <w:color w:val="auto"/>
              </w:rPr>
            </w:pPr>
            <w:r>
              <w:rPr>
                <w:rFonts w:ascii="Arial" w:cs="Arial" w:eastAsia="Arial" w:hAnsi="Arial"/>
                <w:sz w:val="11"/>
                <w:szCs w:val="11"/>
                <w:b w:val="1"/>
                <w:bCs w:val="1"/>
                <w:color w:val="auto"/>
                <w:w w:val="96"/>
              </w:rPr>
              <w:t>Three Months</w:t>
            </w: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96"/>
              </w:rPr>
              <w:t>Three Months</w:t>
            </w: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96"/>
              </w:rPr>
              <w:t>Three Months</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23"/>
        </w:trPr>
        <w:tc>
          <w:tcPr>
            <w:tcW w:w="900" w:type="dxa"/>
            <w:vAlign w:val="bottom"/>
          </w:tcPr>
          <w:p>
            <w:pPr>
              <w:spacing w:after="0"/>
              <w:rPr>
                <w:sz w:val="10"/>
                <w:szCs w:val="10"/>
                <w:color w:val="auto"/>
              </w:rPr>
            </w:pPr>
          </w:p>
        </w:tc>
        <w:tc>
          <w:tcPr>
            <w:tcW w:w="1900" w:type="dxa"/>
            <w:vAlign w:val="bottom"/>
            <w:gridSpan w:val="2"/>
          </w:tcPr>
          <w:p>
            <w:pPr>
              <w:ind w:left="320"/>
              <w:spacing w:after="0" w:line="123" w:lineRule="exact"/>
              <w:rPr>
                <w:sz w:val="20"/>
                <w:szCs w:val="20"/>
                <w:color w:val="auto"/>
              </w:rPr>
            </w:pPr>
            <w:r>
              <w:rPr>
                <w:rFonts w:ascii="Arial" w:cs="Arial" w:eastAsia="Arial" w:hAnsi="Arial"/>
                <w:sz w:val="11"/>
                <w:szCs w:val="11"/>
                <w:b w:val="1"/>
                <w:bCs w:val="1"/>
                <w:color w:val="auto"/>
              </w:rPr>
              <w:t>No. of Transactions per</w:t>
            </w:r>
          </w:p>
        </w:tc>
        <w:tc>
          <w:tcPr>
            <w:tcW w:w="1220" w:type="dxa"/>
            <w:vAlign w:val="bottom"/>
            <w:gridSpan w:val="2"/>
          </w:tcPr>
          <w:p>
            <w:pPr>
              <w:jc w:val="center"/>
              <w:ind w:right="220"/>
              <w:spacing w:after="0" w:line="123" w:lineRule="exact"/>
              <w:rPr>
                <w:sz w:val="20"/>
                <w:szCs w:val="20"/>
                <w:color w:val="auto"/>
              </w:rPr>
            </w:pPr>
            <w:r>
              <w:rPr>
                <w:rFonts w:ascii="Arial" w:cs="Arial" w:eastAsia="Arial" w:hAnsi="Arial"/>
                <w:sz w:val="11"/>
                <w:szCs w:val="11"/>
                <w:b w:val="1"/>
                <w:bCs w:val="1"/>
                <w:color w:val="auto"/>
                <w:w w:val="98"/>
              </w:rPr>
              <w:t>Ended March</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tcPr>
          <w:p>
            <w:pPr>
              <w:jc w:val="center"/>
              <w:ind w:right="240"/>
              <w:spacing w:after="0" w:line="123" w:lineRule="exact"/>
              <w:rPr>
                <w:sz w:val="20"/>
                <w:szCs w:val="20"/>
                <w:color w:val="auto"/>
              </w:rPr>
            </w:pPr>
            <w:r>
              <w:rPr>
                <w:rFonts w:ascii="Arial" w:cs="Arial" w:eastAsia="Arial" w:hAnsi="Arial"/>
                <w:sz w:val="11"/>
                <w:szCs w:val="11"/>
                <w:b w:val="1"/>
                <w:bCs w:val="1"/>
                <w:color w:val="auto"/>
                <w:w w:val="93"/>
              </w:rPr>
              <w:t>Ended December</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tcPr>
          <w:p>
            <w:pPr>
              <w:jc w:val="center"/>
              <w:ind w:right="200"/>
              <w:spacing w:after="0" w:line="123" w:lineRule="exact"/>
              <w:rPr>
                <w:sz w:val="20"/>
                <w:szCs w:val="20"/>
                <w:color w:val="auto"/>
              </w:rPr>
            </w:pPr>
            <w:r>
              <w:rPr>
                <w:rFonts w:ascii="Arial" w:cs="Arial" w:eastAsia="Arial" w:hAnsi="Arial"/>
                <w:sz w:val="11"/>
                <w:szCs w:val="11"/>
                <w:b w:val="1"/>
                <w:bCs w:val="1"/>
                <w:color w:val="auto"/>
                <w:w w:val="98"/>
              </w:rPr>
              <w:t>Ended March</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tcPr>
          <w:p>
            <w:pPr>
              <w:jc w:val="right"/>
              <w:ind w:right="443"/>
              <w:spacing w:after="0" w:line="123" w:lineRule="exact"/>
              <w:rPr>
                <w:sz w:val="20"/>
                <w:szCs w:val="20"/>
                <w:color w:val="auto"/>
              </w:rPr>
            </w:pPr>
            <w:r>
              <w:rPr>
                <w:rFonts w:ascii="Arial" w:cs="Arial" w:eastAsia="Arial" w:hAnsi="Arial"/>
                <w:sz w:val="11"/>
                <w:szCs w:val="11"/>
                <w:b w:val="1"/>
                <w:bCs w:val="1"/>
                <w:color w:val="auto"/>
              </w:rPr>
              <w:t>Quarter on</w:t>
            </w:r>
          </w:p>
        </w:tc>
        <w:tc>
          <w:tcPr>
            <w:tcW w:w="780" w:type="dxa"/>
            <w:vAlign w:val="bottom"/>
            <w:gridSpan w:val="3"/>
          </w:tcPr>
          <w:p>
            <w:pPr>
              <w:jc w:val="right"/>
              <w:ind w:right="260"/>
              <w:spacing w:after="0" w:line="123" w:lineRule="exact"/>
              <w:rPr>
                <w:sz w:val="20"/>
                <w:szCs w:val="20"/>
                <w:color w:val="auto"/>
              </w:rPr>
            </w:pPr>
            <w:r>
              <w:rPr>
                <w:rFonts w:ascii="Arial" w:cs="Arial" w:eastAsia="Arial" w:hAnsi="Arial"/>
                <w:sz w:val="11"/>
                <w:szCs w:val="11"/>
                <w:b w:val="1"/>
                <w:bCs w:val="1"/>
                <w:color w:val="auto"/>
              </w:rPr>
              <w:t>Year on</w:t>
            </w:r>
          </w:p>
        </w:tc>
      </w:tr>
      <w:tr>
        <w:trPr>
          <w:trHeight w:val="139"/>
        </w:trPr>
        <w:tc>
          <w:tcPr>
            <w:tcW w:w="900" w:type="dxa"/>
            <w:vAlign w:val="bottom"/>
            <w:tcBorders>
              <w:bottom w:val="single" w:sz="8" w:color="CCEEFF"/>
            </w:tcBorders>
          </w:tcPr>
          <w:p>
            <w:pPr>
              <w:spacing w:after="0"/>
              <w:rPr>
                <w:sz w:val="12"/>
                <w:szCs w:val="12"/>
                <w:color w:val="auto"/>
              </w:rPr>
            </w:pPr>
          </w:p>
        </w:tc>
        <w:tc>
          <w:tcPr>
            <w:tcW w:w="1780" w:type="dxa"/>
            <w:vAlign w:val="bottom"/>
            <w:tcBorders>
              <w:bottom w:val="single" w:sz="8" w:color="auto"/>
            </w:tcBorders>
          </w:tcPr>
          <w:p>
            <w:pPr>
              <w:ind w:left="640"/>
              <w:spacing w:after="0"/>
              <w:rPr>
                <w:sz w:val="20"/>
                <w:szCs w:val="20"/>
                <w:color w:val="auto"/>
              </w:rPr>
            </w:pPr>
            <w:r>
              <w:rPr>
                <w:rFonts w:ascii="Arial" w:cs="Arial" w:eastAsia="Arial" w:hAnsi="Arial"/>
                <w:sz w:val="11"/>
                <w:szCs w:val="11"/>
                <w:b w:val="1"/>
                <w:bCs w:val="1"/>
                <w:color w:val="auto"/>
              </w:rPr>
              <w:t>channel(1)</w:t>
            </w:r>
          </w:p>
        </w:tc>
        <w:tc>
          <w:tcPr>
            <w:tcW w:w="1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31, 2019</w:t>
            </w:r>
          </w:p>
        </w:tc>
        <w:tc>
          <w:tcPr>
            <w:tcW w:w="2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31, 2019</w:t>
            </w:r>
          </w:p>
        </w:tc>
        <w:tc>
          <w:tcPr>
            <w:tcW w:w="2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31, 2020</w:t>
            </w:r>
          </w:p>
        </w:tc>
        <w:tc>
          <w:tcPr>
            <w:tcW w:w="2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w:t>
            </w:r>
          </w:p>
        </w:tc>
        <w:tc>
          <w:tcPr>
            <w:tcW w:w="24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Quarter</w:t>
            </w:r>
          </w:p>
        </w:tc>
        <w:tc>
          <w:tcPr>
            <w:tcW w:w="2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Year</w:t>
            </w:r>
          </w:p>
        </w:tc>
        <w:tc>
          <w:tcPr>
            <w:tcW w:w="120" w:type="dxa"/>
            <w:vAlign w:val="bottom"/>
            <w:tcBorders>
              <w:bottom w:val="single" w:sz="8" w:color="CCEEFF"/>
            </w:tcBorders>
            <w:gridSpan w:val="2"/>
          </w:tcPr>
          <w:p>
            <w:pPr>
              <w:spacing w:after="0"/>
              <w:rPr>
                <w:sz w:val="12"/>
                <w:szCs w:val="12"/>
                <w:color w:val="auto"/>
              </w:rPr>
            </w:pPr>
          </w:p>
        </w:tc>
      </w:tr>
      <w:tr>
        <w:trPr>
          <w:trHeight w:val="115"/>
        </w:trPr>
        <w:tc>
          <w:tcPr>
            <w:tcW w:w="90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Balance inquiries</w:t>
            </w: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1,295,030</w:t>
            </w:r>
          </w:p>
        </w:tc>
        <w:tc>
          <w:tcPr>
            <w:tcW w:w="2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83"/>
              <w:spacing w:after="0" w:line="115" w:lineRule="exact"/>
              <w:rPr>
                <w:sz w:val="20"/>
                <w:szCs w:val="20"/>
                <w:color w:val="auto"/>
              </w:rPr>
            </w:pPr>
            <w:r>
              <w:rPr>
                <w:rFonts w:ascii="Arial" w:cs="Arial" w:eastAsia="Arial" w:hAnsi="Arial"/>
                <w:sz w:val="11"/>
                <w:szCs w:val="11"/>
                <w:color w:val="auto"/>
              </w:rPr>
              <w:t>0.7%</w:t>
            </w:r>
          </w:p>
        </w:tc>
        <w:tc>
          <w:tcPr>
            <w:tcW w:w="10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1,238,521</w:t>
            </w:r>
          </w:p>
        </w:tc>
        <w:tc>
          <w:tcPr>
            <w:tcW w:w="2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63"/>
              <w:spacing w:after="0" w:line="115" w:lineRule="exact"/>
              <w:rPr>
                <w:sz w:val="20"/>
                <w:szCs w:val="20"/>
                <w:color w:val="auto"/>
              </w:rPr>
            </w:pPr>
            <w:r>
              <w:rPr>
                <w:rFonts w:ascii="Arial" w:cs="Arial" w:eastAsia="Arial" w:hAnsi="Arial"/>
                <w:sz w:val="11"/>
                <w:szCs w:val="11"/>
                <w:color w:val="auto"/>
              </w:rPr>
              <w:t>0.5%</w:t>
            </w:r>
          </w:p>
        </w:tc>
        <w:tc>
          <w:tcPr>
            <w:tcW w:w="10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991,474</w:t>
            </w:r>
          </w:p>
        </w:tc>
        <w:tc>
          <w:tcPr>
            <w:tcW w:w="2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83"/>
              <w:spacing w:after="0" w:line="115" w:lineRule="exact"/>
              <w:rPr>
                <w:sz w:val="20"/>
                <w:szCs w:val="20"/>
                <w:color w:val="auto"/>
              </w:rPr>
            </w:pPr>
            <w:r>
              <w:rPr>
                <w:rFonts w:ascii="Arial" w:cs="Arial" w:eastAsia="Arial" w:hAnsi="Arial"/>
                <w:sz w:val="11"/>
                <w:szCs w:val="11"/>
                <w:color w:val="auto"/>
              </w:rPr>
              <w:t>0.4%</w:t>
            </w:r>
          </w:p>
        </w:tc>
        <w:tc>
          <w:tcPr>
            <w:tcW w:w="1280" w:type="dxa"/>
            <w:vAlign w:val="bottom"/>
            <w:gridSpan w:val="2"/>
            <w:shd w:val="clear" w:color="auto" w:fill="CCEEFF"/>
          </w:tcPr>
          <w:p>
            <w:pPr>
              <w:jc w:val="right"/>
              <w:ind w:right="83"/>
              <w:spacing w:after="0" w:line="115" w:lineRule="exact"/>
              <w:rPr>
                <w:sz w:val="20"/>
                <w:szCs w:val="20"/>
                <w:color w:val="auto"/>
              </w:rPr>
            </w:pPr>
            <w:r>
              <w:rPr>
                <w:rFonts w:ascii="Arial" w:cs="Arial" w:eastAsia="Arial" w:hAnsi="Arial"/>
                <w:sz w:val="11"/>
                <w:szCs w:val="11"/>
                <w:color w:val="auto"/>
              </w:rPr>
              <w:t>(19.9)%</w:t>
            </w:r>
          </w:p>
        </w:tc>
        <w:tc>
          <w:tcPr>
            <w:tcW w:w="780" w:type="dxa"/>
            <w:vAlign w:val="bottom"/>
            <w:gridSpan w:val="3"/>
            <w:shd w:val="clear" w:color="auto" w:fill="CCEEFF"/>
          </w:tcPr>
          <w:p>
            <w:pPr>
              <w:jc w:val="right"/>
              <w:spacing w:after="0" w:line="115" w:lineRule="exact"/>
              <w:rPr>
                <w:sz w:val="20"/>
                <w:szCs w:val="20"/>
                <w:color w:val="auto"/>
              </w:rPr>
            </w:pPr>
            <w:r>
              <w:rPr>
                <w:rFonts w:ascii="Arial" w:cs="Arial" w:eastAsia="Arial" w:hAnsi="Arial"/>
                <w:sz w:val="11"/>
                <w:szCs w:val="11"/>
                <w:color w:val="auto"/>
              </w:rPr>
              <w:t>(23.4)%</w:t>
            </w:r>
          </w:p>
        </w:tc>
      </w:tr>
      <w:tr>
        <w:trPr>
          <w:trHeight w:val="123"/>
        </w:trPr>
        <w:tc>
          <w:tcPr>
            <w:tcW w:w="900" w:type="dxa"/>
            <w:vAlign w:val="bottom"/>
          </w:tcPr>
          <w:p>
            <w:pPr>
              <w:spacing w:after="0"/>
              <w:rPr>
                <w:sz w:val="10"/>
                <w:szCs w:val="10"/>
                <w:color w:val="auto"/>
              </w:rPr>
            </w:pPr>
          </w:p>
        </w:tc>
        <w:tc>
          <w:tcPr>
            <w:tcW w:w="1900" w:type="dxa"/>
            <w:vAlign w:val="bottom"/>
            <w:gridSpan w:val="2"/>
          </w:tcPr>
          <w:p>
            <w:pPr>
              <w:spacing w:after="0" w:line="123" w:lineRule="exact"/>
              <w:rPr>
                <w:sz w:val="20"/>
                <w:szCs w:val="20"/>
                <w:color w:val="auto"/>
              </w:rPr>
            </w:pPr>
            <w:r>
              <w:rPr>
                <w:rFonts w:ascii="Arial" w:cs="Arial" w:eastAsia="Arial" w:hAnsi="Arial"/>
                <w:sz w:val="11"/>
                <w:szCs w:val="11"/>
                <w:color w:val="auto"/>
              </w:rPr>
              <w:t>Telecrédito</w:t>
            </w:r>
          </w:p>
        </w:tc>
        <w:tc>
          <w:tcPr>
            <w:tcW w:w="122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11,318,983</w:t>
            </w:r>
          </w:p>
        </w:tc>
        <w:tc>
          <w:tcPr>
            <w:tcW w:w="900" w:type="dxa"/>
            <w:vAlign w:val="bottom"/>
            <w:gridSpan w:val="2"/>
          </w:tcPr>
          <w:p>
            <w:pPr>
              <w:jc w:val="right"/>
              <w:ind w:right="83"/>
              <w:spacing w:after="0" w:line="123" w:lineRule="exact"/>
              <w:rPr>
                <w:sz w:val="20"/>
                <w:szCs w:val="20"/>
                <w:color w:val="auto"/>
              </w:rPr>
            </w:pPr>
            <w:r>
              <w:rPr>
                <w:rFonts w:ascii="Arial" w:cs="Arial" w:eastAsia="Arial" w:hAnsi="Arial"/>
                <w:sz w:val="11"/>
                <w:szCs w:val="11"/>
                <w:color w:val="auto"/>
              </w:rPr>
              <w:t>6.4%</w:t>
            </w:r>
          </w:p>
        </w:tc>
        <w:tc>
          <w:tcPr>
            <w:tcW w:w="124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13,208,492</w:t>
            </w:r>
          </w:p>
        </w:tc>
        <w:tc>
          <w:tcPr>
            <w:tcW w:w="880" w:type="dxa"/>
            <w:vAlign w:val="bottom"/>
            <w:gridSpan w:val="2"/>
          </w:tcPr>
          <w:p>
            <w:pPr>
              <w:jc w:val="right"/>
              <w:ind w:right="63"/>
              <w:spacing w:after="0" w:line="123" w:lineRule="exact"/>
              <w:rPr>
                <w:sz w:val="20"/>
                <w:szCs w:val="20"/>
                <w:color w:val="auto"/>
              </w:rPr>
            </w:pPr>
            <w:r>
              <w:rPr>
                <w:rFonts w:ascii="Arial" w:cs="Arial" w:eastAsia="Arial" w:hAnsi="Arial"/>
                <w:sz w:val="11"/>
                <w:szCs w:val="11"/>
                <w:color w:val="auto"/>
              </w:rPr>
              <w:t>5.3%</w:t>
            </w:r>
          </w:p>
        </w:tc>
        <w:tc>
          <w:tcPr>
            <w:tcW w:w="124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13,571,633</w:t>
            </w:r>
          </w:p>
        </w:tc>
        <w:tc>
          <w:tcPr>
            <w:tcW w:w="900" w:type="dxa"/>
            <w:vAlign w:val="bottom"/>
            <w:gridSpan w:val="2"/>
          </w:tcPr>
          <w:p>
            <w:pPr>
              <w:jc w:val="right"/>
              <w:ind w:right="83"/>
              <w:spacing w:after="0" w:line="123" w:lineRule="exact"/>
              <w:rPr>
                <w:sz w:val="20"/>
                <w:szCs w:val="20"/>
                <w:color w:val="auto"/>
              </w:rPr>
            </w:pPr>
            <w:r>
              <w:rPr>
                <w:rFonts w:ascii="Arial" w:cs="Arial" w:eastAsia="Arial" w:hAnsi="Arial"/>
                <w:sz w:val="11"/>
                <w:szCs w:val="11"/>
                <w:color w:val="auto"/>
              </w:rPr>
              <w:t>5.9%</w:t>
            </w:r>
          </w:p>
        </w:tc>
        <w:tc>
          <w:tcPr>
            <w:tcW w:w="1280" w:type="dxa"/>
            <w:vAlign w:val="bottom"/>
            <w:gridSpan w:val="2"/>
          </w:tcPr>
          <w:p>
            <w:pPr>
              <w:jc w:val="right"/>
              <w:ind w:right="123"/>
              <w:spacing w:after="0" w:line="123" w:lineRule="exact"/>
              <w:rPr>
                <w:sz w:val="20"/>
                <w:szCs w:val="20"/>
                <w:color w:val="auto"/>
              </w:rPr>
            </w:pPr>
            <w:r>
              <w:rPr>
                <w:rFonts w:ascii="Arial" w:cs="Arial" w:eastAsia="Arial" w:hAnsi="Arial"/>
                <w:sz w:val="11"/>
                <w:szCs w:val="11"/>
                <w:color w:val="auto"/>
              </w:rPr>
              <w:t>2.7%</w:t>
            </w:r>
          </w:p>
        </w:tc>
        <w:tc>
          <w:tcPr>
            <w:tcW w:w="780" w:type="dxa"/>
            <w:vAlign w:val="bottom"/>
            <w:gridSpan w:val="3"/>
          </w:tcPr>
          <w:p>
            <w:pPr>
              <w:jc w:val="right"/>
              <w:ind w:right="20"/>
              <w:spacing w:after="0" w:line="123" w:lineRule="exact"/>
              <w:rPr>
                <w:sz w:val="20"/>
                <w:szCs w:val="20"/>
                <w:color w:val="auto"/>
              </w:rPr>
            </w:pPr>
            <w:r>
              <w:rPr>
                <w:rFonts w:ascii="Arial" w:cs="Arial" w:eastAsia="Arial" w:hAnsi="Arial"/>
                <w:sz w:val="11"/>
                <w:szCs w:val="11"/>
                <w:color w:val="auto"/>
              </w:rPr>
              <w:t>19.9%</w:t>
            </w:r>
          </w:p>
        </w:tc>
      </w:tr>
      <w:tr>
        <w:trPr>
          <w:trHeight w:val="123"/>
        </w:trPr>
        <w:tc>
          <w:tcPr>
            <w:tcW w:w="900" w:type="dxa"/>
            <w:vAlign w:val="bottom"/>
            <w:shd w:val="clear" w:color="auto" w:fill="CCEEFF"/>
          </w:tcPr>
          <w:p>
            <w:pPr>
              <w:ind w:left="220"/>
              <w:spacing w:after="0" w:line="123" w:lineRule="exact"/>
              <w:rPr>
                <w:sz w:val="20"/>
                <w:szCs w:val="20"/>
                <w:color w:val="auto"/>
              </w:rPr>
            </w:pPr>
            <w:r>
              <w:rPr>
                <w:rFonts w:ascii="Arial" w:cs="Arial" w:eastAsia="Arial" w:hAnsi="Arial"/>
                <w:sz w:val="11"/>
                <w:szCs w:val="11"/>
                <w:b w:val="1"/>
                <w:bCs w:val="1"/>
                <w:color w:val="auto"/>
              </w:rPr>
              <w:t>Others</w:t>
            </w:r>
          </w:p>
        </w:tc>
        <w:tc>
          <w:tcPr>
            <w:tcW w:w="1900" w:type="dxa"/>
            <w:vAlign w:val="bottom"/>
            <w:gridSpan w:val="2"/>
            <w:shd w:val="clear" w:color="auto" w:fill="CCEEFF"/>
          </w:tcPr>
          <w:p>
            <w:pPr>
              <w:spacing w:after="0" w:line="123" w:lineRule="exact"/>
              <w:rPr>
                <w:sz w:val="20"/>
                <w:szCs w:val="20"/>
                <w:color w:val="auto"/>
              </w:rPr>
            </w:pPr>
            <w:r>
              <w:rPr>
                <w:rFonts w:ascii="Arial" w:cs="Arial" w:eastAsia="Arial" w:hAnsi="Arial"/>
                <w:sz w:val="11"/>
                <w:szCs w:val="11"/>
                <w:color w:val="auto"/>
              </w:rPr>
              <w:t>Direct debit</w:t>
            </w:r>
          </w:p>
        </w:tc>
        <w:tc>
          <w:tcPr>
            <w:tcW w:w="122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717,284</w:t>
            </w:r>
          </w:p>
        </w:tc>
        <w:tc>
          <w:tcPr>
            <w:tcW w:w="900" w:type="dxa"/>
            <w:vAlign w:val="bottom"/>
            <w:gridSpan w:val="2"/>
            <w:shd w:val="clear" w:color="auto" w:fill="CCEEFF"/>
          </w:tcPr>
          <w:p>
            <w:pPr>
              <w:jc w:val="right"/>
              <w:ind w:right="83"/>
              <w:spacing w:after="0" w:line="123" w:lineRule="exact"/>
              <w:rPr>
                <w:sz w:val="20"/>
                <w:szCs w:val="20"/>
                <w:color w:val="auto"/>
              </w:rPr>
            </w:pPr>
            <w:r>
              <w:rPr>
                <w:rFonts w:ascii="Arial" w:cs="Arial" w:eastAsia="Arial" w:hAnsi="Arial"/>
                <w:sz w:val="11"/>
                <w:szCs w:val="11"/>
                <w:color w:val="auto"/>
              </w:rPr>
              <w:t>0.4%</w:t>
            </w:r>
          </w:p>
        </w:tc>
        <w:tc>
          <w:tcPr>
            <w:tcW w:w="124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auto"/>
              </w:rPr>
              <w:t>920,143</w:t>
            </w:r>
          </w:p>
        </w:tc>
        <w:tc>
          <w:tcPr>
            <w:tcW w:w="880" w:type="dxa"/>
            <w:vAlign w:val="bottom"/>
            <w:gridSpan w:val="2"/>
            <w:shd w:val="clear" w:color="auto" w:fill="CCEEFF"/>
          </w:tcPr>
          <w:p>
            <w:pPr>
              <w:jc w:val="right"/>
              <w:ind w:right="63"/>
              <w:spacing w:after="0" w:line="123" w:lineRule="exact"/>
              <w:rPr>
                <w:sz w:val="20"/>
                <w:szCs w:val="20"/>
                <w:color w:val="auto"/>
              </w:rPr>
            </w:pPr>
            <w:r>
              <w:rPr>
                <w:rFonts w:ascii="Arial" w:cs="Arial" w:eastAsia="Arial" w:hAnsi="Arial"/>
                <w:sz w:val="11"/>
                <w:szCs w:val="11"/>
                <w:color w:val="auto"/>
              </w:rPr>
              <w:t>0.4%</w:t>
            </w:r>
          </w:p>
        </w:tc>
        <w:tc>
          <w:tcPr>
            <w:tcW w:w="10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1,028,329</w:t>
            </w:r>
          </w:p>
        </w:tc>
        <w:tc>
          <w:tcPr>
            <w:tcW w:w="2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83"/>
              <w:spacing w:after="0" w:line="123" w:lineRule="exact"/>
              <w:rPr>
                <w:sz w:val="20"/>
                <w:szCs w:val="20"/>
                <w:color w:val="auto"/>
              </w:rPr>
            </w:pPr>
            <w:r>
              <w:rPr>
                <w:rFonts w:ascii="Arial" w:cs="Arial" w:eastAsia="Arial" w:hAnsi="Arial"/>
                <w:sz w:val="11"/>
                <w:szCs w:val="11"/>
                <w:color w:val="auto"/>
              </w:rPr>
              <w:t>0.4%</w:t>
            </w:r>
          </w:p>
        </w:tc>
        <w:tc>
          <w:tcPr>
            <w:tcW w:w="1280" w:type="dxa"/>
            <w:vAlign w:val="bottom"/>
            <w:gridSpan w:val="2"/>
            <w:shd w:val="clear" w:color="auto" w:fill="CCEEFF"/>
          </w:tcPr>
          <w:p>
            <w:pPr>
              <w:jc w:val="right"/>
              <w:ind w:right="123"/>
              <w:spacing w:after="0" w:line="123" w:lineRule="exact"/>
              <w:rPr>
                <w:sz w:val="20"/>
                <w:szCs w:val="20"/>
                <w:color w:val="auto"/>
              </w:rPr>
            </w:pPr>
            <w:r>
              <w:rPr>
                <w:rFonts w:ascii="Arial" w:cs="Arial" w:eastAsia="Arial" w:hAnsi="Arial"/>
                <w:sz w:val="11"/>
                <w:szCs w:val="11"/>
                <w:color w:val="auto"/>
              </w:rPr>
              <w:t>11.8%</w:t>
            </w:r>
          </w:p>
        </w:tc>
        <w:tc>
          <w:tcPr>
            <w:tcW w:w="780" w:type="dxa"/>
            <w:vAlign w:val="bottom"/>
            <w:gridSpan w:val="3"/>
            <w:shd w:val="clear" w:color="auto" w:fill="CCEEFF"/>
          </w:tcPr>
          <w:p>
            <w:pPr>
              <w:jc w:val="right"/>
              <w:ind w:right="20"/>
              <w:spacing w:after="0" w:line="123" w:lineRule="exact"/>
              <w:rPr>
                <w:sz w:val="20"/>
                <w:szCs w:val="20"/>
                <w:color w:val="auto"/>
              </w:rPr>
            </w:pPr>
            <w:r>
              <w:rPr>
                <w:rFonts w:ascii="Arial" w:cs="Arial" w:eastAsia="Arial" w:hAnsi="Arial"/>
                <w:sz w:val="11"/>
                <w:szCs w:val="11"/>
                <w:color w:val="auto"/>
              </w:rPr>
              <w:t>43.4%</w:t>
            </w:r>
          </w:p>
        </w:tc>
      </w:tr>
      <w:tr>
        <w:trPr>
          <w:trHeight w:val="123"/>
        </w:trPr>
        <w:tc>
          <w:tcPr>
            <w:tcW w:w="900" w:type="dxa"/>
            <w:vAlign w:val="bottom"/>
          </w:tcPr>
          <w:p>
            <w:pPr>
              <w:spacing w:after="0"/>
              <w:rPr>
                <w:sz w:val="10"/>
                <w:szCs w:val="10"/>
                <w:color w:val="auto"/>
              </w:rPr>
            </w:pPr>
          </w:p>
        </w:tc>
        <w:tc>
          <w:tcPr>
            <w:tcW w:w="1900" w:type="dxa"/>
            <w:vAlign w:val="bottom"/>
            <w:gridSpan w:val="2"/>
          </w:tcPr>
          <w:p>
            <w:pPr>
              <w:spacing w:after="0" w:line="123" w:lineRule="exact"/>
              <w:rPr>
                <w:sz w:val="20"/>
                <w:szCs w:val="20"/>
                <w:color w:val="auto"/>
              </w:rPr>
            </w:pPr>
            <w:r>
              <w:rPr>
                <w:rFonts w:ascii="Arial" w:cs="Arial" w:eastAsia="Arial" w:hAnsi="Arial"/>
                <w:sz w:val="11"/>
                <w:szCs w:val="11"/>
                <w:color w:val="auto"/>
              </w:rPr>
              <w:t>Points of sale P.O.S.</w:t>
            </w:r>
          </w:p>
        </w:tc>
        <w:tc>
          <w:tcPr>
            <w:tcW w:w="122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17,205,460</w:t>
            </w:r>
          </w:p>
        </w:tc>
        <w:tc>
          <w:tcPr>
            <w:tcW w:w="900" w:type="dxa"/>
            <w:vAlign w:val="bottom"/>
            <w:gridSpan w:val="2"/>
          </w:tcPr>
          <w:p>
            <w:pPr>
              <w:jc w:val="right"/>
              <w:ind w:right="83"/>
              <w:spacing w:after="0" w:line="123" w:lineRule="exact"/>
              <w:rPr>
                <w:sz w:val="20"/>
                <w:szCs w:val="20"/>
                <w:color w:val="auto"/>
              </w:rPr>
            </w:pPr>
            <w:r>
              <w:rPr>
                <w:rFonts w:ascii="Arial" w:cs="Arial" w:eastAsia="Arial" w:hAnsi="Arial"/>
                <w:sz w:val="11"/>
                <w:szCs w:val="11"/>
                <w:color w:val="auto"/>
              </w:rPr>
              <w:t>9.7%</w:t>
            </w:r>
          </w:p>
        </w:tc>
        <w:tc>
          <w:tcPr>
            <w:tcW w:w="124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19,251,035</w:t>
            </w:r>
          </w:p>
        </w:tc>
        <w:tc>
          <w:tcPr>
            <w:tcW w:w="880" w:type="dxa"/>
            <w:vAlign w:val="bottom"/>
            <w:gridSpan w:val="2"/>
          </w:tcPr>
          <w:p>
            <w:pPr>
              <w:jc w:val="right"/>
              <w:ind w:right="63"/>
              <w:spacing w:after="0" w:line="123" w:lineRule="exact"/>
              <w:rPr>
                <w:sz w:val="20"/>
                <w:szCs w:val="20"/>
                <w:color w:val="auto"/>
              </w:rPr>
            </w:pPr>
            <w:r>
              <w:rPr>
                <w:rFonts w:ascii="Arial" w:cs="Arial" w:eastAsia="Arial" w:hAnsi="Arial"/>
                <w:sz w:val="11"/>
                <w:szCs w:val="11"/>
                <w:color w:val="auto"/>
              </w:rPr>
              <w:t>7.7%</w:t>
            </w:r>
          </w:p>
        </w:tc>
        <w:tc>
          <w:tcPr>
            <w:tcW w:w="1240" w:type="dxa"/>
            <w:vAlign w:val="bottom"/>
            <w:gridSpan w:val="2"/>
          </w:tcPr>
          <w:p>
            <w:pPr>
              <w:jc w:val="right"/>
              <w:ind w:right="220"/>
              <w:spacing w:after="0" w:line="123" w:lineRule="exact"/>
              <w:rPr>
                <w:sz w:val="20"/>
                <w:szCs w:val="20"/>
                <w:color w:val="auto"/>
              </w:rPr>
            </w:pPr>
            <w:r>
              <w:rPr>
                <w:rFonts w:ascii="Arial" w:cs="Arial" w:eastAsia="Arial" w:hAnsi="Arial"/>
                <w:sz w:val="11"/>
                <w:szCs w:val="11"/>
                <w:color w:val="auto"/>
              </w:rPr>
              <w:t>18,389,832</w:t>
            </w:r>
          </w:p>
        </w:tc>
        <w:tc>
          <w:tcPr>
            <w:tcW w:w="900" w:type="dxa"/>
            <w:vAlign w:val="bottom"/>
            <w:gridSpan w:val="2"/>
          </w:tcPr>
          <w:p>
            <w:pPr>
              <w:jc w:val="right"/>
              <w:ind w:right="83"/>
              <w:spacing w:after="0" w:line="123" w:lineRule="exact"/>
              <w:rPr>
                <w:sz w:val="20"/>
                <w:szCs w:val="20"/>
                <w:color w:val="auto"/>
              </w:rPr>
            </w:pPr>
            <w:r>
              <w:rPr>
                <w:rFonts w:ascii="Arial" w:cs="Arial" w:eastAsia="Arial" w:hAnsi="Arial"/>
                <w:sz w:val="11"/>
                <w:szCs w:val="11"/>
                <w:color w:val="auto"/>
              </w:rPr>
              <w:t>7.9%</w:t>
            </w:r>
          </w:p>
        </w:tc>
        <w:tc>
          <w:tcPr>
            <w:tcW w:w="1280" w:type="dxa"/>
            <w:vAlign w:val="bottom"/>
            <w:gridSpan w:val="2"/>
          </w:tcPr>
          <w:p>
            <w:pPr>
              <w:jc w:val="right"/>
              <w:ind w:right="83"/>
              <w:spacing w:after="0" w:line="123" w:lineRule="exact"/>
              <w:rPr>
                <w:sz w:val="20"/>
                <w:szCs w:val="20"/>
                <w:color w:val="auto"/>
              </w:rPr>
            </w:pPr>
            <w:r>
              <w:rPr>
                <w:rFonts w:ascii="Arial" w:cs="Arial" w:eastAsia="Arial" w:hAnsi="Arial"/>
                <w:sz w:val="11"/>
                <w:szCs w:val="11"/>
                <w:color w:val="auto"/>
              </w:rPr>
              <w:t>(4.5)%</w:t>
            </w:r>
          </w:p>
        </w:tc>
        <w:tc>
          <w:tcPr>
            <w:tcW w:w="780" w:type="dxa"/>
            <w:vAlign w:val="bottom"/>
            <w:gridSpan w:val="3"/>
          </w:tcPr>
          <w:p>
            <w:pPr>
              <w:jc w:val="right"/>
              <w:ind w:right="20"/>
              <w:spacing w:after="0" w:line="123" w:lineRule="exact"/>
              <w:rPr>
                <w:sz w:val="20"/>
                <w:szCs w:val="20"/>
                <w:color w:val="auto"/>
              </w:rPr>
            </w:pPr>
            <w:r>
              <w:rPr>
                <w:rFonts w:ascii="Arial" w:cs="Arial" w:eastAsia="Arial" w:hAnsi="Arial"/>
                <w:sz w:val="11"/>
                <w:szCs w:val="11"/>
                <w:color w:val="auto"/>
              </w:rPr>
              <w:t>6.9%</w:t>
            </w:r>
          </w:p>
        </w:tc>
      </w:tr>
      <w:tr>
        <w:trPr>
          <w:trHeight w:val="135"/>
        </w:trPr>
        <w:tc>
          <w:tcPr>
            <w:tcW w:w="90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ATMs network</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212,155</w:t>
            </w:r>
          </w:p>
        </w:tc>
        <w:tc>
          <w:tcPr>
            <w:tcW w:w="900" w:type="dxa"/>
            <w:vAlign w:val="bottom"/>
            <w:gridSpan w:val="2"/>
            <w:shd w:val="clear" w:color="auto" w:fill="CCEEFF"/>
          </w:tcPr>
          <w:p>
            <w:pPr>
              <w:jc w:val="right"/>
              <w:ind w:right="83"/>
              <w:spacing w:after="0"/>
              <w:rPr>
                <w:sz w:val="20"/>
                <w:szCs w:val="20"/>
                <w:color w:val="auto"/>
              </w:rPr>
            </w:pPr>
            <w:r>
              <w:rPr>
                <w:rFonts w:ascii="Arial" w:cs="Arial" w:eastAsia="Arial" w:hAnsi="Arial"/>
                <w:sz w:val="11"/>
                <w:szCs w:val="11"/>
                <w:color w:val="auto"/>
              </w:rPr>
              <w:t>0.1%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290,695</w:t>
            </w:r>
          </w:p>
        </w:tc>
        <w:tc>
          <w:tcPr>
            <w:tcW w:w="88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auto"/>
              </w:rPr>
              <w:t>0.1%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256,084</w:t>
            </w:r>
          </w:p>
        </w:tc>
        <w:tc>
          <w:tcPr>
            <w:tcW w:w="900" w:type="dxa"/>
            <w:vAlign w:val="bottom"/>
            <w:gridSpan w:val="2"/>
            <w:shd w:val="clear" w:color="auto" w:fill="CCEEFF"/>
          </w:tcPr>
          <w:p>
            <w:pPr>
              <w:jc w:val="right"/>
              <w:ind w:right="83"/>
              <w:spacing w:after="0"/>
              <w:rPr>
                <w:sz w:val="20"/>
                <w:szCs w:val="20"/>
                <w:color w:val="auto"/>
              </w:rPr>
            </w:pPr>
            <w:r>
              <w:rPr>
                <w:rFonts w:ascii="Arial" w:cs="Arial" w:eastAsia="Arial" w:hAnsi="Arial"/>
                <w:sz w:val="11"/>
                <w:szCs w:val="11"/>
                <w:color w:val="auto"/>
              </w:rPr>
              <w:t>0.1%</w:t>
            </w:r>
          </w:p>
        </w:tc>
        <w:tc>
          <w:tcPr>
            <w:tcW w:w="1280" w:type="dxa"/>
            <w:vAlign w:val="bottom"/>
            <w:gridSpan w:val="2"/>
            <w:shd w:val="clear" w:color="auto" w:fill="CCEEFF"/>
          </w:tcPr>
          <w:p>
            <w:pPr>
              <w:jc w:val="right"/>
              <w:ind w:right="83"/>
              <w:spacing w:after="0"/>
              <w:rPr>
                <w:sz w:val="20"/>
                <w:szCs w:val="20"/>
                <w:color w:val="auto"/>
              </w:rPr>
            </w:pPr>
            <w:r>
              <w:rPr>
                <w:rFonts w:ascii="Arial" w:cs="Arial" w:eastAsia="Arial" w:hAnsi="Arial"/>
                <w:sz w:val="11"/>
                <w:szCs w:val="11"/>
                <w:color w:val="auto"/>
              </w:rPr>
              <w:t>(11.9)%</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20.7%</w:t>
            </w:r>
          </w:p>
        </w:tc>
      </w:tr>
      <w:tr>
        <w:trPr>
          <w:trHeight w:val="127"/>
        </w:trPr>
        <w:tc>
          <w:tcPr>
            <w:tcW w:w="900" w:type="dxa"/>
            <w:vAlign w:val="bottom"/>
          </w:tcPr>
          <w:p>
            <w:pPr>
              <w:spacing w:after="0"/>
              <w:rPr>
                <w:sz w:val="11"/>
                <w:szCs w:val="11"/>
                <w:color w:val="auto"/>
              </w:rPr>
            </w:pPr>
          </w:p>
        </w:tc>
        <w:tc>
          <w:tcPr>
            <w:tcW w:w="1900" w:type="dxa"/>
            <w:vAlign w:val="bottom"/>
            <w:gridSpan w:val="2"/>
          </w:tcPr>
          <w:p>
            <w:pPr>
              <w:spacing w:after="0"/>
              <w:rPr>
                <w:sz w:val="20"/>
                <w:szCs w:val="20"/>
                <w:color w:val="auto"/>
              </w:rPr>
            </w:pPr>
            <w:r>
              <w:rPr>
                <w:rFonts w:ascii="Arial" w:cs="Arial" w:eastAsia="Arial" w:hAnsi="Arial"/>
                <w:sz w:val="11"/>
                <w:szCs w:val="11"/>
                <w:b w:val="1"/>
                <w:bCs w:val="1"/>
                <w:color w:val="auto"/>
              </w:rPr>
              <w:t>Total transactions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177,456,012</w:t>
            </w:r>
          </w:p>
        </w:tc>
        <w:tc>
          <w:tcPr>
            <w:tcW w:w="220" w:type="dxa"/>
            <w:vAlign w:val="bottom"/>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100.0</w:t>
            </w:r>
          </w:p>
        </w:tc>
        <w:tc>
          <w:tcPr>
            <w:tcW w:w="220" w:type="dxa"/>
            <w:vAlign w:val="bottom"/>
          </w:tcPr>
          <w:p>
            <w:pPr>
              <w:jc w:val="right"/>
              <w:ind w:right="63"/>
              <w:spacing w:after="0"/>
              <w:rPr>
                <w:sz w:val="20"/>
                <w:szCs w:val="20"/>
                <w:color w:val="auto"/>
              </w:rPr>
            </w:pPr>
            <w:r>
              <w:rPr>
                <w:rFonts w:ascii="Arial" w:cs="Arial" w:eastAsia="Arial" w:hAnsi="Arial"/>
                <w:sz w:val="11"/>
                <w:szCs w:val="11"/>
                <w:b w:val="1"/>
                <w:bCs w:val="1"/>
                <w:color w:val="auto"/>
                <w:w w:val="8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249,927,212</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100.0</w:t>
            </w:r>
          </w:p>
        </w:tc>
        <w:tc>
          <w:tcPr>
            <w:tcW w:w="220" w:type="dxa"/>
            <w:vAlign w:val="bottom"/>
          </w:tcPr>
          <w:p>
            <w:pPr>
              <w:jc w:val="right"/>
              <w:ind w:right="43"/>
              <w:spacing w:after="0"/>
              <w:rPr>
                <w:sz w:val="20"/>
                <w:szCs w:val="20"/>
                <w:color w:val="auto"/>
              </w:rPr>
            </w:pPr>
            <w:r>
              <w:rPr>
                <w:rFonts w:ascii="Arial" w:cs="Arial" w:eastAsia="Arial" w:hAnsi="Arial"/>
                <w:sz w:val="11"/>
                <w:szCs w:val="11"/>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231,616,556</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100.0</w:t>
            </w:r>
          </w:p>
        </w:tc>
        <w:tc>
          <w:tcPr>
            <w:tcW w:w="240" w:type="dxa"/>
            <w:vAlign w:val="bottom"/>
          </w:tcPr>
          <w:p>
            <w:pPr>
              <w:jc w:val="right"/>
              <w:ind w:right="63"/>
              <w:spacing w:after="0"/>
              <w:rPr>
                <w:sz w:val="20"/>
                <w:szCs w:val="20"/>
                <w:color w:val="auto"/>
              </w:rPr>
            </w:pPr>
            <w:r>
              <w:rPr>
                <w:rFonts w:ascii="Arial" w:cs="Arial" w:eastAsia="Arial" w:hAnsi="Arial"/>
                <w:sz w:val="11"/>
                <w:szCs w:val="11"/>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(7.3</w:t>
            </w:r>
          </w:p>
        </w:tc>
        <w:tc>
          <w:tcPr>
            <w:tcW w:w="280" w:type="dxa"/>
            <w:vAlign w:val="bottom"/>
          </w:tcPr>
          <w:p>
            <w:pPr>
              <w:jc w:val="right"/>
              <w:ind w:right="63"/>
              <w:spacing w:after="0"/>
              <w:rPr>
                <w:sz w:val="20"/>
                <w:szCs w:val="20"/>
                <w:color w:val="auto"/>
              </w:rPr>
            </w:pPr>
            <w:r>
              <w:rPr>
                <w:rFonts w:ascii="Arial" w:cs="Arial" w:eastAsia="Arial" w:hAnsi="Arial"/>
                <w:sz w:val="11"/>
                <w:szCs w:val="11"/>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30.5</w:t>
            </w:r>
          </w:p>
        </w:tc>
        <w:tc>
          <w:tcPr>
            <w:tcW w:w="12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w w:val="81"/>
              </w:rPr>
              <w:t>%</w:t>
            </w:r>
          </w:p>
        </w:tc>
      </w:tr>
      <w:tr>
        <w:trPr>
          <w:trHeight w:val="20"/>
        </w:trPr>
        <w:tc>
          <w:tcPr>
            <w:tcW w:w="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068705"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068705" cy="7620"/>
                    </a:xfrm>
                    <a:prstGeom prst="rect">
                      <a:avLst/>
                    </a:prstGeom>
                    <a:noFill/>
                  </pic:spPr>
                </pic:pic>
              </a:graphicData>
            </a:graphic>
          </wp:anchor>
        </w:drawing>
      </w:r>
    </w:p>
    <w:p>
      <w:pPr>
        <w:spacing w:after="0" w:line="189" w:lineRule="exact"/>
        <w:rPr>
          <w:sz w:val="20"/>
          <w:szCs w:val="20"/>
          <w:color w:val="auto"/>
        </w:rPr>
      </w:pPr>
    </w:p>
    <w:p>
      <w:pPr>
        <w:ind w:left="2"/>
        <w:spacing w:after="0"/>
        <w:rPr>
          <w:sz w:val="20"/>
          <w:szCs w:val="20"/>
          <w:color w:val="auto"/>
        </w:rPr>
      </w:pPr>
      <w:r>
        <w:rPr>
          <w:rFonts w:ascii="Arial" w:cs="Arial" w:eastAsia="Arial" w:hAnsi="Arial"/>
          <w:sz w:val="16"/>
          <w:szCs w:val="16"/>
          <w:color w:val="auto"/>
        </w:rPr>
        <w:t>(1)Figures include monetary and non-monetary transactions.</w:t>
      </w:r>
    </w:p>
    <w:p>
      <w:pPr>
        <w:spacing w:after="0" w:line="209" w:lineRule="exact"/>
        <w:rPr>
          <w:sz w:val="20"/>
          <w:szCs w:val="20"/>
          <w:color w:val="auto"/>
        </w:rPr>
      </w:pPr>
    </w:p>
    <w:p>
      <w:pPr>
        <w:ind w:left="2" w:firstLine="295"/>
        <w:spacing w:after="0" w:line="316" w:lineRule="auto"/>
        <w:rPr>
          <w:sz w:val="20"/>
          <w:szCs w:val="20"/>
          <w:color w:val="auto"/>
        </w:rPr>
      </w:pPr>
      <w:r>
        <w:rPr>
          <w:rFonts w:ascii="Arial" w:cs="Arial" w:eastAsia="Arial" w:hAnsi="Arial"/>
          <w:sz w:val="14"/>
          <w:szCs w:val="14"/>
          <w:color w:val="auto"/>
        </w:rPr>
        <w:t>In the current economic and social environment, which has been marked by stringent restrictions on movements and economic activities since mid-March to stem contagion from the COVID-19 pandemic, the average number of transactions fell 7.3% comparing the three months ended March 31, 2020 to the three months ended December 31, 2019. The majority of this decline was concentrated in March, when the Peruvian government instituted a state of emergency and mandated obligatory social distancing measures. In contrast, the level of transactions increased 30.5% comparing the three months ended March 31, 2020 to the three months ended March 31, 2019.</w:t>
      </w:r>
    </w:p>
    <w:p>
      <w:pPr>
        <w:spacing w:after="0" w:line="135" w:lineRule="exact"/>
        <w:rPr>
          <w:sz w:val="20"/>
          <w:szCs w:val="20"/>
          <w:color w:val="auto"/>
        </w:rPr>
      </w:pPr>
    </w:p>
    <w:p>
      <w:pPr>
        <w:ind w:left="2" w:right="140" w:firstLine="295"/>
        <w:spacing w:after="0" w:line="271" w:lineRule="auto"/>
        <w:rPr>
          <w:sz w:val="20"/>
          <w:szCs w:val="20"/>
          <w:color w:val="auto"/>
        </w:rPr>
      </w:pPr>
      <w:r>
        <w:rPr>
          <w:rFonts w:ascii="Arial" w:cs="Arial" w:eastAsia="Arial" w:hAnsi="Arial"/>
          <w:sz w:val="16"/>
          <w:szCs w:val="16"/>
          <w:color w:val="auto"/>
        </w:rPr>
        <w:t xml:space="preserve">Comparing the three months ended March 31, 2020 to the three months ended December 31, 2019, transactions decreased across all channels with the exception of </w:t>
      </w:r>
      <w:r>
        <w:rPr>
          <w:rFonts w:ascii="Arial" w:cs="Arial" w:eastAsia="Arial" w:hAnsi="Arial"/>
          <w:sz w:val="16"/>
          <w:szCs w:val="16"/>
          <w:i w:val="1"/>
          <w:iCs w:val="1"/>
          <w:color w:val="auto"/>
        </w:rPr>
        <w:t xml:space="preserve">telecredito </w:t>
      </w:r>
      <w:r>
        <w:rPr>
          <w:rFonts w:ascii="Arial" w:cs="Arial" w:eastAsia="Arial" w:hAnsi="Arial"/>
          <w:sz w:val="16"/>
          <w:szCs w:val="16"/>
          <w:color w:val="auto"/>
        </w:rPr>
        <w:t>(2.7%) and direct debit (11.8%). In the three months ended March 31, 2020, the largest decrease in volume was recorded in mobile banking (4.8%) and ATMs</w:t>
      </w:r>
      <w:r>
        <w:rPr>
          <w:rFonts w:ascii="Arial" w:cs="Arial" w:eastAsia="Arial" w:hAnsi="Arial"/>
          <w:sz w:val="16"/>
          <w:szCs w:val="16"/>
          <w:i w:val="1"/>
          <w:iCs w:val="1"/>
          <w:color w:val="auto"/>
        </w:rPr>
        <w:t xml:space="preserve"> </w:t>
      </w:r>
      <w:r>
        <w:rPr>
          <w:rFonts w:ascii="Arial" w:cs="Arial" w:eastAsia="Arial" w:hAnsi="Arial"/>
          <w:sz w:val="16"/>
          <w:szCs w:val="16"/>
          <w:color w:val="auto"/>
        </w:rPr>
        <w:t>(17.8%) due to the COVID-19 crisis.</w:t>
      </w:r>
    </w:p>
    <w:p>
      <w:pPr>
        <w:spacing w:after="0" w:line="163" w:lineRule="exact"/>
        <w:rPr>
          <w:sz w:val="20"/>
          <w:szCs w:val="20"/>
          <w:color w:val="auto"/>
        </w:rPr>
      </w:pPr>
    </w:p>
    <w:p>
      <w:pPr>
        <w:ind w:left="2" w:right="80" w:firstLine="295"/>
        <w:spacing w:after="0" w:line="287" w:lineRule="auto"/>
        <w:rPr>
          <w:sz w:val="20"/>
          <w:szCs w:val="20"/>
          <w:color w:val="auto"/>
        </w:rPr>
      </w:pPr>
      <w:r>
        <w:rPr>
          <w:rFonts w:ascii="Arial" w:cs="Arial" w:eastAsia="Arial" w:hAnsi="Arial"/>
          <w:sz w:val="16"/>
          <w:szCs w:val="16"/>
          <w:color w:val="auto"/>
        </w:rPr>
        <w:t>Comparing the three months ended March 31, 2020 to the corresponding period of 2019, the monthly average of transactions increased. This was mainly driven by an increase in volume through the following channels:</w:t>
      </w:r>
    </w:p>
    <w:p>
      <w:pPr>
        <w:spacing w:after="0" w:line="150" w:lineRule="exact"/>
        <w:rPr>
          <w:sz w:val="20"/>
          <w:szCs w:val="20"/>
          <w:color w:val="auto"/>
        </w:rPr>
      </w:pPr>
    </w:p>
    <w:p>
      <w:pPr>
        <w:jc w:val="both"/>
        <w:ind w:left="722" w:right="320" w:hanging="366"/>
        <w:spacing w:after="0" w:line="271" w:lineRule="auto"/>
        <w:tabs>
          <w:tab w:leader="none" w:pos="722" w:val="left"/>
        </w:tabs>
        <w:numPr>
          <w:ilvl w:val="0"/>
          <w:numId w:val="211"/>
        </w:numPr>
        <w:rPr>
          <w:rFonts w:ascii="Arial" w:cs="Arial" w:eastAsia="Arial" w:hAnsi="Arial"/>
          <w:sz w:val="16"/>
          <w:szCs w:val="16"/>
          <w:color w:val="auto"/>
        </w:rPr>
      </w:pPr>
      <w:r>
        <w:rPr>
          <w:rFonts w:ascii="Arial" w:cs="Arial" w:eastAsia="Arial" w:hAnsi="Arial"/>
          <w:sz w:val="16"/>
          <w:szCs w:val="16"/>
          <w:color w:val="auto"/>
        </w:rPr>
        <w:t>Mobile banking (67.1% comparing the three months ended March 31, 2020 to the corresponding period of 2019), which continued to post an increase in its share of total transactions due to operating improvements that were rolled out for the “Mobile Banking BCP” application and also related to our clients’ on-going shift to digital channels.</w:t>
      </w:r>
    </w:p>
    <w:p>
      <w:pPr>
        <w:spacing w:after="0" w:line="162" w:lineRule="exact"/>
        <w:rPr>
          <w:rFonts w:ascii="Arial" w:cs="Arial" w:eastAsia="Arial" w:hAnsi="Arial"/>
          <w:sz w:val="16"/>
          <w:szCs w:val="16"/>
          <w:color w:val="auto"/>
        </w:rPr>
      </w:pPr>
    </w:p>
    <w:p>
      <w:pPr>
        <w:ind w:left="722" w:right="60" w:hanging="366"/>
        <w:spacing w:after="0" w:line="287" w:lineRule="auto"/>
        <w:tabs>
          <w:tab w:leader="none" w:pos="722"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Internet Banking Vía BCP (38.7% comparing the three months ended March 31, 2020 to the corresponding period of 2019), driven by the effort to redesign our web page to allow our clients to conduct transactions and find information with greater ease and speed.</w:t>
      </w:r>
    </w:p>
    <w:p>
      <w:pPr>
        <w:spacing w:after="0" w:line="149" w:lineRule="exact"/>
        <w:rPr>
          <w:rFonts w:ascii="Arial" w:cs="Arial" w:eastAsia="Arial" w:hAnsi="Arial"/>
          <w:sz w:val="16"/>
          <w:szCs w:val="16"/>
          <w:color w:val="auto"/>
        </w:rPr>
      </w:pPr>
    </w:p>
    <w:p>
      <w:pPr>
        <w:ind w:left="722" w:hanging="366"/>
        <w:spacing w:after="0"/>
        <w:tabs>
          <w:tab w:leader="none" w:pos="722" w:val="left"/>
        </w:tabs>
        <w:numPr>
          <w:ilvl w:val="0"/>
          <w:numId w:val="211"/>
        </w:numPr>
        <w:rPr>
          <w:rFonts w:ascii="Arial" w:cs="Arial" w:eastAsia="Arial" w:hAnsi="Arial"/>
          <w:sz w:val="15"/>
          <w:szCs w:val="15"/>
          <w:color w:val="auto"/>
        </w:rPr>
      </w:pPr>
      <w:r>
        <w:rPr>
          <w:rFonts w:ascii="Arial" w:cs="Arial" w:eastAsia="Arial" w:hAnsi="Arial"/>
          <w:sz w:val="15"/>
          <w:szCs w:val="15"/>
          <w:color w:val="auto"/>
        </w:rPr>
        <w:t>Agentes BCP (14.0% comparing the three months ended March 31, 2020 to the corresponding period of 2019), which registered in increase in locations.</w:t>
      </w:r>
    </w:p>
    <w:p>
      <w:pPr>
        <w:spacing w:after="0" w:line="221" w:lineRule="exact"/>
        <w:rPr>
          <w:sz w:val="20"/>
          <w:szCs w:val="20"/>
          <w:color w:val="auto"/>
        </w:rPr>
      </w:pPr>
    </w:p>
    <w:p>
      <w:pPr>
        <w:ind w:left="302"/>
        <w:spacing w:after="0"/>
        <w:rPr>
          <w:sz w:val="20"/>
          <w:szCs w:val="20"/>
          <w:color w:val="auto"/>
        </w:rPr>
      </w:pPr>
      <w:r>
        <w:rPr>
          <w:rFonts w:ascii="Arial" w:cs="Arial" w:eastAsia="Arial" w:hAnsi="Arial"/>
          <w:sz w:val="14"/>
          <w:szCs w:val="14"/>
          <w:color w:val="auto"/>
        </w:rPr>
        <w:t>Transactions through traditional channels continued to fall comparing the three months ended March 31, 2020 to the corresponding period of 2019: (i) ATMs (13.5%),</w:t>
      </w:r>
    </w:p>
    <w:p>
      <w:pPr>
        <w:spacing w:after="0" w:line="47" w:lineRule="exact"/>
        <w:rPr>
          <w:sz w:val="20"/>
          <w:szCs w:val="20"/>
          <w:color w:val="auto"/>
        </w:rPr>
      </w:pPr>
    </w:p>
    <w:p>
      <w:pPr>
        <w:ind w:left="2" w:right="100" w:hanging="2"/>
        <w:spacing w:after="0" w:line="264" w:lineRule="auto"/>
        <w:tabs>
          <w:tab w:leader="none" w:pos="243"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Tellers 14.5%), (iii) Telephone Banking (12.0%) and (iv) Balance Inquiry Modules (23.4%). These decreases were due to (i) an increased shift toward digital channels such as mobile and internet banking offer similar functions and (ii) on-going efforts to implement other digital platforms in branches, which allow clients to consult information, open savings accounts and pick up debit cards.</w:t>
      </w:r>
    </w:p>
    <w:p>
      <w:pPr>
        <w:spacing w:after="0" w:line="168" w:lineRule="exact"/>
        <w:rPr>
          <w:sz w:val="20"/>
          <w:szCs w:val="20"/>
          <w:color w:val="auto"/>
        </w:rPr>
      </w:pPr>
    </w:p>
    <w:p>
      <w:pPr>
        <w:ind w:left="2" w:right="80" w:firstLine="295"/>
        <w:spacing w:after="0" w:line="264" w:lineRule="auto"/>
        <w:rPr>
          <w:sz w:val="20"/>
          <w:szCs w:val="20"/>
          <w:color w:val="auto"/>
        </w:rPr>
      </w:pPr>
      <w:r>
        <w:rPr>
          <w:rFonts w:ascii="Arial" w:cs="Arial" w:eastAsia="Arial" w:hAnsi="Arial"/>
          <w:sz w:val="16"/>
          <w:szCs w:val="16"/>
          <w:color w:val="auto"/>
        </w:rPr>
        <w:t>We expect that growth in banking transactions in the region will continue to be directed mainly through digital channels. The current scenario of social distancing and public health measures will drive even more demand for these services. Growth in the volume of transactions will be carried out primarily through mobile banking and internet banking, which will blend well with our objective to possess an efficient and profitable network of customer service channels. Our interbank payment application, Yape, hit the 2.5 million user mark in the first quarter of 2020 and has become a useful instrument for both individuals and businesses to conduct efficient, zero-cost transactions.</w:t>
      </w:r>
    </w:p>
    <w:p>
      <w:pPr>
        <w:spacing w:after="0" w:line="36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44385"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32" w:right="339" w:bottom="1440" w:gutter="0" w:footer="0" w:header="0"/>
        </w:sectPr>
      </w:pPr>
    </w:p>
    <w:bookmarkStart w:id="198" w:name="page199"/>
    <w:bookmarkEnd w:id="198"/>
    <w:p>
      <w:pPr>
        <w:ind w:left="162"/>
        <w:spacing w:after="0"/>
        <w:rPr>
          <w:sz w:val="20"/>
          <w:szCs w:val="20"/>
          <w:color w:val="auto"/>
        </w:rPr>
      </w:pPr>
      <w:r>
        <w:rPr>
          <w:rFonts w:ascii="Arial" w:cs="Arial" w:eastAsia="Arial" w:hAnsi="Arial"/>
          <w:sz w:val="16"/>
          <w:szCs w:val="16"/>
          <w:i w:val="1"/>
          <w:iCs w:val="1"/>
          <w:color w:val="auto"/>
        </w:rPr>
        <w:t>Points of Contact – BCP Bolivia</w:t>
      </w:r>
    </w:p>
    <w:p>
      <w:pPr>
        <w:spacing w:after="0" w:line="222" w:lineRule="exact"/>
        <w:rPr>
          <w:sz w:val="20"/>
          <w:szCs w:val="20"/>
          <w:color w:val="auto"/>
        </w:rPr>
      </w:pPr>
    </w:p>
    <w:tbl>
      <w:tblPr>
        <w:tblLayout w:type="fixed"/>
        <w:tblInd w:w="2" w:type="dxa"/>
        <w:tblCellMar>
          <w:top w:w="0" w:type="dxa"/>
          <w:left w:w="0" w:type="dxa"/>
          <w:bottom w:w="0" w:type="dxa"/>
          <w:right w:w="0" w:type="dxa"/>
        </w:tblCellMar>
      </w:tblPr>
      <w:tr>
        <w:trPr>
          <w:trHeight w:val="194"/>
        </w:trPr>
        <w:tc>
          <w:tcPr>
            <w:tcW w:w="5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ind w:left="960"/>
              <w:spacing w:after="0"/>
              <w:rPr>
                <w:sz w:val="20"/>
                <w:szCs w:val="20"/>
                <w:color w:val="auto"/>
              </w:rPr>
            </w:pPr>
            <w:r>
              <w:rPr>
                <w:rFonts w:ascii="Arial" w:cs="Arial" w:eastAsia="Arial" w:hAnsi="Arial"/>
                <w:sz w:val="15"/>
                <w:szCs w:val="15"/>
                <w:b w:val="1"/>
                <w:bCs w:val="1"/>
                <w:color w:val="auto"/>
              </w:rPr>
              <w:t>As of</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8"/>
              </w:rPr>
              <w:t># Change</w:t>
            </w: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spacing w:after="0" w:line="167" w:lineRule="exact"/>
              <w:rPr>
                <w:sz w:val="20"/>
                <w:szCs w:val="20"/>
                <w:color w:val="auto"/>
              </w:rPr>
            </w:pPr>
            <w:r>
              <w:rPr>
                <w:rFonts w:ascii="Arial" w:cs="Arial" w:eastAsia="Arial" w:hAnsi="Arial"/>
                <w:sz w:val="15"/>
                <w:szCs w:val="15"/>
                <w:b w:val="1"/>
                <w:bCs w:val="1"/>
                <w:color w:val="auto"/>
                <w:w w:val="94"/>
              </w:rPr>
              <w:t>March</w:t>
            </w:r>
          </w:p>
        </w:tc>
        <w:tc>
          <w:tcPr>
            <w:tcW w:w="2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146"/>
              <w:spacing w:after="0"/>
              <w:rPr>
                <w:sz w:val="20"/>
                <w:szCs w:val="20"/>
                <w:color w:val="auto"/>
              </w:rPr>
            </w:pPr>
            <w:r>
              <w:rPr>
                <w:rFonts w:ascii="Arial" w:cs="Arial" w:eastAsia="Arial" w:hAnsi="Arial"/>
                <w:sz w:val="15"/>
                <w:szCs w:val="15"/>
                <w:b w:val="1"/>
                <w:bCs w:val="1"/>
                <w:color w:val="auto"/>
              </w:rPr>
              <w:t>31, 2020 /</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780" w:type="dxa"/>
            <w:vAlign w:val="bottom"/>
          </w:tcPr>
          <w:p>
            <w:pPr>
              <w:jc w:val="center"/>
              <w:ind w:left="166"/>
              <w:spacing w:after="0"/>
              <w:rPr>
                <w:sz w:val="20"/>
                <w:szCs w:val="20"/>
                <w:color w:val="auto"/>
              </w:rPr>
            </w:pPr>
            <w:r>
              <w:rPr>
                <w:rFonts w:ascii="Arial" w:cs="Arial" w:eastAsia="Arial" w:hAnsi="Arial"/>
                <w:sz w:val="15"/>
                <w:szCs w:val="15"/>
                <w:b w:val="1"/>
                <w:bCs w:val="1"/>
                <w:color w:val="auto"/>
                <w:w w:val="94"/>
              </w:rPr>
              <w:t>March</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ind w:left="200"/>
              <w:spacing w:after="0"/>
              <w:rPr>
                <w:sz w:val="20"/>
                <w:szCs w:val="20"/>
                <w:color w:val="auto"/>
              </w:rPr>
            </w:pPr>
            <w:r>
              <w:rPr>
                <w:rFonts w:ascii="Arial" w:cs="Arial" w:eastAsia="Arial" w:hAnsi="Arial"/>
                <w:sz w:val="15"/>
                <w:szCs w:val="15"/>
                <w:b w:val="1"/>
                <w:bCs w:val="1"/>
                <w:color w:val="auto"/>
              </w:rPr>
              <w:t>December</w:t>
            </w:r>
          </w:p>
        </w:tc>
        <w:tc>
          <w:tcPr>
            <w:tcW w:w="108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March</w:t>
            </w:r>
          </w:p>
        </w:tc>
        <w:tc>
          <w:tcPr>
            <w:tcW w:w="12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w:t>
            </w:r>
          </w:p>
        </w:tc>
        <w:tc>
          <w:tcPr>
            <w:tcW w:w="110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4"/>
              </w:rPr>
              <w:t>March</w:t>
            </w:r>
          </w:p>
        </w:tc>
        <w:tc>
          <w:tcPr>
            <w:tcW w:w="0" w:type="dxa"/>
            <w:vAlign w:val="bottom"/>
          </w:tcPr>
          <w:p>
            <w:pPr>
              <w:spacing w:after="0"/>
              <w:rPr>
                <w:sz w:val="1"/>
                <w:szCs w:val="1"/>
                <w:color w:val="auto"/>
              </w:rPr>
            </w:pPr>
          </w:p>
        </w:tc>
      </w:tr>
      <w:tr>
        <w:trPr>
          <w:trHeight w:val="194"/>
        </w:trPr>
        <w:tc>
          <w:tcPr>
            <w:tcW w:w="52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31, 2019</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31, 2019</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31, 2020</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31, 2019</w:t>
            </w:r>
          </w:p>
        </w:tc>
        <w:tc>
          <w:tcPr>
            <w:tcW w:w="2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31, 2020 / 2019</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Branches</w:t>
            </w: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4"/>
        </w:trPr>
        <w:tc>
          <w:tcPr>
            <w:tcW w:w="5980" w:type="dxa"/>
            <w:vAlign w:val="bottom"/>
            <w:gridSpan w:val="2"/>
          </w:tcPr>
          <w:p>
            <w:pPr>
              <w:spacing w:after="0"/>
              <w:rPr>
                <w:sz w:val="20"/>
                <w:szCs w:val="20"/>
                <w:color w:val="auto"/>
              </w:rPr>
            </w:pPr>
            <w:r>
              <w:rPr>
                <w:rFonts w:ascii="Arial" w:cs="Arial" w:eastAsia="Arial" w:hAnsi="Arial"/>
                <w:sz w:val="15"/>
                <w:szCs w:val="15"/>
                <w:color w:val="auto"/>
              </w:rPr>
              <w:t>ATMs</w:t>
            </w:r>
          </w:p>
        </w:tc>
        <w:tc>
          <w:tcPr>
            <w:tcW w:w="240" w:type="dxa"/>
            <w:vAlign w:val="bottom"/>
          </w:tcPr>
          <w:p>
            <w:pPr>
              <w:jc w:val="right"/>
              <w:spacing w:after="0"/>
              <w:rPr>
                <w:sz w:val="20"/>
                <w:szCs w:val="20"/>
                <w:color w:val="auto"/>
              </w:rPr>
            </w:pPr>
            <w:r>
              <w:rPr>
                <w:rFonts w:ascii="Arial" w:cs="Arial" w:eastAsia="Arial" w:hAnsi="Arial"/>
                <w:sz w:val="15"/>
                <w:szCs w:val="15"/>
                <w:color w:val="auto"/>
                <w:w w:val="87"/>
              </w:rPr>
              <w:t>299</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301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307</w:t>
            </w:r>
          </w:p>
        </w:tc>
        <w:tc>
          <w:tcPr>
            <w:tcW w:w="1020" w:type="dxa"/>
            <w:vAlign w:val="bottom"/>
          </w:tcPr>
          <w:p>
            <w:pPr>
              <w:jc w:val="right"/>
              <w:spacing w:after="0"/>
              <w:rPr>
                <w:sz w:val="20"/>
                <w:szCs w:val="20"/>
                <w:color w:val="auto"/>
              </w:rPr>
            </w:pPr>
            <w:r>
              <w:rPr>
                <w:rFonts w:ascii="Arial" w:cs="Arial" w:eastAsia="Arial" w:hAnsi="Arial"/>
                <w:sz w:val="15"/>
                <w:szCs w:val="15"/>
                <w:color w:val="auto"/>
              </w:rPr>
              <w:t>6</w:t>
            </w:r>
          </w:p>
        </w:tc>
        <w:tc>
          <w:tcPr>
            <w:tcW w:w="22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Agentes BCP Bolivia</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363</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555</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192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5"/>
                <w:szCs w:val="15"/>
                <w:b w:val="1"/>
                <w:bCs w:val="1"/>
                <w:color w:val="auto"/>
              </w:rPr>
              <w:t>Total Bolivia’s Network</w:t>
            </w: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w w:val="87"/>
              </w:rPr>
              <w:t>718</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801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917</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116</w:t>
            </w:r>
          </w:p>
        </w:tc>
        <w:tc>
          <w:tcPr>
            <w:tcW w:w="102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199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 w:right="140" w:firstLine="295"/>
        <w:spacing w:after="0" w:line="287" w:lineRule="auto"/>
        <w:rPr>
          <w:sz w:val="20"/>
          <w:szCs w:val="20"/>
          <w:color w:val="auto"/>
        </w:rPr>
      </w:pPr>
      <w:r>
        <w:rPr>
          <w:rFonts w:ascii="Arial" w:cs="Arial" w:eastAsia="Arial" w:hAnsi="Arial"/>
          <w:sz w:val="16"/>
          <w:szCs w:val="16"/>
          <w:color w:val="auto"/>
        </w:rPr>
        <w:t>At BCP Bolivia, points of contact increased by 116 comparing March 31, 2020 to December 31, 2019 after an increase in Agentes BCP Bolivia (109) were deployed in line with our strategy to growth points of contacts through cost-efficient channels.</w:t>
      </w:r>
    </w:p>
    <w:p>
      <w:pPr>
        <w:spacing w:after="0" w:line="150" w:lineRule="exact"/>
        <w:rPr>
          <w:sz w:val="20"/>
          <w:szCs w:val="20"/>
          <w:color w:val="auto"/>
        </w:rPr>
      </w:pPr>
    </w:p>
    <w:p>
      <w:pPr>
        <w:ind w:left="2" w:right="100" w:firstLine="295"/>
        <w:spacing w:after="0" w:line="266" w:lineRule="auto"/>
        <w:rPr>
          <w:sz w:val="20"/>
          <w:szCs w:val="20"/>
          <w:color w:val="auto"/>
        </w:rPr>
      </w:pPr>
      <w:r>
        <w:rPr>
          <w:rFonts w:ascii="Arial" w:cs="Arial" w:eastAsia="Arial" w:hAnsi="Arial"/>
          <w:sz w:val="16"/>
          <w:szCs w:val="16"/>
          <w:color w:val="auto"/>
        </w:rPr>
        <w:t>The comparison between March 31, 2020 and March 31, 2019 experienced a similar trend, where the total number of points of contact in BCP Bolivia increased 199. This was primarily attributable to growth in the number of Agentes BCP Bolivia (192) and, to a lesser extent, to expansion in the number of ATMs (8). The number of branches, nonetheless, fell by one when comparing these periods. The increases in the number of Agentes and ATMs was attributable to the bank’s strategy to establish cost-efficient channels to reach more clients and also reflects a move to offset the effect of branch closings.</w:t>
      </w:r>
    </w:p>
    <w:p>
      <w:pPr>
        <w:spacing w:after="0" w:line="167"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5200" w:type="dxa"/>
            <w:vAlign w:val="bottom"/>
          </w:tcPr>
          <w:p>
            <w:pPr>
              <w:ind w:left="160"/>
              <w:spacing w:after="0"/>
              <w:rPr>
                <w:sz w:val="20"/>
                <w:szCs w:val="20"/>
                <w:color w:val="auto"/>
              </w:rPr>
            </w:pPr>
            <w:r>
              <w:rPr>
                <w:rFonts w:ascii="Arial" w:cs="Arial" w:eastAsia="Arial" w:hAnsi="Arial"/>
                <w:sz w:val="16"/>
                <w:szCs w:val="16"/>
                <w:b w:val="1"/>
                <w:bCs w:val="1"/>
                <w:i w:val="1"/>
                <w:iCs w:val="1"/>
                <w:color w:val="auto"/>
              </w:rPr>
              <w:t>Microfinance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3"/>
        </w:trPr>
        <w:tc>
          <w:tcPr>
            <w:tcW w:w="5200" w:type="dxa"/>
            <w:vAlign w:val="bottom"/>
          </w:tcPr>
          <w:p>
            <w:pPr>
              <w:ind w:left="300"/>
              <w:spacing w:after="0"/>
              <w:rPr>
                <w:sz w:val="20"/>
                <w:szCs w:val="20"/>
                <w:color w:val="auto"/>
              </w:rPr>
            </w:pPr>
            <w:r>
              <w:rPr>
                <w:rFonts w:ascii="Arial" w:cs="Arial" w:eastAsia="Arial" w:hAnsi="Arial"/>
                <w:sz w:val="16"/>
                <w:szCs w:val="16"/>
                <w:i w:val="1"/>
                <w:iCs w:val="1"/>
                <w:color w:val="auto"/>
              </w:rPr>
              <w:t>Points of Contact – Mibanco</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6"/>
        </w:trPr>
        <w:tc>
          <w:tcPr>
            <w:tcW w:w="5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As of</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4"/>
          </w:tcPr>
          <w:p>
            <w:pPr>
              <w:ind w:left="800"/>
              <w:spacing w:after="0"/>
              <w:rPr>
                <w:sz w:val="20"/>
                <w:szCs w:val="20"/>
                <w:color w:val="auto"/>
              </w:rPr>
            </w:pPr>
            <w:r>
              <w:rPr>
                <w:rFonts w:ascii="Arial" w:cs="Arial" w:eastAsia="Arial" w:hAnsi="Arial"/>
                <w:sz w:val="16"/>
                <w:szCs w:val="16"/>
                <w:b w:val="1"/>
                <w:bCs w:val="1"/>
                <w:color w:val="auto"/>
              </w:rPr>
              <w:t># Change</w:t>
            </w:r>
          </w:p>
        </w:tc>
      </w:tr>
      <w:tr>
        <w:trPr>
          <w:trHeight w:val="173"/>
        </w:trPr>
        <w:tc>
          <w:tcPr>
            <w:tcW w:w="52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top w:val="single" w:sz="8" w:color="auto"/>
            </w:tcBorders>
            <w:gridSpan w:val="2"/>
          </w:tcPr>
          <w:p>
            <w:pPr>
              <w:jc w:val="center"/>
              <w:ind w:right="240"/>
              <w:spacing w:after="0" w:line="173" w:lineRule="exact"/>
              <w:rPr>
                <w:sz w:val="20"/>
                <w:szCs w:val="20"/>
                <w:color w:val="auto"/>
              </w:rPr>
            </w:pPr>
            <w:r>
              <w:rPr>
                <w:rFonts w:ascii="Arial" w:cs="Arial" w:eastAsia="Arial" w:hAnsi="Arial"/>
                <w:sz w:val="16"/>
                <w:szCs w:val="16"/>
                <w:b w:val="1"/>
                <w:bCs w:val="1"/>
                <w:color w:val="auto"/>
                <w:w w:val="97"/>
              </w:rPr>
              <w:t>March 31,</w:t>
            </w: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5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18"/>
              <w:spacing w:after="0"/>
              <w:rPr>
                <w:sz w:val="20"/>
                <w:szCs w:val="20"/>
                <w:color w:val="auto"/>
              </w:rPr>
            </w:pPr>
            <w:r>
              <w:rPr>
                <w:rFonts w:ascii="Arial" w:cs="Arial" w:eastAsia="Arial" w:hAnsi="Arial"/>
                <w:sz w:val="16"/>
                <w:szCs w:val="16"/>
                <w:b w:val="1"/>
                <w:bCs w:val="1"/>
                <w:color w:val="auto"/>
              </w:rPr>
              <w:t>2020 /</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2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w:t>
            </w: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March 31,</w:t>
            </w: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March 31,</w:t>
            </w:r>
          </w:p>
        </w:tc>
      </w:tr>
      <w:tr>
        <w:trPr>
          <w:trHeight w:val="212"/>
        </w:trPr>
        <w:tc>
          <w:tcPr>
            <w:tcW w:w="52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2020 / 2019</w:t>
            </w:r>
          </w:p>
        </w:tc>
        <w:tc>
          <w:tcPr>
            <w:tcW w:w="100" w:type="dxa"/>
            <w:vAlign w:val="bottom"/>
            <w:tcBorders>
              <w:bottom w:val="single" w:sz="8" w:color="CCEEFF"/>
            </w:tcBorders>
          </w:tcPr>
          <w:p>
            <w:pPr>
              <w:spacing w:after="0"/>
              <w:rPr>
                <w:sz w:val="18"/>
                <w:szCs w:val="18"/>
                <w:color w:val="auto"/>
              </w:rPr>
            </w:pPr>
          </w:p>
        </w:tc>
      </w:tr>
      <w:tr>
        <w:trPr>
          <w:trHeight w:val="190"/>
        </w:trPr>
        <w:tc>
          <w:tcPr>
            <w:tcW w:w="5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Mibanco’s Network(1)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324</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323</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325</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42748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427480" cy="7620"/>
                    </a:xfrm>
                    <a:prstGeom prst="rect">
                      <a:avLst/>
                    </a:prstGeom>
                    <a:noFill/>
                  </pic:spPr>
                </pic:pic>
              </a:graphicData>
            </a:graphic>
          </wp:anchor>
        </w:drawing>
      </w:r>
    </w:p>
    <w:p>
      <w:pPr>
        <w:spacing w:after="0" w:line="189" w:lineRule="exact"/>
        <w:rPr>
          <w:sz w:val="20"/>
          <w:szCs w:val="20"/>
          <w:color w:val="auto"/>
        </w:rPr>
      </w:pPr>
    </w:p>
    <w:p>
      <w:pPr>
        <w:ind w:left="302" w:right="40" w:hanging="302"/>
        <w:spacing w:after="0" w:line="287" w:lineRule="auto"/>
        <w:tabs>
          <w:tab w:leader="none" w:pos="302" w:val="left"/>
        </w:tabs>
        <w:numPr>
          <w:ilvl w:val="0"/>
          <w:numId w:val="213"/>
        </w:numPr>
        <w:rPr>
          <w:rFonts w:ascii="Arial" w:cs="Arial" w:eastAsia="Arial" w:hAnsi="Arial"/>
          <w:sz w:val="16"/>
          <w:szCs w:val="16"/>
          <w:color w:val="auto"/>
        </w:rPr>
      </w:pPr>
      <w:r>
        <w:rPr>
          <w:rFonts w:ascii="Arial" w:cs="Arial" w:eastAsia="Arial" w:hAnsi="Arial"/>
          <w:sz w:val="16"/>
          <w:szCs w:val="16"/>
          <w:color w:val="auto"/>
        </w:rPr>
        <w:t>Mibanco does not have Agents or ATMs because it uses the BCP network. Mibanco branches include Banco de la Nacion branches, which in Mar 19, Dec 19 and Mar 20 were 35.</w:t>
      </w:r>
    </w:p>
    <w:p>
      <w:pPr>
        <w:spacing w:after="0" w:line="150" w:lineRule="exact"/>
        <w:rPr>
          <w:sz w:val="20"/>
          <w:szCs w:val="20"/>
          <w:color w:val="auto"/>
        </w:rPr>
      </w:pPr>
    </w:p>
    <w:p>
      <w:pPr>
        <w:ind w:left="2" w:right="160" w:firstLine="295"/>
        <w:spacing w:after="0" w:line="271" w:lineRule="auto"/>
        <w:rPr>
          <w:sz w:val="20"/>
          <w:szCs w:val="20"/>
          <w:color w:val="auto"/>
        </w:rPr>
      </w:pPr>
      <w:r>
        <w:rPr>
          <w:rFonts w:ascii="Arial" w:cs="Arial" w:eastAsia="Arial" w:hAnsi="Arial"/>
          <w:sz w:val="16"/>
          <w:szCs w:val="16"/>
          <w:color w:val="auto"/>
        </w:rPr>
        <w:t>At Mibanco, points of contact increased by two comparing March 31, 2020 to December 31, 2019. When comparing March 31, 2020 and March 31, 2019, there was one additional branch. Mibanco has an agreement with the Banco de la Nacion to use the latter’s branches at the national level to reduce operating costs. At the end of March 31, 2020, these branches represented 11% (35 branches) of the 325 operated by Mibanco.</w:t>
      </w:r>
    </w:p>
    <w:p>
      <w:pPr>
        <w:spacing w:after="0" w:line="159"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5200" w:type="dxa"/>
            <w:vAlign w:val="bottom"/>
            <w:gridSpan w:val="2"/>
          </w:tcPr>
          <w:p>
            <w:pPr>
              <w:spacing w:after="0"/>
              <w:rPr>
                <w:sz w:val="20"/>
                <w:szCs w:val="20"/>
                <w:color w:val="auto"/>
              </w:rPr>
            </w:pPr>
            <w:r>
              <w:rPr>
                <w:rFonts w:ascii="Arial" w:cs="Arial" w:eastAsia="Arial" w:hAnsi="Arial"/>
                <w:sz w:val="16"/>
                <w:szCs w:val="16"/>
                <w:b w:val="1"/>
                <w:bCs w:val="1"/>
                <w:color w:val="auto"/>
              </w:rPr>
              <w:t>Economic Perspectives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3"/>
        </w:trPr>
        <w:tc>
          <w:tcPr>
            <w:tcW w:w="5200" w:type="dxa"/>
            <w:vAlign w:val="bottom"/>
            <w:gridSpan w:val="2"/>
          </w:tcPr>
          <w:p>
            <w:pPr>
              <w:ind w:left="160"/>
              <w:spacing w:after="0"/>
              <w:rPr>
                <w:sz w:val="20"/>
                <w:szCs w:val="20"/>
                <w:color w:val="auto"/>
              </w:rPr>
            </w:pPr>
            <w:r>
              <w:rPr>
                <w:rFonts w:ascii="Arial" w:cs="Arial" w:eastAsia="Arial" w:hAnsi="Arial"/>
                <w:sz w:val="16"/>
                <w:szCs w:val="16"/>
                <w:b w:val="1"/>
                <w:bCs w:val="1"/>
                <w:i w:val="1"/>
                <w:iCs w:val="1"/>
                <w:color w:val="auto"/>
              </w:rPr>
              <w:t>Peru Economic Data and Forecasts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ind w:left="500"/>
              <w:spacing w:after="0"/>
              <w:rPr>
                <w:sz w:val="20"/>
                <w:szCs w:val="20"/>
                <w:color w:val="auto"/>
              </w:rPr>
            </w:pPr>
            <w:r>
              <w:rPr>
                <w:rFonts w:ascii="Arial" w:cs="Arial" w:eastAsia="Arial" w:hAnsi="Arial"/>
                <w:sz w:val="16"/>
                <w:szCs w:val="16"/>
                <w:b w:val="1"/>
                <w:bCs w:val="1"/>
                <w:color w:val="auto"/>
              </w:rPr>
              <w:t>For the Years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5200" w:type="dxa"/>
            <w:vAlign w:val="bottom"/>
            <w:gridSpan w:val="2"/>
          </w:tcPr>
          <w:p>
            <w:pPr>
              <w:ind w:left="2360"/>
              <w:spacing w:after="0"/>
              <w:rPr>
                <w:sz w:val="20"/>
                <w:szCs w:val="20"/>
                <w:color w:val="auto"/>
              </w:rPr>
            </w:pPr>
            <w:r>
              <w:rPr>
                <w:rFonts w:ascii="Arial" w:cs="Arial" w:eastAsia="Arial" w:hAnsi="Arial"/>
                <w:sz w:val="16"/>
                <w:szCs w:val="16"/>
                <w:b w:val="1"/>
                <w:bCs w:val="1"/>
                <w:color w:val="auto"/>
              </w:rPr>
              <w:t>Peru</w:t>
            </w:r>
          </w:p>
        </w:tc>
        <w:tc>
          <w:tcPr>
            <w:tcW w:w="1020" w:type="dxa"/>
            <w:vAlign w:val="bottom"/>
          </w:tcPr>
          <w:p>
            <w:pPr>
              <w:ind w:left="340"/>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7"/>
                <w:szCs w:val="17"/>
                <w:color w:val="auto"/>
              </w:rPr>
            </w:pPr>
          </w:p>
        </w:tc>
        <w:tc>
          <w:tcPr>
            <w:tcW w:w="1020" w:type="dxa"/>
            <w:vAlign w:val="bottom"/>
          </w:tcPr>
          <w:p>
            <w:pPr>
              <w:jc w:val="right"/>
              <w:ind w:right="258"/>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7"/>
                <w:szCs w:val="17"/>
                <w:color w:val="auto"/>
              </w:rPr>
            </w:pPr>
          </w:p>
        </w:tc>
        <w:tc>
          <w:tcPr>
            <w:tcW w:w="1000" w:type="dxa"/>
            <w:vAlign w:val="bottom"/>
          </w:tcPr>
          <w:p>
            <w:pPr>
              <w:jc w:val="right"/>
              <w:ind w:right="258"/>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7"/>
                <w:szCs w:val="17"/>
                <w:color w:val="auto"/>
              </w:rPr>
            </w:pPr>
          </w:p>
        </w:tc>
        <w:tc>
          <w:tcPr>
            <w:tcW w:w="1020" w:type="dxa"/>
            <w:vAlign w:val="bottom"/>
          </w:tcPr>
          <w:p>
            <w:pPr>
              <w:jc w:val="right"/>
              <w:ind w:right="178"/>
              <w:spacing w:after="0"/>
              <w:rPr>
                <w:sz w:val="20"/>
                <w:szCs w:val="20"/>
                <w:color w:val="auto"/>
              </w:rPr>
            </w:pPr>
            <w:r>
              <w:rPr>
                <w:rFonts w:ascii="Arial" w:cs="Arial" w:eastAsia="Arial" w:hAnsi="Arial"/>
                <w:sz w:val="16"/>
                <w:szCs w:val="16"/>
                <w:b w:val="1"/>
                <w:bCs w:val="1"/>
                <w:color w:val="auto"/>
              </w:rPr>
              <w:t>2019(3)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58"/>
              <w:spacing w:after="0"/>
              <w:rPr>
                <w:sz w:val="20"/>
                <w:szCs w:val="20"/>
                <w:color w:val="auto"/>
              </w:rPr>
            </w:pPr>
            <w:r>
              <w:rPr>
                <w:rFonts w:ascii="Arial" w:cs="Arial" w:eastAsia="Arial" w:hAnsi="Arial"/>
                <w:sz w:val="16"/>
                <w:szCs w:val="16"/>
                <w:b w:val="1"/>
                <w:bCs w:val="1"/>
                <w:color w:val="auto"/>
              </w:rPr>
              <w:t>2020(3)</w:t>
            </w:r>
          </w:p>
        </w:tc>
        <w:tc>
          <w:tcPr>
            <w:tcW w:w="100" w:type="dxa"/>
            <w:vAlign w:val="bottom"/>
          </w:tcPr>
          <w:p>
            <w:pPr>
              <w:spacing w:after="0"/>
              <w:rPr>
                <w:sz w:val="17"/>
                <w:szCs w:val="17"/>
                <w:color w:val="auto"/>
              </w:rPr>
            </w:pPr>
          </w:p>
        </w:tc>
      </w:tr>
      <w:tr>
        <w:trPr>
          <w:trHeight w:val="189"/>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GDP (U.S.$ Millions)</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194,653</w:t>
            </w: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214,397</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225,364</w:t>
            </w: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230,413</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Borders>
              <w:top w:val="single" w:sz="8" w:color="CCEEFF"/>
            </w:tcBorders>
            <w:shd w:val="clear" w:color="auto" w:fill="CCEEFF"/>
          </w:tcPr>
          <w:p>
            <w:pPr>
              <w:spacing w:after="0"/>
              <w:rPr>
                <w:sz w:val="16"/>
                <w:szCs w:val="16"/>
                <w:color w:val="auto"/>
              </w:rPr>
            </w:pPr>
          </w:p>
        </w:tc>
      </w:tr>
      <w:tr>
        <w:trPr>
          <w:trHeight w:val="197"/>
        </w:trPr>
        <w:tc>
          <w:tcPr>
            <w:tcW w:w="5200" w:type="dxa"/>
            <w:vAlign w:val="bottom"/>
            <w:gridSpan w:val="2"/>
          </w:tcPr>
          <w:p>
            <w:pPr>
              <w:spacing w:after="0"/>
              <w:rPr>
                <w:sz w:val="20"/>
                <w:szCs w:val="20"/>
                <w:color w:val="auto"/>
              </w:rPr>
            </w:pPr>
            <w:r>
              <w:rPr>
                <w:rFonts w:ascii="Arial" w:cs="Arial" w:eastAsia="Arial" w:hAnsi="Arial"/>
                <w:sz w:val="16"/>
                <w:szCs w:val="16"/>
                <w:color w:val="auto"/>
              </w:rPr>
              <w:t>Real GDP (% change)</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4.0</w:t>
            </w: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4.0</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(7)–(13)</w:t>
            </w:r>
          </w:p>
        </w:tc>
      </w:tr>
      <w:tr>
        <w:trPr>
          <w:trHeight w:val="197"/>
        </w:trPr>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GDP per capita (U.S.$)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6,179</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6,742</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6,999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7,090</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6,098</w:t>
            </w:r>
          </w:p>
        </w:tc>
      </w:tr>
      <w:tr>
        <w:trPr>
          <w:trHeight w:val="197"/>
        </w:trPr>
        <w:tc>
          <w:tcPr>
            <w:tcW w:w="5200" w:type="dxa"/>
            <w:vAlign w:val="bottom"/>
            <w:gridSpan w:val="2"/>
          </w:tcPr>
          <w:p>
            <w:pPr>
              <w:spacing w:after="0"/>
              <w:rPr>
                <w:sz w:val="20"/>
                <w:szCs w:val="20"/>
                <w:color w:val="auto"/>
              </w:rPr>
            </w:pPr>
            <w:r>
              <w:rPr>
                <w:rFonts w:ascii="Arial" w:cs="Arial" w:eastAsia="Arial" w:hAnsi="Arial"/>
                <w:sz w:val="16"/>
                <w:szCs w:val="16"/>
                <w:color w:val="auto"/>
              </w:rPr>
              <w:t>Domestic demand (% change)</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1.1</w:t>
            </w: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4.3</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(8)–(13)</w:t>
            </w:r>
          </w:p>
        </w:tc>
      </w:tr>
      <w:tr>
        <w:trPr>
          <w:trHeight w:val="197"/>
        </w:trPr>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Gross fixed investment (as % GDP)</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(19)–(20)</w:t>
            </w:r>
          </w:p>
        </w:tc>
      </w:tr>
      <w:tr>
        <w:trPr>
          <w:trHeight w:val="197"/>
        </w:trPr>
        <w:tc>
          <w:tcPr>
            <w:tcW w:w="5200" w:type="dxa"/>
            <w:vAlign w:val="bottom"/>
            <w:gridSpan w:val="2"/>
          </w:tcPr>
          <w:p>
            <w:pPr>
              <w:spacing w:after="0"/>
              <w:rPr>
                <w:sz w:val="20"/>
                <w:szCs w:val="20"/>
                <w:color w:val="auto"/>
              </w:rPr>
            </w:pPr>
            <w:r>
              <w:rPr>
                <w:rFonts w:ascii="Arial" w:cs="Arial" w:eastAsia="Arial" w:hAnsi="Arial"/>
                <w:sz w:val="16"/>
                <w:szCs w:val="16"/>
                <w:color w:val="auto"/>
              </w:rPr>
              <w:t>Public Debt (as % GDP)</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23.9</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24.9</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25.7</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34.3–38.5</w:t>
            </w:r>
          </w:p>
        </w:tc>
      </w:tr>
      <w:tr>
        <w:trPr>
          <w:trHeight w:val="209"/>
        </w:trPr>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System loan growth (% change)(1)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3"/>
        </w:trPr>
        <w:tc>
          <w:tcPr>
            <w:tcW w:w="5200" w:type="dxa"/>
            <w:vAlign w:val="bottom"/>
            <w:gridSpan w:val="2"/>
          </w:tcPr>
          <w:p>
            <w:pPr>
              <w:spacing w:after="0"/>
              <w:rPr>
                <w:sz w:val="20"/>
                <w:szCs w:val="20"/>
                <w:color w:val="auto"/>
              </w:rPr>
            </w:pPr>
            <w:r>
              <w:rPr>
                <w:rFonts w:ascii="Arial" w:cs="Arial" w:eastAsia="Arial" w:hAnsi="Arial"/>
                <w:sz w:val="16"/>
                <w:szCs w:val="16"/>
                <w:color w:val="auto"/>
              </w:rPr>
              <w:t>Inflation(2)</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 – 0.5</w:t>
            </w:r>
          </w:p>
        </w:tc>
        <w:tc>
          <w:tcPr>
            <w:tcW w:w="100" w:type="dxa"/>
            <w:vAlign w:val="bottom"/>
          </w:tcPr>
          <w:p>
            <w:pPr>
              <w:spacing w:after="0"/>
              <w:rPr>
                <w:sz w:val="16"/>
                <w:szCs w:val="16"/>
                <w:color w:val="auto"/>
              </w:rPr>
            </w:pPr>
          </w:p>
        </w:tc>
      </w:tr>
      <w:tr>
        <w:trPr>
          <w:trHeight w:val="595"/>
        </w:trPr>
        <w:tc>
          <w:tcPr>
            <w:tcW w:w="5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87</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2"/>
          </w:cols>
          <w:pgMar w:left="318" w:top="520" w:right="339" w:bottom="1440" w:gutter="0" w:footer="0" w:header="0"/>
        </w:sectPr>
      </w:pPr>
    </w:p>
    <w:bookmarkStart w:id="199" w:name="page200"/>
    <w:bookmarkEnd w:id="199"/>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6"/>
          </w:tcPr>
          <w:p>
            <w:pPr>
              <w:jc w:val="right"/>
              <w:ind w:right="839"/>
              <w:spacing w:after="0"/>
              <w:rPr>
                <w:sz w:val="20"/>
                <w:szCs w:val="20"/>
                <w:color w:val="auto"/>
              </w:rPr>
            </w:pPr>
            <w:r>
              <w:rPr>
                <w:rFonts w:ascii="Arial" w:cs="Arial" w:eastAsia="Arial" w:hAnsi="Arial"/>
                <w:sz w:val="16"/>
                <w:szCs w:val="16"/>
                <w:b w:val="1"/>
                <w:bCs w:val="1"/>
                <w:color w:val="auto"/>
              </w:rPr>
              <w:t>For the Years Ended December 31,</w:t>
            </w:r>
          </w:p>
        </w:tc>
        <w:tc>
          <w:tcPr>
            <w:tcW w:w="10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4880" w:type="dxa"/>
            <w:vAlign w:val="bottom"/>
            <w:gridSpan w:val="2"/>
          </w:tcPr>
          <w:p>
            <w:pPr>
              <w:ind w:left="2220"/>
              <w:spacing w:after="0"/>
              <w:rPr>
                <w:sz w:val="20"/>
                <w:szCs w:val="20"/>
                <w:color w:val="auto"/>
              </w:rPr>
            </w:pPr>
            <w:r>
              <w:rPr>
                <w:rFonts w:ascii="Arial" w:cs="Arial" w:eastAsia="Arial" w:hAnsi="Arial"/>
                <w:sz w:val="16"/>
                <w:szCs w:val="16"/>
                <w:b w:val="1"/>
                <w:bCs w:val="1"/>
                <w:color w:val="auto"/>
              </w:rPr>
              <w:t>Peru</w:t>
            </w:r>
          </w:p>
        </w:tc>
        <w:tc>
          <w:tcPr>
            <w:tcW w:w="980" w:type="dxa"/>
            <w:vAlign w:val="bottom"/>
          </w:tcPr>
          <w:p>
            <w:pPr>
              <w:jc w:val="right"/>
              <w:ind w:right="238"/>
              <w:spacing w:after="0"/>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7"/>
                <w:szCs w:val="17"/>
                <w:color w:val="auto"/>
              </w:rPr>
            </w:pPr>
          </w:p>
        </w:tc>
        <w:tc>
          <w:tcPr>
            <w:tcW w:w="980" w:type="dxa"/>
            <w:vAlign w:val="bottom"/>
          </w:tcPr>
          <w:p>
            <w:pPr>
              <w:jc w:val="right"/>
              <w:ind w:right="238"/>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7"/>
                <w:szCs w:val="17"/>
                <w:color w:val="auto"/>
              </w:rPr>
            </w:pPr>
          </w:p>
        </w:tc>
        <w:tc>
          <w:tcPr>
            <w:tcW w:w="980" w:type="dxa"/>
            <w:vAlign w:val="bottom"/>
          </w:tcPr>
          <w:p>
            <w:pPr>
              <w:jc w:val="right"/>
              <w:ind w:right="238"/>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17"/>
                <w:szCs w:val="17"/>
                <w:color w:val="auto"/>
              </w:rPr>
            </w:pPr>
          </w:p>
        </w:tc>
        <w:tc>
          <w:tcPr>
            <w:tcW w:w="1000" w:type="dxa"/>
            <w:vAlign w:val="bottom"/>
          </w:tcPr>
          <w:p>
            <w:pPr>
              <w:jc w:val="right"/>
              <w:ind w:right="158"/>
              <w:spacing w:after="0"/>
              <w:rPr>
                <w:sz w:val="20"/>
                <w:szCs w:val="20"/>
                <w:color w:val="auto"/>
              </w:rPr>
            </w:pPr>
            <w:r>
              <w:rPr>
                <w:rFonts w:ascii="Arial" w:cs="Arial" w:eastAsia="Arial" w:hAnsi="Arial"/>
                <w:sz w:val="16"/>
                <w:szCs w:val="16"/>
                <w:b w:val="1"/>
                <w:bCs w:val="1"/>
                <w:color w:val="auto"/>
              </w:rPr>
              <w:t>2019(3)</w:t>
            </w:r>
          </w:p>
        </w:tc>
        <w:tc>
          <w:tcPr>
            <w:tcW w:w="300" w:type="dxa"/>
            <w:vAlign w:val="bottom"/>
          </w:tcPr>
          <w:p>
            <w:pPr>
              <w:spacing w:after="0"/>
              <w:rPr>
                <w:sz w:val="17"/>
                <w:szCs w:val="17"/>
                <w:color w:val="auto"/>
              </w:rPr>
            </w:pPr>
          </w:p>
        </w:tc>
        <w:tc>
          <w:tcPr>
            <w:tcW w:w="1000" w:type="dxa"/>
            <w:vAlign w:val="bottom"/>
          </w:tcPr>
          <w:p>
            <w:pPr>
              <w:jc w:val="right"/>
              <w:ind w:right="158"/>
              <w:spacing w:after="0"/>
              <w:rPr>
                <w:sz w:val="20"/>
                <w:szCs w:val="20"/>
                <w:color w:val="auto"/>
              </w:rPr>
            </w:pPr>
            <w:r>
              <w:rPr>
                <w:rFonts w:ascii="Arial" w:cs="Arial" w:eastAsia="Arial" w:hAnsi="Arial"/>
                <w:sz w:val="16"/>
                <w:szCs w:val="16"/>
                <w:b w:val="1"/>
                <w:bCs w:val="1"/>
                <w:color w:val="auto"/>
              </w:rPr>
              <w:t>2020(3)</w:t>
            </w:r>
          </w:p>
        </w:tc>
        <w:tc>
          <w:tcPr>
            <w:tcW w:w="180" w:type="dxa"/>
            <w:vAlign w:val="bottom"/>
          </w:tcPr>
          <w:p>
            <w:pPr>
              <w:spacing w:after="0"/>
              <w:rPr>
                <w:sz w:val="17"/>
                <w:szCs w:val="17"/>
                <w:color w:val="auto"/>
              </w:rPr>
            </w:pPr>
          </w:p>
        </w:tc>
      </w:tr>
      <w:tr>
        <w:trPr>
          <w:trHeight w:val="201"/>
        </w:trPr>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Reference Rate</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3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3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3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80" w:type="dxa"/>
            <w:vAlign w:val="bottom"/>
            <w:tcBorders>
              <w:top w:val="single" w:sz="8" w:color="CCEEFF"/>
            </w:tcBorders>
            <w:shd w:val="clear" w:color="auto" w:fill="CCEEFF"/>
          </w:tcPr>
          <w:p>
            <w:pPr>
              <w:spacing w:after="0"/>
              <w:rPr>
                <w:sz w:val="17"/>
                <w:szCs w:val="17"/>
                <w:color w:val="auto"/>
              </w:rPr>
            </w:pPr>
          </w:p>
        </w:tc>
      </w:tr>
      <w:tr>
        <w:trPr>
          <w:trHeight w:val="189"/>
        </w:trPr>
        <w:tc>
          <w:tcPr>
            <w:tcW w:w="4880" w:type="dxa"/>
            <w:vAlign w:val="bottom"/>
            <w:gridSpan w:val="2"/>
          </w:tcPr>
          <w:p>
            <w:pPr>
              <w:spacing w:after="0"/>
              <w:rPr>
                <w:sz w:val="20"/>
                <w:szCs w:val="20"/>
                <w:color w:val="auto"/>
              </w:rPr>
            </w:pPr>
            <w:r>
              <w:rPr>
                <w:rFonts w:ascii="Arial" w:cs="Arial" w:eastAsia="Arial" w:hAnsi="Arial"/>
                <w:sz w:val="16"/>
                <w:szCs w:val="16"/>
                <w:color w:val="auto"/>
              </w:rPr>
              <w:t>Exchange rate, end of period</w:t>
            </w:r>
          </w:p>
        </w:tc>
        <w:tc>
          <w:tcPr>
            <w:tcW w:w="980" w:type="dxa"/>
            <w:vAlign w:val="bottom"/>
          </w:tcPr>
          <w:p>
            <w:pPr>
              <w:jc w:val="right"/>
              <w:spacing w:after="0"/>
              <w:rPr>
                <w:sz w:val="20"/>
                <w:szCs w:val="20"/>
                <w:color w:val="auto"/>
              </w:rPr>
            </w:pPr>
            <w:r>
              <w:rPr>
                <w:rFonts w:ascii="Arial" w:cs="Arial" w:eastAsia="Arial" w:hAnsi="Arial"/>
                <w:sz w:val="16"/>
                <w:szCs w:val="16"/>
                <w:color w:val="auto"/>
              </w:rPr>
              <w:t>3.36</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3.24</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3.37</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3.31</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3.40–3.45</w:t>
            </w:r>
          </w:p>
        </w:tc>
        <w:tc>
          <w:tcPr>
            <w:tcW w:w="180" w:type="dxa"/>
            <w:vAlign w:val="bottom"/>
          </w:tcPr>
          <w:p>
            <w:pPr>
              <w:spacing w:after="0"/>
              <w:rPr>
                <w:sz w:val="16"/>
                <w:szCs w:val="16"/>
                <w:color w:val="auto"/>
              </w:rPr>
            </w:pPr>
          </w:p>
        </w:tc>
      </w:tr>
      <w:tr>
        <w:trPr>
          <w:trHeight w:val="209"/>
        </w:trPr>
        <w:tc>
          <w:tcPr>
            <w:tcW w:w="4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Exchange rate, (% change)</w:t>
            </w:r>
          </w:p>
        </w:tc>
        <w:tc>
          <w:tcPr>
            <w:tcW w:w="130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(1.7)%</w:t>
            </w:r>
          </w:p>
        </w:tc>
        <w:tc>
          <w:tcPr>
            <w:tcW w:w="12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(3.5)%</w:t>
            </w:r>
          </w:p>
        </w:tc>
        <w:tc>
          <w:tcPr>
            <w:tcW w:w="130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rPr>
              <w:t>4.1%</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1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189"/>
        </w:trPr>
        <w:tc>
          <w:tcPr>
            <w:tcW w:w="48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Fiscal balance (% GDP)</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320" w:type="dxa"/>
            <w:vAlign w:val="bottom"/>
            <w:tcBorders>
              <w:bottom w:val="single" w:sz="8" w:color="CCEEFF"/>
            </w:tcBorders>
          </w:tcPr>
          <w:p>
            <w:pPr>
              <w:jc w:val="right"/>
              <w:ind w:right="178"/>
              <w:spacing w:after="0"/>
              <w:rPr>
                <w:sz w:val="20"/>
                <w:szCs w:val="20"/>
                <w:color w:val="auto"/>
              </w:rPr>
            </w:pPr>
            <w:r>
              <w:rPr>
                <w:rFonts w:ascii="Arial" w:cs="Arial" w:eastAsia="Arial" w:hAnsi="Arial"/>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300" w:type="dxa"/>
            <w:vAlign w:val="bottom"/>
            <w:tcBorders>
              <w:bottom w:val="single" w:sz="8" w:color="CCEEFF"/>
            </w:tcBorders>
          </w:tcPr>
          <w:p>
            <w:pPr>
              <w:jc w:val="right"/>
              <w:ind w:right="158"/>
              <w:spacing w:after="0"/>
              <w:rPr>
                <w:sz w:val="20"/>
                <w:szCs w:val="20"/>
                <w:color w:val="auto"/>
              </w:rPr>
            </w:pPr>
            <w:r>
              <w:rPr>
                <w:rFonts w:ascii="Arial" w:cs="Arial" w:eastAsia="Arial" w:hAnsi="Arial"/>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320" w:type="dxa"/>
            <w:vAlign w:val="bottom"/>
            <w:tcBorders>
              <w:bottom w:val="single" w:sz="8" w:color="CCEEFF"/>
            </w:tcBorders>
          </w:tcPr>
          <w:p>
            <w:pPr>
              <w:jc w:val="right"/>
              <w:ind w:right="178"/>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300" w:type="dxa"/>
            <w:vAlign w:val="bottom"/>
            <w:tcBorders>
              <w:bottom w:val="single" w:sz="8" w:color="CCEEFF"/>
            </w:tcBorders>
          </w:tcPr>
          <w:p>
            <w:pPr>
              <w:jc w:val="right"/>
              <w:ind w:right="219"/>
              <w:spacing w:after="0"/>
              <w:rPr>
                <w:sz w:val="20"/>
                <w:szCs w:val="20"/>
                <w:color w:val="auto"/>
              </w:rPr>
            </w:pPr>
            <w:r>
              <w:rPr>
                <w:rFonts w:ascii="Arial" w:cs="Arial" w:eastAsia="Arial" w:hAnsi="Arial"/>
                <w:sz w:val="8"/>
                <w:szCs w:val="8"/>
                <w:color w:val="auto"/>
                <w:w w:val="7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80" w:type="dxa"/>
            <w:vAlign w:val="bottom"/>
            <w:tcBorders>
              <w:bottom w:val="single" w:sz="8" w:color="CCEEFF"/>
            </w:tcBorders>
          </w:tcPr>
          <w:p>
            <w:pPr>
              <w:jc w:val="right"/>
              <w:ind w:right="99"/>
              <w:spacing w:after="0"/>
              <w:rPr>
                <w:sz w:val="20"/>
                <w:szCs w:val="20"/>
                <w:color w:val="auto"/>
              </w:rPr>
            </w:pPr>
            <w:r>
              <w:rPr>
                <w:rFonts w:ascii="Arial" w:cs="Arial" w:eastAsia="Arial" w:hAnsi="Arial"/>
                <w:sz w:val="8"/>
                <w:szCs w:val="8"/>
                <w:color w:val="auto"/>
                <w:w w:val="73"/>
              </w:rPr>
              <w:t>)</w:t>
            </w:r>
          </w:p>
        </w:tc>
      </w:tr>
      <w:tr>
        <w:trPr>
          <w:trHeight w:val="189"/>
        </w:trPr>
        <w:tc>
          <w:tcPr>
            <w:tcW w:w="4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Trade balance (U.S.$ Millions)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6,700</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7,197</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6,614</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80" w:type="dxa"/>
            <w:vAlign w:val="bottom"/>
            <w:shd w:val="clear" w:color="auto" w:fill="CCEEFF"/>
          </w:tcPr>
          <w:p>
            <w:pPr>
              <w:spacing w:after="0"/>
              <w:rPr>
                <w:sz w:val="16"/>
                <w:szCs w:val="16"/>
                <w:color w:val="auto"/>
              </w:rPr>
            </w:pPr>
          </w:p>
        </w:tc>
      </w:tr>
      <w:tr>
        <w:trPr>
          <w:trHeight w:val="197"/>
        </w:trPr>
        <w:tc>
          <w:tcPr>
            <w:tcW w:w="4880" w:type="dxa"/>
            <w:vAlign w:val="bottom"/>
            <w:gridSpan w:val="2"/>
          </w:tcPr>
          <w:p>
            <w:pPr>
              <w:spacing w:after="0"/>
              <w:rPr>
                <w:sz w:val="20"/>
                <w:szCs w:val="20"/>
                <w:color w:val="auto"/>
              </w:rPr>
            </w:pPr>
            <w:r>
              <w:rPr>
                <w:rFonts w:ascii="Arial" w:cs="Arial" w:eastAsia="Arial" w:hAnsi="Arial"/>
                <w:sz w:val="16"/>
                <w:szCs w:val="16"/>
                <w:color w:val="auto"/>
              </w:rPr>
              <w:t>(As % GDP)</w:t>
            </w:r>
          </w:p>
        </w:tc>
        <w:tc>
          <w:tcPr>
            <w:tcW w:w="1300" w:type="dxa"/>
            <w:vAlign w:val="bottom"/>
            <w:gridSpan w:val="2"/>
          </w:tcPr>
          <w:p>
            <w:pPr>
              <w:jc w:val="right"/>
              <w:ind w:right="98"/>
              <w:spacing w:after="0"/>
              <w:rPr>
                <w:sz w:val="20"/>
                <w:szCs w:val="20"/>
                <w:color w:val="auto"/>
              </w:rPr>
            </w:pPr>
            <w:r>
              <w:rPr>
                <w:rFonts w:ascii="Arial" w:cs="Arial" w:eastAsia="Arial" w:hAnsi="Arial"/>
                <w:sz w:val="16"/>
                <w:szCs w:val="16"/>
                <w:color w:val="auto"/>
              </w:rPr>
              <w:t>1.0%</w:t>
            </w:r>
          </w:p>
        </w:tc>
        <w:tc>
          <w:tcPr>
            <w:tcW w:w="1280" w:type="dxa"/>
            <w:vAlign w:val="bottom"/>
            <w:gridSpan w:val="2"/>
          </w:tcPr>
          <w:p>
            <w:pPr>
              <w:jc w:val="right"/>
              <w:ind w:right="78"/>
              <w:spacing w:after="0"/>
              <w:rPr>
                <w:sz w:val="20"/>
                <w:szCs w:val="20"/>
                <w:color w:val="auto"/>
              </w:rPr>
            </w:pPr>
            <w:r>
              <w:rPr>
                <w:rFonts w:ascii="Arial" w:cs="Arial" w:eastAsia="Arial" w:hAnsi="Arial"/>
                <w:sz w:val="16"/>
                <w:szCs w:val="16"/>
                <w:color w:val="auto"/>
              </w:rPr>
              <w:t>3.1%</w:t>
            </w:r>
          </w:p>
        </w:tc>
        <w:tc>
          <w:tcPr>
            <w:tcW w:w="1300" w:type="dxa"/>
            <w:vAlign w:val="bottom"/>
            <w:gridSpan w:val="2"/>
          </w:tcPr>
          <w:p>
            <w:pPr>
              <w:jc w:val="right"/>
              <w:ind w:right="98"/>
              <w:spacing w:after="0"/>
              <w:rPr>
                <w:sz w:val="20"/>
                <w:szCs w:val="20"/>
                <w:color w:val="auto"/>
              </w:rPr>
            </w:pPr>
            <w:r>
              <w:rPr>
                <w:rFonts w:ascii="Arial" w:cs="Arial" w:eastAsia="Arial" w:hAnsi="Arial"/>
                <w:sz w:val="16"/>
                <w:szCs w:val="16"/>
                <w:color w:val="auto"/>
              </w:rPr>
              <w:t>3.2%</w:t>
            </w: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2.9%</w:t>
            </w: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1.5%</w:t>
            </w:r>
          </w:p>
        </w:tc>
      </w:tr>
      <w:tr>
        <w:trPr>
          <w:trHeight w:val="197"/>
        </w:trPr>
        <w:tc>
          <w:tcPr>
            <w:tcW w:w="4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Exports</w:t>
            </w:r>
          </w:p>
        </w:tc>
        <w:tc>
          <w:tcPr>
            <w:tcW w:w="1300" w:type="dxa"/>
            <w:vAlign w:val="bottom"/>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37,082</w:t>
            </w:r>
          </w:p>
        </w:tc>
        <w:tc>
          <w:tcPr>
            <w:tcW w:w="1280" w:type="dxa"/>
            <w:vAlign w:val="bottom"/>
            <w:gridSpan w:val="2"/>
            <w:shd w:val="clear" w:color="auto" w:fill="CCEEFF"/>
          </w:tcPr>
          <w:p>
            <w:pPr>
              <w:jc w:val="right"/>
              <w:ind w:right="218"/>
              <w:spacing w:after="0"/>
              <w:rPr>
                <w:sz w:val="20"/>
                <w:szCs w:val="20"/>
                <w:color w:val="auto"/>
              </w:rPr>
            </w:pPr>
            <w:r>
              <w:rPr>
                <w:rFonts w:ascii="Arial" w:cs="Arial" w:eastAsia="Arial" w:hAnsi="Arial"/>
                <w:sz w:val="16"/>
                <w:szCs w:val="16"/>
                <w:color w:val="auto"/>
              </w:rPr>
              <w:t>45,422</w:t>
            </w:r>
          </w:p>
        </w:tc>
        <w:tc>
          <w:tcPr>
            <w:tcW w:w="1300" w:type="dxa"/>
            <w:vAlign w:val="bottom"/>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49,066</w:t>
            </w:r>
          </w:p>
        </w:tc>
        <w:tc>
          <w:tcPr>
            <w:tcW w:w="130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47,688</w:t>
            </w:r>
          </w:p>
        </w:tc>
        <w:tc>
          <w:tcPr>
            <w:tcW w:w="11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37,000</w:t>
            </w:r>
          </w:p>
        </w:tc>
      </w:tr>
      <w:tr>
        <w:trPr>
          <w:trHeight w:val="197"/>
        </w:trPr>
        <w:tc>
          <w:tcPr>
            <w:tcW w:w="4880" w:type="dxa"/>
            <w:vAlign w:val="bottom"/>
            <w:gridSpan w:val="2"/>
          </w:tcPr>
          <w:p>
            <w:pPr>
              <w:spacing w:after="0"/>
              <w:rPr>
                <w:sz w:val="20"/>
                <w:szCs w:val="20"/>
                <w:color w:val="auto"/>
              </w:rPr>
            </w:pPr>
            <w:r>
              <w:rPr>
                <w:rFonts w:ascii="Arial" w:cs="Arial" w:eastAsia="Arial" w:hAnsi="Arial"/>
                <w:sz w:val="16"/>
                <w:szCs w:val="16"/>
                <w:color w:val="auto"/>
              </w:rPr>
              <w:t>Imports</w:t>
            </w:r>
          </w:p>
        </w:tc>
        <w:tc>
          <w:tcPr>
            <w:tcW w:w="1300" w:type="dxa"/>
            <w:vAlign w:val="bottom"/>
            <w:gridSpan w:val="2"/>
          </w:tcPr>
          <w:p>
            <w:pPr>
              <w:jc w:val="right"/>
              <w:ind w:right="238"/>
              <w:spacing w:after="0"/>
              <w:rPr>
                <w:sz w:val="20"/>
                <w:szCs w:val="20"/>
                <w:color w:val="auto"/>
              </w:rPr>
            </w:pPr>
            <w:r>
              <w:rPr>
                <w:rFonts w:ascii="Arial" w:cs="Arial" w:eastAsia="Arial" w:hAnsi="Arial"/>
                <w:sz w:val="16"/>
                <w:szCs w:val="16"/>
                <w:color w:val="auto"/>
              </w:rPr>
              <w:t>35,128</w:t>
            </w:r>
          </w:p>
        </w:tc>
        <w:tc>
          <w:tcPr>
            <w:tcW w:w="1280" w:type="dxa"/>
            <w:vAlign w:val="bottom"/>
            <w:gridSpan w:val="2"/>
          </w:tcPr>
          <w:p>
            <w:pPr>
              <w:jc w:val="right"/>
              <w:ind w:right="218"/>
              <w:spacing w:after="0"/>
              <w:rPr>
                <w:sz w:val="20"/>
                <w:szCs w:val="20"/>
                <w:color w:val="auto"/>
              </w:rPr>
            </w:pPr>
            <w:r>
              <w:rPr>
                <w:rFonts w:ascii="Arial" w:cs="Arial" w:eastAsia="Arial" w:hAnsi="Arial"/>
                <w:sz w:val="16"/>
                <w:szCs w:val="16"/>
                <w:color w:val="auto"/>
              </w:rPr>
              <w:t>38,722</w:t>
            </w:r>
          </w:p>
        </w:tc>
        <w:tc>
          <w:tcPr>
            <w:tcW w:w="1300" w:type="dxa"/>
            <w:vAlign w:val="bottom"/>
            <w:gridSpan w:val="2"/>
          </w:tcPr>
          <w:p>
            <w:pPr>
              <w:jc w:val="right"/>
              <w:ind w:right="238"/>
              <w:spacing w:after="0"/>
              <w:rPr>
                <w:sz w:val="20"/>
                <w:szCs w:val="20"/>
                <w:color w:val="auto"/>
              </w:rPr>
            </w:pPr>
            <w:r>
              <w:rPr>
                <w:rFonts w:ascii="Arial" w:cs="Arial" w:eastAsia="Arial" w:hAnsi="Arial"/>
                <w:sz w:val="16"/>
                <w:szCs w:val="16"/>
                <w:color w:val="auto"/>
              </w:rPr>
              <w:t>41,870</w:t>
            </w:r>
          </w:p>
        </w:tc>
        <w:tc>
          <w:tcPr>
            <w:tcW w:w="1300" w:type="dxa"/>
            <w:vAlign w:val="bottom"/>
            <w:gridSpan w:val="2"/>
          </w:tcPr>
          <w:p>
            <w:pPr>
              <w:jc w:val="right"/>
              <w:ind w:right="259"/>
              <w:spacing w:after="0"/>
              <w:rPr>
                <w:sz w:val="20"/>
                <w:szCs w:val="20"/>
                <w:color w:val="auto"/>
              </w:rPr>
            </w:pPr>
            <w:r>
              <w:rPr>
                <w:rFonts w:ascii="Arial" w:cs="Arial" w:eastAsia="Arial" w:hAnsi="Arial"/>
                <w:sz w:val="16"/>
                <w:szCs w:val="16"/>
                <w:color w:val="auto"/>
              </w:rPr>
              <w:t>41,074</w:t>
            </w:r>
          </w:p>
        </w:tc>
        <w:tc>
          <w:tcPr>
            <w:tcW w:w="1180" w:type="dxa"/>
            <w:vAlign w:val="bottom"/>
            <w:gridSpan w:val="2"/>
          </w:tcPr>
          <w:p>
            <w:pPr>
              <w:jc w:val="right"/>
              <w:ind w:right="139"/>
              <w:spacing w:after="0"/>
              <w:rPr>
                <w:sz w:val="20"/>
                <w:szCs w:val="20"/>
                <w:color w:val="auto"/>
              </w:rPr>
            </w:pPr>
            <w:r>
              <w:rPr>
                <w:rFonts w:ascii="Arial" w:cs="Arial" w:eastAsia="Arial" w:hAnsi="Arial"/>
                <w:sz w:val="16"/>
                <w:szCs w:val="16"/>
                <w:color w:val="auto"/>
              </w:rPr>
              <w:t>34,000</w:t>
            </w:r>
          </w:p>
        </w:tc>
      </w:tr>
      <w:tr>
        <w:trPr>
          <w:trHeight w:val="197"/>
        </w:trPr>
        <w:tc>
          <w:tcPr>
            <w:tcW w:w="4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account balance (U.S.$ Millions)</w:t>
            </w:r>
          </w:p>
        </w:tc>
        <w:tc>
          <w:tcPr>
            <w:tcW w:w="1300" w:type="dxa"/>
            <w:vAlign w:val="bottom"/>
            <w:gridSpan w:val="2"/>
            <w:shd w:val="clear" w:color="auto" w:fill="CCEEFF"/>
          </w:tcPr>
          <w:p>
            <w:pPr>
              <w:jc w:val="right"/>
              <w:ind w:right="178"/>
              <w:spacing w:after="0"/>
              <w:rPr>
                <w:sz w:val="20"/>
                <w:szCs w:val="20"/>
                <w:color w:val="auto"/>
              </w:rPr>
            </w:pPr>
            <w:r>
              <w:rPr>
                <w:rFonts w:ascii="Arial" w:cs="Arial" w:eastAsia="Arial" w:hAnsi="Arial"/>
                <w:sz w:val="16"/>
                <w:szCs w:val="16"/>
                <w:color w:val="auto"/>
              </w:rPr>
              <w:t>(5,064)</w:t>
            </w:r>
          </w:p>
        </w:tc>
        <w:tc>
          <w:tcPr>
            <w:tcW w:w="128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(2,779)</w:t>
            </w:r>
          </w:p>
        </w:tc>
        <w:tc>
          <w:tcPr>
            <w:tcW w:w="1300" w:type="dxa"/>
            <w:vAlign w:val="bottom"/>
            <w:gridSpan w:val="2"/>
            <w:shd w:val="clear" w:color="auto" w:fill="CCEEFF"/>
          </w:tcPr>
          <w:p>
            <w:pPr>
              <w:jc w:val="right"/>
              <w:ind w:right="178"/>
              <w:spacing w:after="0"/>
              <w:rPr>
                <w:sz w:val="20"/>
                <w:szCs w:val="20"/>
                <w:color w:val="auto"/>
              </w:rPr>
            </w:pPr>
            <w:r>
              <w:rPr>
                <w:rFonts w:ascii="Arial" w:cs="Arial" w:eastAsia="Arial" w:hAnsi="Arial"/>
                <w:sz w:val="16"/>
                <w:szCs w:val="16"/>
                <w:color w:val="auto"/>
              </w:rPr>
              <w:t>(3,821)</w:t>
            </w:r>
          </w:p>
        </w:tc>
        <w:tc>
          <w:tcPr>
            <w:tcW w:w="13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(3,530)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80" w:type="dxa"/>
            <w:vAlign w:val="bottom"/>
            <w:shd w:val="clear" w:color="auto" w:fill="CCEEFF"/>
          </w:tcPr>
          <w:p>
            <w:pPr>
              <w:spacing w:after="0"/>
              <w:rPr>
                <w:sz w:val="17"/>
                <w:szCs w:val="17"/>
                <w:color w:val="auto"/>
              </w:rPr>
            </w:pPr>
          </w:p>
        </w:tc>
      </w:tr>
      <w:tr>
        <w:trPr>
          <w:trHeight w:val="197"/>
        </w:trPr>
        <w:tc>
          <w:tcPr>
            <w:tcW w:w="4880" w:type="dxa"/>
            <w:vAlign w:val="bottom"/>
            <w:gridSpan w:val="2"/>
          </w:tcPr>
          <w:p>
            <w:pPr>
              <w:spacing w:after="0"/>
              <w:rPr>
                <w:sz w:val="20"/>
                <w:szCs w:val="20"/>
                <w:color w:val="auto"/>
              </w:rPr>
            </w:pPr>
            <w:r>
              <w:rPr>
                <w:rFonts w:ascii="Arial" w:cs="Arial" w:eastAsia="Arial" w:hAnsi="Arial"/>
                <w:sz w:val="16"/>
                <w:szCs w:val="16"/>
                <w:color w:val="auto"/>
              </w:rPr>
              <w:t>(As % GDP)</w:t>
            </w:r>
          </w:p>
        </w:tc>
        <w:tc>
          <w:tcPr>
            <w:tcW w:w="1300" w:type="dxa"/>
            <w:vAlign w:val="bottom"/>
            <w:gridSpan w:val="2"/>
          </w:tcPr>
          <w:p>
            <w:pPr>
              <w:jc w:val="right"/>
              <w:ind w:right="38"/>
              <w:spacing w:after="0"/>
              <w:rPr>
                <w:sz w:val="20"/>
                <w:szCs w:val="20"/>
                <w:color w:val="auto"/>
              </w:rPr>
            </w:pPr>
            <w:r>
              <w:rPr>
                <w:rFonts w:ascii="Arial" w:cs="Arial" w:eastAsia="Arial" w:hAnsi="Arial"/>
                <w:sz w:val="16"/>
                <w:szCs w:val="16"/>
                <w:color w:val="auto"/>
              </w:rPr>
              <w:t>(2.6)%</w:t>
            </w:r>
          </w:p>
        </w:tc>
        <w:tc>
          <w:tcPr>
            <w:tcW w:w="1280" w:type="dxa"/>
            <w:vAlign w:val="bottom"/>
            <w:gridSpan w:val="2"/>
          </w:tcPr>
          <w:p>
            <w:pPr>
              <w:jc w:val="right"/>
              <w:ind w:right="18"/>
              <w:spacing w:after="0"/>
              <w:rPr>
                <w:sz w:val="20"/>
                <w:szCs w:val="20"/>
                <w:color w:val="auto"/>
              </w:rPr>
            </w:pPr>
            <w:r>
              <w:rPr>
                <w:rFonts w:ascii="Arial" w:cs="Arial" w:eastAsia="Arial" w:hAnsi="Arial"/>
                <w:sz w:val="16"/>
                <w:szCs w:val="16"/>
                <w:color w:val="auto"/>
              </w:rPr>
              <w:t>(1.3)%</w:t>
            </w:r>
          </w:p>
        </w:tc>
        <w:tc>
          <w:tcPr>
            <w:tcW w:w="1300" w:type="dxa"/>
            <w:vAlign w:val="bottom"/>
            <w:gridSpan w:val="2"/>
          </w:tcPr>
          <w:p>
            <w:pPr>
              <w:jc w:val="right"/>
              <w:ind w:right="38"/>
              <w:spacing w:after="0"/>
              <w:rPr>
                <w:sz w:val="20"/>
                <w:szCs w:val="20"/>
                <w:color w:val="auto"/>
              </w:rPr>
            </w:pPr>
            <w:r>
              <w:rPr>
                <w:rFonts w:ascii="Arial" w:cs="Arial" w:eastAsia="Arial" w:hAnsi="Arial"/>
                <w:sz w:val="16"/>
                <w:szCs w:val="16"/>
                <w:color w:val="auto"/>
              </w:rPr>
              <w:t>(1.7)%</w:t>
            </w:r>
          </w:p>
        </w:tc>
        <w:tc>
          <w:tcPr>
            <w:tcW w:w="1300" w:type="dxa"/>
            <w:vAlign w:val="bottom"/>
            <w:gridSpan w:val="2"/>
          </w:tcPr>
          <w:p>
            <w:pPr>
              <w:jc w:val="right"/>
              <w:ind w:right="79"/>
              <w:spacing w:after="0"/>
              <w:rPr>
                <w:sz w:val="20"/>
                <w:szCs w:val="20"/>
                <w:color w:val="auto"/>
              </w:rPr>
            </w:pPr>
            <w:r>
              <w:rPr>
                <w:rFonts w:ascii="Arial" w:cs="Arial" w:eastAsia="Arial" w:hAnsi="Arial"/>
                <w:sz w:val="16"/>
                <w:szCs w:val="16"/>
                <w:color w:val="auto"/>
              </w:rPr>
              <w:t>(1.5)%</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(2.5)%</w:t>
            </w:r>
          </w:p>
        </w:tc>
      </w:tr>
      <w:tr>
        <w:trPr>
          <w:trHeight w:val="197"/>
        </w:trPr>
        <w:tc>
          <w:tcPr>
            <w:tcW w:w="4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international reserves (U.S.$ Millions)</w:t>
            </w:r>
          </w:p>
        </w:tc>
        <w:tc>
          <w:tcPr>
            <w:tcW w:w="1300" w:type="dxa"/>
            <w:vAlign w:val="bottom"/>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61,686</w:t>
            </w:r>
          </w:p>
        </w:tc>
        <w:tc>
          <w:tcPr>
            <w:tcW w:w="1280" w:type="dxa"/>
            <w:vAlign w:val="bottom"/>
            <w:gridSpan w:val="2"/>
            <w:shd w:val="clear" w:color="auto" w:fill="CCEEFF"/>
          </w:tcPr>
          <w:p>
            <w:pPr>
              <w:jc w:val="right"/>
              <w:ind w:right="218"/>
              <w:spacing w:after="0"/>
              <w:rPr>
                <w:sz w:val="20"/>
                <w:szCs w:val="20"/>
                <w:color w:val="auto"/>
              </w:rPr>
            </w:pPr>
            <w:r>
              <w:rPr>
                <w:rFonts w:ascii="Arial" w:cs="Arial" w:eastAsia="Arial" w:hAnsi="Arial"/>
                <w:sz w:val="16"/>
                <w:szCs w:val="16"/>
                <w:color w:val="auto"/>
              </w:rPr>
              <w:t>63,621</w:t>
            </w:r>
          </w:p>
        </w:tc>
        <w:tc>
          <w:tcPr>
            <w:tcW w:w="1300" w:type="dxa"/>
            <w:vAlign w:val="bottom"/>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60,121</w:t>
            </w:r>
          </w:p>
        </w:tc>
        <w:tc>
          <w:tcPr>
            <w:tcW w:w="130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68,316</w:t>
            </w:r>
          </w:p>
        </w:tc>
        <w:tc>
          <w:tcPr>
            <w:tcW w:w="11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68,000</w:t>
            </w:r>
          </w:p>
        </w:tc>
      </w:tr>
      <w:tr>
        <w:trPr>
          <w:trHeight w:val="197"/>
        </w:trPr>
        <w:tc>
          <w:tcPr>
            <w:tcW w:w="4880" w:type="dxa"/>
            <w:vAlign w:val="bottom"/>
            <w:gridSpan w:val="2"/>
          </w:tcPr>
          <w:p>
            <w:pPr>
              <w:spacing w:after="0"/>
              <w:rPr>
                <w:sz w:val="20"/>
                <w:szCs w:val="20"/>
                <w:color w:val="auto"/>
              </w:rPr>
            </w:pPr>
            <w:r>
              <w:rPr>
                <w:rFonts w:ascii="Arial" w:cs="Arial" w:eastAsia="Arial" w:hAnsi="Arial"/>
                <w:sz w:val="16"/>
                <w:szCs w:val="16"/>
                <w:color w:val="auto"/>
              </w:rPr>
              <w:t>(As % GDP)</w:t>
            </w:r>
          </w:p>
        </w:tc>
        <w:tc>
          <w:tcPr>
            <w:tcW w:w="1300" w:type="dxa"/>
            <w:vAlign w:val="bottom"/>
            <w:gridSpan w:val="2"/>
          </w:tcPr>
          <w:p>
            <w:pPr>
              <w:jc w:val="right"/>
              <w:ind w:right="98"/>
              <w:spacing w:after="0"/>
              <w:rPr>
                <w:sz w:val="20"/>
                <w:szCs w:val="20"/>
                <w:color w:val="auto"/>
              </w:rPr>
            </w:pPr>
            <w:r>
              <w:rPr>
                <w:rFonts w:ascii="Arial" w:cs="Arial" w:eastAsia="Arial" w:hAnsi="Arial"/>
                <w:sz w:val="16"/>
                <w:szCs w:val="16"/>
                <w:color w:val="auto"/>
              </w:rPr>
              <w:t>31.7%</w:t>
            </w:r>
          </w:p>
        </w:tc>
        <w:tc>
          <w:tcPr>
            <w:tcW w:w="1280" w:type="dxa"/>
            <w:vAlign w:val="bottom"/>
            <w:gridSpan w:val="2"/>
          </w:tcPr>
          <w:p>
            <w:pPr>
              <w:jc w:val="right"/>
              <w:ind w:right="78"/>
              <w:spacing w:after="0"/>
              <w:rPr>
                <w:sz w:val="20"/>
                <w:szCs w:val="20"/>
                <w:color w:val="auto"/>
              </w:rPr>
            </w:pPr>
            <w:r>
              <w:rPr>
                <w:rFonts w:ascii="Arial" w:cs="Arial" w:eastAsia="Arial" w:hAnsi="Arial"/>
                <w:sz w:val="16"/>
                <w:szCs w:val="16"/>
                <w:color w:val="auto"/>
              </w:rPr>
              <w:t>29.7%</w:t>
            </w:r>
          </w:p>
        </w:tc>
        <w:tc>
          <w:tcPr>
            <w:tcW w:w="1300" w:type="dxa"/>
            <w:vAlign w:val="bottom"/>
            <w:gridSpan w:val="2"/>
          </w:tcPr>
          <w:p>
            <w:pPr>
              <w:jc w:val="right"/>
              <w:ind w:right="98"/>
              <w:spacing w:after="0"/>
              <w:rPr>
                <w:sz w:val="20"/>
                <w:szCs w:val="20"/>
                <w:color w:val="auto"/>
              </w:rPr>
            </w:pPr>
            <w:r>
              <w:rPr>
                <w:rFonts w:ascii="Arial" w:cs="Arial" w:eastAsia="Arial" w:hAnsi="Arial"/>
                <w:sz w:val="16"/>
                <w:szCs w:val="16"/>
                <w:color w:val="auto"/>
              </w:rPr>
              <w:t>26.7%</w:t>
            </w: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29.6%</w:t>
            </w: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34.0%</w:t>
            </w:r>
          </w:p>
        </w:tc>
      </w:tr>
      <w:tr>
        <w:trPr>
          <w:trHeight w:val="197"/>
        </w:trPr>
        <w:tc>
          <w:tcPr>
            <w:tcW w:w="4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 months of imports)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17</w:t>
            </w:r>
          </w:p>
        </w:tc>
        <w:tc>
          <w:tcPr>
            <w:tcW w:w="130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20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8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427480"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427480" cy="7620"/>
                    </a:xfrm>
                    <a:prstGeom prst="rect">
                      <a:avLst/>
                    </a:prstGeom>
                    <a:noFill/>
                  </pic:spPr>
                </pic:pic>
              </a:graphicData>
            </a:graphic>
          </wp:anchor>
        </w:drawing>
      </w:r>
    </w:p>
    <w:p>
      <w:pPr>
        <w:spacing w:after="0" w:line="189"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Source</w:t>
      </w:r>
      <w:r>
        <w:rPr>
          <w:rFonts w:ascii="Arial" w:cs="Arial" w:eastAsia="Arial" w:hAnsi="Arial"/>
          <w:sz w:val="16"/>
          <w:szCs w:val="16"/>
          <w:color w:val="auto"/>
        </w:rPr>
        <w:t>:</w:t>
      </w:r>
      <w:r>
        <w:rPr>
          <w:rFonts w:ascii="Arial" w:cs="Arial" w:eastAsia="Arial" w:hAnsi="Arial"/>
          <w:sz w:val="16"/>
          <w:szCs w:val="16"/>
          <w:i w:val="1"/>
          <w:iCs w:val="1"/>
          <w:color w:val="auto"/>
        </w:rPr>
        <w:t xml:space="preserve"> INEI, BCRP, and SBS.</w:t>
      </w:r>
    </w:p>
    <w:p>
      <w:pPr>
        <w:spacing w:after="0" w:line="209" w:lineRule="exact"/>
        <w:rPr>
          <w:sz w:val="20"/>
          <w:szCs w:val="20"/>
          <w:color w:val="auto"/>
        </w:rPr>
      </w:pPr>
    </w:p>
    <w:p>
      <w:pPr>
        <w:ind w:left="302" w:hanging="302"/>
        <w:spacing w:after="0"/>
        <w:tabs>
          <w:tab w:leader="none" w:pos="302" w:val="left"/>
        </w:tabs>
        <w:numPr>
          <w:ilvl w:val="0"/>
          <w:numId w:val="214"/>
        </w:numPr>
        <w:rPr>
          <w:rFonts w:ascii="Arial" w:cs="Arial" w:eastAsia="Arial" w:hAnsi="Arial"/>
          <w:sz w:val="16"/>
          <w:szCs w:val="16"/>
          <w:color w:val="auto"/>
        </w:rPr>
      </w:pPr>
      <w:r>
        <w:rPr>
          <w:rFonts w:ascii="Arial" w:cs="Arial" w:eastAsia="Arial" w:hAnsi="Arial"/>
          <w:sz w:val="16"/>
          <w:szCs w:val="16"/>
          <w:color w:val="auto"/>
        </w:rPr>
        <w:t>Financial System, Current Exchange Rate.</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214"/>
        </w:numPr>
        <w:rPr>
          <w:rFonts w:ascii="Arial" w:cs="Arial" w:eastAsia="Arial" w:hAnsi="Arial"/>
          <w:sz w:val="16"/>
          <w:szCs w:val="16"/>
          <w:color w:val="auto"/>
        </w:rPr>
      </w:pPr>
      <w:r>
        <w:rPr>
          <w:rFonts w:ascii="Arial" w:cs="Arial" w:eastAsia="Arial" w:hAnsi="Arial"/>
          <w:sz w:val="16"/>
          <w:szCs w:val="16"/>
          <w:color w:val="auto"/>
        </w:rPr>
        <w:t>Inflation target: 1% to 3%.</w:t>
      </w:r>
    </w:p>
    <w:p>
      <w:pPr>
        <w:spacing w:after="0" w:line="209" w:lineRule="exact"/>
        <w:rPr>
          <w:rFonts w:ascii="Arial" w:cs="Arial" w:eastAsia="Arial" w:hAnsi="Arial"/>
          <w:sz w:val="16"/>
          <w:szCs w:val="16"/>
          <w:color w:val="auto"/>
        </w:rPr>
      </w:pPr>
    </w:p>
    <w:p>
      <w:pPr>
        <w:ind w:left="302" w:hanging="302"/>
        <w:spacing w:after="0"/>
        <w:tabs>
          <w:tab w:leader="none" w:pos="302" w:val="left"/>
        </w:tabs>
        <w:numPr>
          <w:ilvl w:val="0"/>
          <w:numId w:val="214"/>
        </w:numPr>
        <w:rPr>
          <w:rFonts w:ascii="Arial" w:cs="Arial" w:eastAsia="Arial" w:hAnsi="Arial"/>
          <w:sz w:val="16"/>
          <w:szCs w:val="16"/>
          <w:color w:val="auto"/>
        </w:rPr>
      </w:pPr>
      <w:r>
        <w:rPr>
          <w:rFonts w:ascii="Arial" w:cs="Arial" w:eastAsia="Arial" w:hAnsi="Arial"/>
          <w:sz w:val="16"/>
          <w:szCs w:val="16"/>
          <w:color w:val="auto"/>
        </w:rPr>
        <w:t>Estimates by BCP Economic Research as of April 2020.</w:t>
      </w:r>
    </w:p>
    <w:p>
      <w:pPr>
        <w:spacing w:after="0" w:line="209" w:lineRule="exact"/>
        <w:rPr>
          <w:sz w:val="20"/>
          <w:szCs w:val="20"/>
          <w:color w:val="auto"/>
        </w:rPr>
      </w:pPr>
    </w:p>
    <w:p>
      <w:pPr>
        <w:ind w:left="162"/>
        <w:spacing w:after="0"/>
        <w:rPr>
          <w:sz w:val="20"/>
          <w:szCs w:val="20"/>
          <w:color w:val="auto"/>
        </w:rPr>
      </w:pPr>
      <w:r>
        <w:rPr>
          <w:rFonts w:ascii="Arial" w:cs="Arial" w:eastAsia="Arial" w:hAnsi="Arial"/>
          <w:sz w:val="16"/>
          <w:szCs w:val="16"/>
          <w:b w:val="1"/>
          <w:bCs w:val="1"/>
          <w:i w:val="1"/>
          <w:iCs w:val="1"/>
          <w:color w:val="auto"/>
        </w:rPr>
        <w:t>Main Economic Variables</w:t>
      </w:r>
    </w:p>
    <w:p>
      <w:pPr>
        <w:spacing w:after="0" w:line="209" w:lineRule="exact"/>
        <w:rPr>
          <w:sz w:val="20"/>
          <w:szCs w:val="20"/>
          <w:color w:val="auto"/>
        </w:rPr>
      </w:pPr>
    </w:p>
    <w:p>
      <w:pPr>
        <w:ind w:left="4762"/>
        <w:spacing w:after="0"/>
        <w:rPr>
          <w:sz w:val="20"/>
          <w:szCs w:val="20"/>
          <w:color w:val="auto"/>
        </w:rPr>
      </w:pPr>
      <w:r>
        <w:rPr>
          <w:rFonts w:ascii="Arial" w:cs="Arial" w:eastAsia="Arial" w:hAnsi="Arial"/>
          <w:sz w:val="16"/>
          <w:szCs w:val="16"/>
          <w:b w:val="1"/>
          <w:bCs w:val="1"/>
          <w:i w:val="1"/>
          <w:iCs w:val="1"/>
          <w:color w:val="auto"/>
        </w:rPr>
        <w:t>Economic Activity – GDP</w:t>
      </w:r>
    </w:p>
    <w:p>
      <w:pPr>
        <w:spacing w:after="0" w:line="24" w:lineRule="exact"/>
        <w:rPr>
          <w:sz w:val="20"/>
          <w:szCs w:val="20"/>
          <w:color w:val="auto"/>
        </w:rPr>
      </w:pPr>
    </w:p>
    <w:p>
      <w:pPr>
        <w:ind w:left="4782"/>
        <w:spacing w:after="0"/>
        <w:rPr>
          <w:sz w:val="20"/>
          <w:szCs w:val="20"/>
          <w:color w:val="auto"/>
        </w:rPr>
      </w:pPr>
      <w:r>
        <w:rPr>
          <w:rFonts w:ascii="Arial" w:cs="Arial" w:eastAsia="Arial" w:hAnsi="Arial"/>
          <w:sz w:val="16"/>
          <w:szCs w:val="16"/>
          <w:i w:val="1"/>
          <w:iCs w:val="1"/>
          <w:color w:val="auto"/>
        </w:rPr>
        <w:t>(% Change Year-on-Year)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5717540" cy="17938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717540" cy="179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
        <w:spacing w:after="0"/>
        <w:rPr>
          <w:sz w:val="20"/>
          <w:szCs w:val="20"/>
          <w:color w:val="auto"/>
        </w:rPr>
      </w:pPr>
      <w:r>
        <w:rPr>
          <w:rFonts w:ascii="Arial" w:cs="Arial" w:eastAsia="Arial" w:hAnsi="Arial"/>
          <w:sz w:val="16"/>
          <w:szCs w:val="16"/>
          <w:color w:val="auto"/>
        </w:rPr>
        <w:t>Source: INEI</w:t>
      </w:r>
    </w:p>
    <w:p>
      <w:pPr>
        <w:spacing w:after="0" w:line="209" w:lineRule="exact"/>
        <w:rPr>
          <w:sz w:val="20"/>
          <w:szCs w:val="20"/>
          <w:color w:val="auto"/>
        </w:rPr>
      </w:pPr>
    </w:p>
    <w:p>
      <w:pPr>
        <w:ind w:left="2" w:right="120" w:firstLine="295"/>
        <w:spacing w:after="0" w:line="262" w:lineRule="auto"/>
        <w:rPr>
          <w:sz w:val="20"/>
          <w:szCs w:val="20"/>
          <w:color w:val="auto"/>
        </w:rPr>
      </w:pPr>
      <w:r>
        <w:rPr>
          <w:rFonts w:ascii="Arial" w:cs="Arial" w:eastAsia="Arial" w:hAnsi="Arial"/>
          <w:sz w:val="16"/>
          <w:szCs w:val="16"/>
          <w:color w:val="auto"/>
        </w:rPr>
        <w:t>After expanding 3.0% comparing January 2020 to January 2019 and 3.8% comparing February 2020 to February 2019, economic activity was severely affected by government measures to halt the COVID-19 pandemic, which measures included instituting mandatory social distancing beginning on March 16, 2020. Some indicators that show the impact on economic activity in March include: electricity production (declined 27% comparing the second half of the month with the corresponding period of the previous year), public investment by the general government (decreased 25% in March in comparison to the corresponding period of the previous year), and wholesale poultry sales (decreased 10% in March in comparison to the corresponding period of the previous year and 25% in the last week of March in comparison to the corresponding period of the previous year).</w:t>
      </w:r>
    </w:p>
    <w:p>
      <w:pPr>
        <w:spacing w:after="0" w:line="36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32" w:right="339" w:bottom="1440" w:gutter="0" w:footer="0" w:header="0"/>
        </w:sectPr>
      </w:pPr>
    </w:p>
    <w:bookmarkStart w:id="200" w:name="page201"/>
    <w:bookmarkEnd w:id="200"/>
    <w:p>
      <w:pPr>
        <w:jc w:val="center"/>
        <w:ind w:right="-1"/>
        <w:spacing w:after="0"/>
        <w:rPr>
          <w:sz w:val="20"/>
          <w:szCs w:val="20"/>
          <w:color w:val="auto"/>
        </w:rPr>
      </w:pPr>
      <w:r>
        <w:rPr>
          <w:rFonts w:ascii="Arial" w:cs="Arial" w:eastAsia="Arial" w:hAnsi="Arial"/>
          <w:sz w:val="16"/>
          <w:szCs w:val="16"/>
          <w:b w:val="1"/>
          <w:bCs w:val="1"/>
          <w:color w:val="auto"/>
        </w:rPr>
        <w:t>Inflation and Monetary Policy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5522595" cy="20199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522595" cy="2019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Source: INEI, BCRP</w:t>
      </w:r>
    </w:p>
    <w:p>
      <w:pPr>
        <w:spacing w:after="0" w:line="209" w:lineRule="exact"/>
        <w:rPr>
          <w:sz w:val="20"/>
          <w:szCs w:val="20"/>
          <w:color w:val="auto"/>
        </w:rPr>
      </w:pPr>
    </w:p>
    <w:p>
      <w:pPr>
        <w:ind w:left="2" w:right="240" w:firstLine="295"/>
        <w:spacing w:after="0" w:line="322" w:lineRule="auto"/>
        <w:rPr>
          <w:sz w:val="20"/>
          <w:szCs w:val="20"/>
          <w:color w:val="auto"/>
        </w:rPr>
      </w:pPr>
      <w:r>
        <w:rPr>
          <w:rFonts w:ascii="Arial" w:cs="Arial" w:eastAsia="Arial" w:hAnsi="Arial"/>
          <w:sz w:val="15"/>
          <w:szCs w:val="15"/>
          <w:color w:val="auto"/>
        </w:rPr>
        <w:t>The inflation rate was 1.8% as of March 31, 2020 on a year-on-year basis, compared to 1.9% as of December 31, 2019. Furthermore, core inflation (excluding food and energy) decreased to 1.7% as of March 31, 2020 on a year-on-year basis compared to 2.3% as of December 31 2019, the lowest level in nine years.</w:t>
      </w:r>
    </w:p>
    <w:p>
      <w:pPr>
        <w:spacing w:after="0" w:line="127" w:lineRule="exact"/>
        <w:rPr>
          <w:sz w:val="20"/>
          <w:szCs w:val="20"/>
          <w:color w:val="auto"/>
        </w:rPr>
      </w:pPr>
    </w:p>
    <w:p>
      <w:pPr>
        <w:ind w:left="302"/>
        <w:spacing w:after="0"/>
        <w:rPr>
          <w:sz w:val="20"/>
          <w:szCs w:val="20"/>
          <w:color w:val="auto"/>
        </w:rPr>
      </w:pPr>
      <w:r>
        <w:rPr>
          <w:rFonts w:ascii="Arial" w:cs="Arial" w:eastAsia="Arial" w:hAnsi="Arial"/>
          <w:sz w:val="15"/>
          <w:szCs w:val="15"/>
          <w:color w:val="auto"/>
        </w:rPr>
        <w:t>In March 2020, the BCRP held an extraordinary (and unprecedented) monetary policy meeting, where it lowered its monetary policy rate by 100 basis points to</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5"/>
          <w:szCs w:val="15"/>
          <w:color w:val="auto"/>
        </w:rPr>
        <w:t>1.25%, a level not seen since the global financial crisis of 2009. The institution took into account the deterioration of the international environment due to the COVID-19</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4"/>
          <w:szCs w:val="14"/>
          <w:color w:val="auto"/>
        </w:rPr>
        <w:t>pandemic, as well as local economic conditions. In April 2020, the BCRP held another extraordinary meeting and agreed to cut an additional 100 basis points to set the rate</w:t>
      </w:r>
    </w:p>
    <w:p>
      <w:pPr>
        <w:spacing w:after="0" w:line="36" w:lineRule="exact"/>
        <w:rPr>
          <w:sz w:val="20"/>
          <w:szCs w:val="20"/>
          <w:color w:val="auto"/>
        </w:rPr>
      </w:pPr>
    </w:p>
    <w:p>
      <w:pPr>
        <w:ind w:left="2"/>
        <w:spacing w:after="0"/>
        <w:rPr>
          <w:sz w:val="20"/>
          <w:szCs w:val="20"/>
          <w:color w:val="auto"/>
        </w:rPr>
      </w:pPr>
      <w:r>
        <w:rPr>
          <w:rFonts w:ascii="Arial" w:cs="Arial" w:eastAsia="Arial" w:hAnsi="Arial"/>
          <w:sz w:val="15"/>
          <w:szCs w:val="15"/>
          <w:color w:val="auto"/>
        </w:rPr>
        <w:t>at 0.25%, a new historic low. In addition, the BCRP took different measures to inject liquidity into the economy, such as extending its operating terms; exercising</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5"/>
          <w:szCs w:val="15"/>
          <w:color w:val="auto"/>
        </w:rPr>
        <w:t>flexibility with regard to reserve requirements for institutions in the financial system; and providing liquidity through specific operations (such as asset repurchases and</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color w:val="auto"/>
        </w:rPr>
        <w:t>foreign exchange repurchases).</w:t>
      </w:r>
    </w:p>
    <w:p>
      <w:pPr>
        <w:spacing w:after="0" w:line="194"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Fiscal Result and Current Account Balance (%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5522595" cy="20980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522595" cy="2098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Source: BCRP</w:t>
      </w:r>
    </w:p>
    <w:p>
      <w:pPr>
        <w:spacing w:after="0" w:line="209" w:lineRule="exact"/>
        <w:rPr>
          <w:sz w:val="20"/>
          <w:szCs w:val="20"/>
          <w:color w:val="auto"/>
        </w:rPr>
      </w:pPr>
    </w:p>
    <w:p>
      <w:pPr>
        <w:ind w:left="302" w:hanging="302"/>
        <w:spacing w:after="0"/>
        <w:tabs>
          <w:tab w:leader="none" w:pos="302" w:val="left"/>
        </w:tabs>
        <w:numPr>
          <w:ilvl w:val="0"/>
          <w:numId w:val="215"/>
        </w:numPr>
        <w:rPr>
          <w:rFonts w:ascii="Arial" w:cs="Arial" w:eastAsia="Arial" w:hAnsi="Arial"/>
          <w:sz w:val="16"/>
          <w:szCs w:val="16"/>
          <w:color w:val="auto"/>
        </w:rPr>
      </w:pPr>
      <w:r>
        <w:rPr>
          <w:rFonts w:ascii="Arial" w:cs="Arial" w:eastAsia="Arial" w:hAnsi="Arial"/>
          <w:sz w:val="16"/>
          <w:szCs w:val="16"/>
          <w:color w:val="auto"/>
        </w:rPr>
        <w:t>BCP estimates</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4385"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320" w:right="339" w:bottom="1440" w:gutter="0" w:footer="0" w:header="0"/>
        </w:sectPr>
      </w:pPr>
    </w:p>
    <w:bookmarkStart w:id="201" w:name="page202"/>
    <w:bookmarkEnd w:id="201"/>
    <w:p>
      <w:pPr>
        <w:ind w:right="40" w:firstLine="295"/>
        <w:spacing w:after="0" w:line="261" w:lineRule="auto"/>
        <w:rPr>
          <w:sz w:val="20"/>
          <w:szCs w:val="20"/>
          <w:color w:val="auto"/>
        </w:rPr>
      </w:pPr>
      <w:r>
        <w:rPr>
          <w:rFonts w:ascii="Arial" w:cs="Arial" w:eastAsia="Arial" w:hAnsi="Arial"/>
          <w:sz w:val="16"/>
          <w:szCs w:val="16"/>
          <w:color w:val="auto"/>
        </w:rPr>
        <w:t>In March 2020, fiscal revenues at the national government level declined 19% year-on-year in real terms, the worst level recorded since July 2009. The strong contraction was attributable to an 11% decline in VAT revenues and a 24% decline in income tax revenues. The decline in fiscal revenues is primarily attributable to the measures adopted by the government during the national state of emergency in response to the COVID-19 pandemic. Certain notable measures include: (i) deferral of yearly income tax filings, (ii) deferral of internal tax payments and declarations, and (iii) flexibility regarding terms for installment payments, extensions and tax-debt refinancing. During the same period, national government non-financial spending increased 12% year-on-year in real terms. Current expenditures in particular increased 15% year-on-year, a 26-month peak, due to an increase in national government transfers (an increase of 94%). In contrast, public investment from the national government declined 25% year-on-year in real terms.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Exchange Rate (S/ per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5522595" cy="26054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522595" cy="260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Source: SBS</w:t>
      </w:r>
    </w:p>
    <w:p>
      <w:pPr>
        <w:spacing w:after="0" w:line="209" w:lineRule="exact"/>
        <w:rPr>
          <w:sz w:val="20"/>
          <w:szCs w:val="20"/>
          <w:color w:val="auto"/>
        </w:rPr>
      </w:pPr>
    </w:p>
    <w:p>
      <w:pPr>
        <w:ind w:right="320" w:firstLine="295"/>
        <w:spacing w:after="0" w:line="287" w:lineRule="auto"/>
        <w:rPr>
          <w:sz w:val="20"/>
          <w:szCs w:val="20"/>
          <w:color w:val="auto"/>
        </w:rPr>
      </w:pPr>
      <w:r>
        <w:rPr>
          <w:rFonts w:ascii="Arial" w:cs="Arial" w:eastAsia="Arial" w:hAnsi="Arial"/>
          <w:sz w:val="16"/>
          <w:szCs w:val="16"/>
          <w:color w:val="auto"/>
        </w:rPr>
        <w:t>The exchange rate as of March 31, 2020 was S/3.437 for U.S.$1.00, representing depreciation of the Peruvian Sol of 3.7% in three month period ended March 31, 2020, primarily due to foreign currency effects of the international economic environment in the context of the COVID-19 pandemic.</w:t>
      </w:r>
    </w:p>
    <w:p>
      <w:pPr>
        <w:spacing w:after="0" w:line="150" w:lineRule="exact"/>
        <w:rPr>
          <w:sz w:val="20"/>
          <w:szCs w:val="20"/>
          <w:color w:val="auto"/>
        </w:rPr>
      </w:pPr>
    </w:p>
    <w:p>
      <w:pPr>
        <w:ind w:right="340" w:firstLine="295"/>
        <w:spacing w:after="0" w:line="287" w:lineRule="auto"/>
        <w:rPr>
          <w:sz w:val="20"/>
          <w:szCs w:val="20"/>
          <w:color w:val="auto"/>
        </w:rPr>
      </w:pPr>
      <w:r>
        <w:rPr>
          <w:rFonts w:ascii="Arial" w:cs="Arial" w:eastAsia="Arial" w:hAnsi="Arial"/>
          <w:sz w:val="16"/>
          <w:szCs w:val="16"/>
          <w:color w:val="auto"/>
        </w:rPr>
        <w:t>The BCRP mitigated the depreciation of the Peruvian Sol though foreign exchange swaps for S/7,296 million in the three months ended March 31, 2020 (S/6,170 million were placed in March alone).</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International net reserves stood at U.S.$68,022 million as of March 31, 2020, which represents a decrease of U.S.$294 million compared to March 31, 2019.</w:t>
      </w:r>
    </w:p>
    <w:p>
      <w:pPr>
        <w:spacing w:after="0" w:line="221" w:lineRule="exact"/>
        <w:rPr>
          <w:sz w:val="20"/>
          <w:szCs w:val="20"/>
          <w:color w:val="auto"/>
        </w:rPr>
      </w:pPr>
    </w:p>
    <w:p>
      <w:pPr>
        <w:jc w:val="both"/>
        <w:ind w:right="60" w:firstLine="295"/>
        <w:spacing w:after="0" w:line="271" w:lineRule="auto"/>
        <w:rPr>
          <w:sz w:val="20"/>
          <w:szCs w:val="20"/>
          <w:color w:val="auto"/>
        </w:rPr>
      </w:pPr>
      <w:r>
        <w:rPr>
          <w:rFonts w:ascii="Arial" w:cs="Arial" w:eastAsia="Arial" w:hAnsi="Arial"/>
          <w:sz w:val="16"/>
          <w:szCs w:val="16"/>
          <w:color w:val="auto"/>
        </w:rPr>
        <w:t>Finally, as of March 31, 2020, all currencies in the region depreciated compared to the end of 2019, with depreciation of the Brazilian Real of 29%, the Mexican Peso of 25%, the Colombian Peso of 24%, and the Chilean Peso of 13%). The Peruvian Sol was the only currency in the region which did not exceed its historical peak during this period.</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w:t>
      </w:r>
    </w:p>
    <w:p>
      <w:pPr>
        <w:spacing w:after="0" w:line="209" w:lineRule="exact"/>
        <w:rPr>
          <w:sz w:val="20"/>
          <w:szCs w:val="20"/>
          <w:color w:val="auto"/>
        </w:rPr>
      </w:pPr>
    </w:p>
    <w:p>
      <w:pPr>
        <w:ind w:firstLine="295"/>
        <w:spacing w:after="0" w:line="277" w:lineRule="auto"/>
        <w:rPr>
          <w:sz w:val="20"/>
          <w:szCs w:val="20"/>
          <w:color w:val="auto"/>
        </w:rPr>
      </w:pPr>
      <w:r>
        <w:rPr>
          <w:rFonts w:ascii="Arial" w:cs="Arial" w:eastAsia="Arial" w:hAnsi="Arial"/>
          <w:sz w:val="15"/>
          <w:szCs w:val="15"/>
          <w:color w:val="auto"/>
        </w:rPr>
        <w:t>From time to time, we are and may become involved in litigation, investigations and other legal or administrative proceedings relating to claims arising from our operations, either in the normal course of business or otherwise, or arising from violations or alleged violations of laws, regulations or acts. As described in, but not limited to, “Item 8. Financial Information—8.A. Consolidated Statements and Other Financial Information—(1) Legal Proceedings” in our 2019 Form 20-F, as of December 31, 2019, we were subject to a number of significant legal proceedings. In addition, an investigation was carried out regarding certain donations in an amount of U.S.$3.65 million, which were made by Credicorp to the Fujimori 2011 presidential election campaign. The SMV has initiated a sanctioning process against Credicorp for not having disclosed to the market, in due course, the contributions made to political campaigns in the years 2011 and 2016. The SMV has also initiated a sanctioning process against three subsidiaries of Credicorp (BCP Stand-alone, Mibanco and Grupo Pacifico), for not having disclosed to the market, in due course, the contributions made to political campaigns in connection with the 2016 presidential elections. We do not believe the results of these sanctioning processes will have a material adverse effect on our business, financial condition or results of operations, but cannot assure you that these or any of our other regulatory matters and legal proceedings, including any that may arise in the future, will not harm our reputation, adversely affect our ability to conduct our business in the manner that we expect, or require us to pay fines, which could adversely affect our results of operation in case of an unfavorable ruling. In addition, Dionisio Romero Paoletti, the former Chairman of our Board of Directors, is currently part of a preliminary investigation by a district attorney in relation to allegations made by a private citizen with respect to campaign contributions made in the 2011 and 2016 elections. Such allegations are not directed against Credicorp and we believe they would not have any material impact on the Company.</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7144385"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02" w:name="page203"/>
    <w:bookmarkEnd w:id="202"/>
    <w:p>
      <w:pPr>
        <w:jc w:val="center"/>
        <w:ind w:right="-19"/>
        <w:spacing w:after="0"/>
        <w:rPr>
          <w:sz w:val="20"/>
          <w:szCs w:val="20"/>
          <w:color w:val="auto"/>
        </w:rPr>
      </w:pPr>
      <w:r>
        <w:rPr>
          <w:rFonts w:ascii="Arial" w:cs="Arial" w:eastAsia="Arial" w:hAnsi="Arial"/>
          <w:sz w:val="16"/>
          <w:szCs w:val="16"/>
          <w:b w:val="1"/>
          <w:bCs w:val="1"/>
          <w:color w:val="auto"/>
        </w:rPr>
        <w:t>FORWARD-LOOKING STATEMENTS</w:t>
      </w:r>
    </w:p>
    <w:p>
      <w:pPr>
        <w:spacing w:after="0" w:line="213" w:lineRule="exact"/>
        <w:rPr>
          <w:sz w:val="20"/>
          <w:szCs w:val="20"/>
          <w:color w:val="auto"/>
        </w:rPr>
      </w:pPr>
    </w:p>
    <w:p>
      <w:pPr>
        <w:ind w:right="340" w:firstLine="295"/>
        <w:spacing w:after="0" w:line="287" w:lineRule="auto"/>
        <w:rPr>
          <w:sz w:val="20"/>
          <w:szCs w:val="20"/>
          <w:color w:val="auto"/>
        </w:rPr>
      </w:pPr>
      <w:r>
        <w:rPr>
          <w:rFonts w:ascii="Arial" w:cs="Arial" w:eastAsia="Arial" w:hAnsi="Arial"/>
          <w:sz w:val="16"/>
          <w:szCs w:val="16"/>
          <w:color w:val="auto"/>
        </w:rPr>
        <w:t>The preceding presentation contains estimates and forward-looking statements. Some of the matters discussed concerning our business and financial performance include estimates and forward-looking statements.</w:t>
      </w:r>
    </w:p>
    <w:p>
      <w:pPr>
        <w:spacing w:after="0" w:line="150" w:lineRule="exact"/>
        <w:rPr>
          <w:sz w:val="20"/>
          <w:szCs w:val="20"/>
          <w:color w:val="auto"/>
        </w:rPr>
      </w:pPr>
    </w:p>
    <w:p>
      <w:pPr>
        <w:ind w:right="40" w:firstLine="295"/>
        <w:spacing w:after="0" w:line="266" w:lineRule="auto"/>
        <w:rPr>
          <w:sz w:val="20"/>
          <w:szCs w:val="20"/>
          <w:color w:val="auto"/>
        </w:rPr>
      </w:pPr>
      <w:r>
        <w:rPr>
          <w:rFonts w:ascii="Arial" w:cs="Arial" w:eastAsia="Arial" w:hAnsi="Arial"/>
          <w:sz w:val="16"/>
          <w:szCs w:val="16"/>
          <w:color w:val="auto"/>
        </w:rPr>
        <w:t>Our estimates and forward-looking statements are mainly based on our current expectations and estimates on projections of future events and trends, which affect or may affect our businesses and results of operations. Although we believe that these estimates and forward-looking statements are based upon reasonable assumptions, they are subject to several risks and uncertainties and are made in light of information currently available to us. Our estimates and forward-looking statements may be influenced by the following factors, among others:</w:t>
      </w:r>
    </w:p>
    <w:p>
      <w:pPr>
        <w:spacing w:after="0" w:line="167" w:lineRule="exact"/>
        <w:rPr>
          <w:sz w:val="20"/>
          <w:szCs w:val="20"/>
          <w:color w:val="auto"/>
        </w:rPr>
      </w:pPr>
    </w:p>
    <w:p>
      <w:pPr>
        <w:ind w:left="580" w:hanging="287"/>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general economic conditions, including, in particular, economic conditions in Peru;</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occurrence of disasters or political or social instability in the countries where we operate, including, in particular, the economic conditions in Peru;</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adequacy of the dividends that our subsidiaries are able to pay to us, which may affect our ability to pay dividends to shareholders;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performance of, and volatility in, financial markets, including Latin American and other emerging markets;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frequency and severity of insured loss events;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fluctuations in interest rate levels;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currency exchange rates, including the Sol/U.S. dollar exchange rate;</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deterioration in the quality of our loan portfolio;</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increasing levels of competition in Peru and other emerging markets;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developments and changes in laws and regulations and adoption of new international guidelines;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changes in the policies of central banks and/or foreign governments;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general competitive factors, in each case on a global, regional and/or national basis, including in the Peruvian banking industry;</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effectiveness of our risk management policies and of our operational and security systems;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losses associated with counterparty exposures;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216"/>
        </w:numPr>
        <w:rPr>
          <w:rFonts w:ascii="Arial" w:cs="Arial" w:eastAsia="Arial" w:hAnsi="Arial"/>
          <w:sz w:val="15"/>
          <w:szCs w:val="15"/>
          <w:color w:val="auto"/>
        </w:rPr>
      </w:pPr>
      <w:r>
        <w:rPr>
          <w:rFonts w:ascii="Arial" w:cs="Arial" w:eastAsia="Arial" w:hAnsi="Arial"/>
          <w:sz w:val="15"/>
          <w:szCs w:val="15"/>
          <w:color w:val="auto"/>
        </w:rPr>
        <w:t>the duration and severity of the novel coronavirus 2019 (“COVID-19”) outbreak and its impacts on our business and economic conditions generally; and</w:t>
      </w:r>
    </w:p>
    <w:p>
      <w:pPr>
        <w:spacing w:after="0" w:line="220" w:lineRule="exact"/>
        <w:rPr>
          <w:rFonts w:ascii="Arial" w:cs="Arial" w:eastAsia="Arial" w:hAnsi="Arial"/>
          <w:sz w:val="15"/>
          <w:szCs w:val="15"/>
          <w:color w:val="auto"/>
        </w:rPr>
      </w:pPr>
    </w:p>
    <w:p>
      <w:pPr>
        <w:ind w:left="580" w:hanging="287"/>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other risk factors discussed in our 2019 Form 20-F filed on May 29, 2020.</w:t>
      </w:r>
    </w:p>
    <w:p>
      <w:pPr>
        <w:spacing w:after="0" w:line="209" w:lineRule="exact"/>
        <w:rPr>
          <w:sz w:val="20"/>
          <w:szCs w:val="20"/>
          <w:color w:val="auto"/>
        </w:rPr>
      </w:pPr>
    </w:p>
    <w:p>
      <w:pPr>
        <w:ind w:firstLine="295"/>
        <w:spacing w:after="0" w:line="281" w:lineRule="auto"/>
        <w:rPr>
          <w:sz w:val="20"/>
          <w:szCs w:val="20"/>
          <w:color w:val="auto"/>
        </w:rPr>
      </w:pPr>
      <w:r>
        <w:rPr>
          <w:rFonts w:ascii="Arial" w:cs="Arial" w:eastAsia="Arial" w:hAnsi="Arial"/>
          <w:sz w:val="15"/>
          <w:szCs w:val="15"/>
          <w:color w:val="auto"/>
        </w:rPr>
        <w:t>The words “believe,” “may,” “will,” “estimate,” “continue,” “anticipate,” “intend,” “expect” and similar words are intended to identify estimates and forward-looking statements. Estimates and forward-looking statements speak only as of the date they were made, and we undertake no obligation to update or to review any estimate and/or forward-looking statement because of new information, future events or other factors. Estimates and forward-looking statements involve risks and uncertainties and are not guarantees of future performance. Our future results may differ materially from those expressed in these estimates and forward-looking statements. In light of the risks and uncertainties described above, the estimates and forward-looking statements discussed in this Form 6-K might not occur and our future results and our performance may differ materially from those expressed in these forward-looking statements due to but not limited to, the factors mentioned above. Because of these uncertainties, you should not make any investment decision based on these estimates and forward-looking statements.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44385"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sectPr>
      <w:pgSz w:w="11900" w:h="16838" w:orient="portrait"/>
      <w:cols w:equalWidth="0" w:num="1">
        <w:col w:w="11220"/>
      </w:cols>
      <w:pgMar w:left="320" w:top="31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155DBC"/>
    <w:multiLevelType w:val="hybridMultilevel"/>
    <w:lvl w:ilvl="0">
      <w:lvlJc w:val="left"/>
      <w:lvlText w:val="1"/>
      <w:numFmt w:val="bullet"/>
      <w:start w:val="1"/>
    </w:lvl>
    <w:lvl w:ilvl="1">
      <w:lvlJc w:val="left"/>
      <w:lvlText w:val="-"/>
      <w:numFmt w:val="bullet"/>
      <w:start w:val="1"/>
    </w:lvl>
  </w:abstractNum>
  <w:abstractNum w:abstractNumId="1">
    <w:nsid w:val="1D9F6E5F"/>
    <w:multiLevelType w:val="hybridMultilevel"/>
    <w:lvl w:ilvl="0">
      <w:lvlJc w:val="left"/>
      <w:lvlText w:val="2"/>
      <w:numFmt w:val="bullet"/>
      <w:start w:val="1"/>
    </w:lvl>
  </w:abstractNum>
  <w:abstractNum w:abstractNumId="2">
    <w:nsid w:val="97E1B4E"/>
    <w:multiLevelType w:val="hybridMultilevel"/>
    <w:lvl w:ilvl="0">
      <w:lvlJc w:val="left"/>
      <w:lvlText w:val="%1)"/>
      <w:numFmt w:val="lowerLetter"/>
      <w:start w:val="1"/>
    </w:lvl>
  </w:abstractNum>
  <w:abstractNum w:abstractNumId="3">
    <w:nsid w:val="51088277"/>
    <w:multiLevelType w:val="hybridMultilevel"/>
    <w:lvl w:ilvl="0">
      <w:lvlJc w:val="left"/>
      <w:lvlText w:val="-"/>
      <w:numFmt w:val="bullet"/>
      <w:start w:val="1"/>
    </w:lvl>
  </w:abstractNum>
  <w:abstractNum w:abstractNumId="4">
    <w:nsid w:val="1CA0C5FA"/>
    <w:multiLevelType w:val="hybridMultilevel"/>
    <w:lvl w:ilvl="0">
      <w:lvlJc w:val="left"/>
      <w:lvlText w:val="3"/>
      <w:numFmt w:val="bullet"/>
      <w:start w:val="1"/>
    </w:lvl>
  </w:abstractNum>
  <w:abstractNum w:abstractNumId="5">
    <w:nsid w:val="53584BCB"/>
    <w:multiLevelType w:val="hybridMultilevel"/>
    <w:lvl w:ilvl="0">
      <w:lvlJc w:val="left"/>
      <w:lvlText w:val="%1)"/>
      <w:numFmt w:val="lowerLetter"/>
      <w:start w:val="1"/>
    </w:lvl>
  </w:abstractNum>
  <w:abstractNum w:abstractNumId="6">
    <w:nsid w:val="415E286C"/>
    <w:multiLevelType w:val="hybridMultilevel"/>
    <w:lvl w:ilvl="0">
      <w:lvlJc w:val="left"/>
      <w:lvlText w:val="(%1)"/>
      <w:numFmt w:val="lowerRoman"/>
      <w:start w:val="1"/>
    </w:lvl>
    <w:lvl w:ilvl="1">
      <w:lvlJc w:val="left"/>
      <w:lvlText w:val="-"/>
      <w:numFmt w:val="bullet"/>
      <w:start w:val="1"/>
    </w:lvl>
    <w:lvl w:ilvl="2">
      <w:lvlJc w:val="left"/>
      <w:lvlText w:val="-"/>
      <w:numFmt w:val="bullet"/>
      <w:start w:val="1"/>
    </w:lvl>
  </w:abstractNum>
  <w:abstractNum w:abstractNumId="7">
    <w:nsid w:val="7C58FD05"/>
    <w:multiLevelType w:val="hybridMultilevel"/>
    <w:lvl w:ilvl="0">
      <w:lvlJc w:val="left"/>
      <w:lvlText w:val="%1)"/>
      <w:numFmt w:val="lowerLetter"/>
      <w:start w:val="2"/>
    </w:lvl>
    <w:lvl w:ilvl="1">
      <w:lvlJc w:val="left"/>
      <w:lvlText w:val="-"/>
      <w:numFmt w:val="bullet"/>
      <w:start w:val="1"/>
    </w:lvl>
  </w:abstractNum>
  <w:abstractNum w:abstractNumId="8">
    <w:nsid w:val="23D86AAC"/>
    <w:multiLevelType w:val="hybridMultilevel"/>
    <w:lvl w:ilvl="0">
      <w:lvlJc w:val="left"/>
      <w:lvlText w:val="(%1)"/>
      <w:numFmt w:val="lowerRoman"/>
      <w:start w:val="1"/>
    </w:lvl>
  </w:abstractNum>
  <w:abstractNum w:abstractNumId="9">
    <w:nsid w:val="45E6D486"/>
    <w:multiLevelType w:val="hybridMultilevel"/>
    <w:lvl w:ilvl="0">
      <w:lvlJc w:val="left"/>
      <w:lvlText w:val="%1)"/>
      <w:numFmt w:val="lowerLetter"/>
      <w:start w:val="1"/>
    </w:lvl>
    <w:lvl w:ilvl="1">
      <w:lvlJc w:val="left"/>
      <w:lvlText w:val="-"/>
      <w:numFmt w:val="bullet"/>
      <w:start w:val="1"/>
    </w:lvl>
  </w:abstractNum>
  <w:abstractNum w:abstractNumId="10">
    <w:nsid w:val="5C10FE21"/>
    <w:multiLevelType w:val="hybridMultilevel"/>
    <w:lvl w:ilvl="0">
      <w:lvlJc w:val="left"/>
      <w:lvlText w:val="%1"/>
      <w:numFmt w:val="lowerRoman"/>
      <w:start w:val="1"/>
    </w:lvl>
    <w:lvl w:ilvl="1">
      <w:lvlJc w:val="left"/>
      <w:lvlText w:val="%2)"/>
      <w:numFmt w:val="lowerLetter"/>
      <w:start w:val="2"/>
    </w:lvl>
  </w:abstractNum>
  <w:abstractNum w:abstractNumId="11">
    <w:nsid w:val="E7FFA2B"/>
    <w:multiLevelType w:val="hybridMultilevel"/>
    <w:lvl w:ilvl="0">
      <w:lvlJc w:val="left"/>
      <w:lvlText w:val="(%1)"/>
      <w:numFmt w:val="lowerRoman"/>
      <w:start w:val="2"/>
    </w:lvl>
    <w:lvl w:ilvl="1">
      <w:lvlJc w:val="left"/>
      <w:lvlText w:val="%2"/>
      <w:numFmt w:val="lowerLetter"/>
      <w:start w:val="1"/>
    </w:lvl>
  </w:abstractNum>
  <w:abstractNum w:abstractNumId="12">
    <w:nsid w:val="3C5991AA"/>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13">
    <w:nsid w:val="4BD8591A"/>
    <w:multiLevelType w:val="hybridMultilevel"/>
    <w:lvl w:ilvl="0">
      <w:lvlJc w:val="left"/>
      <w:lvlText w:val="(%1)"/>
      <w:numFmt w:val="lowerRoman"/>
      <w:start w:val="5"/>
    </w:lvl>
    <w:lvl w:ilvl="1">
      <w:lvlJc w:val="left"/>
      <w:lvlText w:val="%2"/>
      <w:numFmt w:val="lowerLetter"/>
      <w:start w:val="1"/>
    </w:lvl>
    <w:lvl w:ilvl="2">
      <w:lvlJc w:val="left"/>
      <w:lvlText w:val="-"/>
      <w:numFmt w:val="bullet"/>
      <w:start w:val="1"/>
    </w:lvl>
  </w:abstractNum>
  <w:abstractNum w:abstractNumId="14">
    <w:nsid w:val="78DF6A55"/>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5">
    <w:nsid w:val="39B7AAA2"/>
    <w:multiLevelType w:val="hybridMultilevel"/>
    <w:lvl w:ilvl="0">
      <w:lvlJc w:val="left"/>
      <w:lvlText w:val="(%1)"/>
      <w:numFmt w:val="lowerRoman"/>
      <w:start w:val="2"/>
    </w:lvl>
  </w:abstractNum>
  <w:abstractNum w:abstractNumId="16">
    <w:nsid w:val="2B0D8DBE"/>
    <w:multiLevelType w:val="hybridMultilevel"/>
    <w:lvl w:ilvl="0">
      <w:lvlJc w:val="left"/>
      <w:lvlText w:val="%1)"/>
      <w:numFmt w:val="lowerLetter"/>
      <w:start w:val="2"/>
    </w:lvl>
  </w:abstractNum>
  <w:abstractNum w:abstractNumId="17">
    <w:nsid w:val="6C80EC70"/>
    <w:multiLevelType w:val="hybridMultilevel"/>
    <w:lvl w:ilvl="0">
      <w:lvlJc w:val="left"/>
      <w:lvlText w:val="(%1)"/>
      <w:numFmt w:val="lowerRoman"/>
      <w:start w:val="1"/>
    </w:lvl>
  </w:abstractNum>
  <w:abstractNum w:abstractNumId="18">
    <w:nsid w:val="379E21B5"/>
    <w:multiLevelType w:val="hybridMultilevel"/>
    <w:lvl w:ilvl="0">
      <w:lvlJc w:val="left"/>
      <w:lvlText w:val="(%1)"/>
      <w:numFmt w:val="lowerRoman"/>
      <w:start w:val="2"/>
    </w:lvl>
  </w:abstractNum>
  <w:abstractNum w:abstractNumId="19">
    <w:nsid w:val="69E373"/>
    <w:multiLevelType w:val="hybridMultilevel"/>
    <w:lvl w:ilvl="0">
      <w:lvlJc w:val="left"/>
      <w:lvlText w:val="%1)"/>
      <w:numFmt w:val="lowerLetter"/>
      <w:start w:val="3"/>
    </w:lvl>
  </w:abstractNum>
  <w:abstractNum w:abstractNumId="20">
    <w:nsid w:val="2C27173B"/>
    <w:multiLevelType w:val="hybridMultilevel"/>
    <w:lvl w:ilvl="0">
      <w:lvlJc w:val="left"/>
      <w:lvlText w:val="5"/>
      <w:numFmt w:val="bullet"/>
      <w:start w:val="1"/>
    </w:lvl>
  </w:abstractNum>
  <w:abstractNum w:abstractNumId="21">
    <w:nsid w:val="4C9B0904"/>
    <w:multiLevelType w:val="hybridMultilevel"/>
    <w:lvl w:ilvl="0">
      <w:lvlJc w:val="left"/>
      <w:lvlText w:val="%1)"/>
      <w:numFmt w:val="lowerLetter"/>
      <w:start w:val="1"/>
    </w:lvl>
  </w:abstractNum>
  <w:abstractNum w:abstractNumId="22">
    <w:nsid w:val="6AA7B75C"/>
    <w:multiLevelType w:val="hybridMultilevel"/>
    <w:lvl w:ilvl="0">
      <w:lvlJc w:val="left"/>
      <w:lvlText w:val="-"/>
      <w:numFmt w:val="bullet"/>
      <w:start w:val="1"/>
    </w:lvl>
  </w:abstractNum>
  <w:abstractNum w:abstractNumId="23">
    <w:nsid w:val="1DF029D3"/>
    <w:multiLevelType w:val="hybridMultilevel"/>
    <w:lvl w:ilvl="0">
      <w:lvlJc w:val="left"/>
      <w:lvlText w:val="(%1)"/>
      <w:numFmt w:val="lowerRoman"/>
      <w:start w:val="1"/>
    </w:lvl>
    <w:lvl w:ilvl="1">
      <w:lvlJc w:val="left"/>
      <w:lvlText w:val="-"/>
      <w:numFmt w:val="bullet"/>
      <w:start w:val="1"/>
    </w:lvl>
  </w:abstractNum>
  <w:abstractNum w:abstractNumId="24">
    <w:nsid w:val="5675FF36"/>
    <w:multiLevelType w:val="hybridMultilevel"/>
    <w:lvl w:ilvl="0">
      <w:lvlJc w:val="left"/>
      <w:lvlText w:val="%1)"/>
      <w:numFmt w:val="lowerLetter"/>
      <w:start w:val="2"/>
    </w:lvl>
  </w:abstractNum>
  <w:abstractNum w:abstractNumId="25">
    <w:nsid w:val="3DD15094"/>
    <w:multiLevelType w:val="hybridMultilevel"/>
    <w:lvl w:ilvl="0">
      <w:lvlJc w:val="left"/>
      <w:lvlText w:val="%1)"/>
      <w:numFmt w:val="lowerLetter"/>
      <w:start w:val="3"/>
    </w:lvl>
  </w:abstractNum>
  <w:abstractNum w:abstractNumId="26">
    <w:nsid w:val="3DB012B3"/>
    <w:multiLevelType w:val="hybridMultilevel"/>
    <w:lvl w:ilvl="0">
      <w:lvlJc w:val="left"/>
      <w:lvlText w:val="6"/>
      <w:numFmt w:val="bullet"/>
      <w:start w:val="1"/>
    </w:lvl>
    <w:lvl w:ilvl="1">
      <w:lvlJc w:val="left"/>
      <w:lvlText w:val="%2)"/>
      <w:numFmt w:val="lowerLetter"/>
      <w:start w:val="1"/>
    </w:lvl>
  </w:abstractNum>
  <w:abstractNum w:abstractNumId="27">
    <w:nsid w:val="2708C9AF"/>
    <w:multiLevelType w:val="hybridMultilevel"/>
    <w:lvl w:ilvl="0">
      <w:lvlJc w:val="left"/>
      <w:lvlText w:val="(%1)"/>
      <w:numFmt w:val="lowerRoman"/>
      <w:start w:val="2"/>
    </w:lvl>
    <w:lvl w:ilvl="1">
      <w:lvlJc w:val="left"/>
      <w:lvlText w:val="-"/>
      <w:numFmt w:val="bullet"/>
      <w:start w:val="1"/>
    </w:lvl>
  </w:abstractNum>
  <w:abstractNum w:abstractNumId="28">
    <w:nsid w:val="5B25ACE2"/>
    <w:multiLevelType w:val="hybridMultilevel"/>
    <w:lvl w:ilvl="0">
      <w:lvlJc w:val="left"/>
      <w:lvlText w:val="(*)"/>
      <w:numFmt w:val="bullet"/>
      <w:start w:val="1"/>
    </w:lvl>
  </w:abstractNum>
  <w:abstractNum w:abstractNumId="29">
    <w:nsid w:val="175DFCF0"/>
    <w:multiLevelType w:val="hybridMultilevel"/>
    <w:lvl w:ilvl="0">
      <w:lvlJc w:val="left"/>
      <w:lvlText w:val="(%1)"/>
      <w:numFmt w:val="lowerRoman"/>
      <w:start w:val="1"/>
    </w:lvl>
  </w:abstractNum>
  <w:abstractNum w:abstractNumId="30">
    <w:nsid w:val="4F97E3E4"/>
    <w:multiLevelType w:val="hybridMultilevel"/>
    <w:lvl w:ilvl="0">
      <w:lvlJc w:val="left"/>
      <w:lvlText w:val="(%1)"/>
      <w:numFmt w:val="lowerRoman"/>
      <w:start w:val="1"/>
    </w:lvl>
  </w:abstractNum>
  <w:abstractNum w:abstractNumId="31">
    <w:nsid w:val="53B0A9E"/>
    <w:multiLevelType w:val="hybridMultilevel"/>
    <w:lvl w:ilvl="0">
      <w:lvlJc w:val="left"/>
      <w:lvlText w:val="(%1)"/>
      <w:numFmt w:val="lowerRoman"/>
      <w:start w:val="2"/>
    </w:lvl>
  </w:abstractNum>
  <w:abstractNum w:abstractNumId="32">
    <w:nsid w:val="34FD6B4F"/>
    <w:multiLevelType w:val="hybridMultilevel"/>
    <w:lvl w:ilvl="0">
      <w:lvlJc w:val="left"/>
      <w:lvlText w:val="%1)"/>
      <w:numFmt w:val="lowerLetter"/>
      <w:start w:val="3"/>
    </w:lvl>
  </w:abstractNum>
  <w:abstractNum w:abstractNumId="33">
    <w:nsid w:val="5915FF32"/>
    <w:multiLevelType w:val="hybridMultilevel"/>
    <w:lvl w:ilvl="0">
      <w:lvlJc w:val="left"/>
      <w:lvlText w:val="%1)"/>
      <w:numFmt w:val="lowerLetter"/>
      <w:start w:val="2"/>
    </w:lvl>
  </w:abstractNum>
  <w:abstractNum w:abstractNumId="34">
    <w:nsid w:val="56438D15"/>
    <w:multiLevelType w:val="hybridMultilevel"/>
    <w:lvl w:ilvl="0">
      <w:lvlJc w:val="left"/>
      <w:lvlText w:val="%1)"/>
      <w:numFmt w:val="lowerLetter"/>
      <w:start w:val="3"/>
    </w:lvl>
  </w:abstractNum>
  <w:abstractNum w:abstractNumId="35">
    <w:nsid w:val="519E3149"/>
    <w:multiLevelType w:val="hybridMultilevel"/>
    <w:lvl w:ilvl="0">
      <w:lvlJc w:val="left"/>
      <w:lvlText w:val="%1)"/>
      <w:numFmt w:val="lowerLetter"/>
      <w:start w:val="3"/>
    </w:lvl>
    <w:lvl w:ilvl="1">
      <w:lvlJc w:val="left"/>
      <w:lvlText w:val="(*)"/>
      <w:numFmt w:val="bullet"/>
      <w:start w:val="1"/>
    </w:lvl>
  </w:abstractNum>
  <w:abstractNum w:abstractNumId="36">
    <w:nsid w:val="2C6E4AFD"/>
    <w:multiLevelType w:val="hybridMultilevel"/>
    <w:lvl w:ilvl="0">
      <w:lvlJc w:val="left"/>
      <w:lvlText w:val="8"/>
      <w:numFmt w:val="bullet"/>
      <w:start w:val="1"/>
    </w:lvl>
  </w:abstractNum>
  <w:abstractNum w:abstractNumId="37">
    <w:nsid w:val="17A1B582"/>
    <w:multiLevelType w:val="hybridMultilevel"/>
    <w:lvl w:ilvl="0">
      <w:lvlJc w:val="left"/>
      <w:lvlText w:val="9"/>
      <w:numFmt w:val="bullet"/>
      <w:start w:val="1"/>
    </w:lvl>
    <w:lvl w:ilvl="1">
      <w:lvlJc w:val="left"/>
      <w:lvlText w:val="%2)"/>
      <w:numFmt w:val="lowerLetter"/>
      <w:start w:val="1"/>
    </w:lvl>
  </w:abstractNum>
  <w:abstractNum w:abstractNumId="38">
    <w:nsid w:val="4DF72E4E"/>
    <w:multiLevelType w:val="hybridMultilevel"/>
    <w:lvl w:ilvl="0">
      <w:lvlJc w:val="left"/>
      <w:lvlText w:val="%1"/>
      <w:numFmt w:val="decimal"/>
      <w:start w:val="10"/>
    </w:lvl>
    <w:lvl w:ilvl="1">
      <w:lvlJc w:val="left"/>
      <w:lvlText w:val="%2)"/>
      <w:numFmt w:val="lowerLetter"/>
      <w:start w:val="1"/>
    </w:lvl>
  </w:abstractNum>
  <w:abstractNum w:abstractNumId="39">
    <w:nsid w:val="5046B5A9"/>
    <w:multiLevelType w:val="hybridMultilevel"/>
    <w:lvl w:ilvl="0">
      <w:lvlJc w:val="left"/>
      <w:lvlText w:val="%1"/>
      <w:numFmt w:val="decimal"/>
      <w:start w:val="11"/>
    </w:lvl>
    <w:lvl w:ilvl="1">
      <w:lvlJc w:val="left"/>
      <w:lvlText w:val="%2)"/>
      <w:numFmt w:val="lowerLetter"/>
      <w:start w:val="1"/>
    </w:lvl>
  </w:abstractNum>
  <w:abstractNum w:abstractNumId="40">
    <w:nsid w:val="5D888A08"/>
    <w:multiLevelType w:val="hybridMultilevel"/>
    <w:lvl w:ilvl="0">
      <w:lvlJc w:val="left"/>
      <w:lvlText w:val="%1)"/>
      <w:numFmt w:val="lowerLetter"/>
      <w:start w:val="2"/>
    </w:lvl>
    <w:lvl w:ilvl="1">
      <w:lvlJc w:val="left"/>
      <w:lvlText w:val="-"/>
      <w:numFmt w:val="bullet"/>
      <w:start w:val="1"/>
    </w:lvl>
  </w:abstractNum>
  <w:abstractNum w:abstractNumId="41">
    <w:nsid w:val="2A082C70"/>
    <w:multiLevelType w:val="hybridMultilevel"/>
    <w:lvl w:ilvl="0">
      <w:lvlJc w:val="left"/>
      <w:lvlText w:val="%1"/>
      <w:numFmt w:val="decimal"/>
      <w:start w:val="12"/>
    </w:lvl>
    <w:lvl w:ilvl="1">
      <w:lvlJc w:val="left"/>
      <w:lvlText w:val="%2)"/>
      <w:numFmt w:val="lowerLetter"/>
      <w:start w:val="1"/>
    </w:lvl>
  </w:abstractNum>
  <w:abstractNum w:abstractNumId="42">
    <w:nsid w:val="5EC6AFD4"/>
    <w:multiLevelType w:val="hybridMultilevel"/>
    <w:lvl w:ilvl="0">
      <w:lvlJc w:val="left"/>
      <w:lvlText w:val="%1)"/>
      <w:numFmt w:val="lowerLetter"/>
      <w:start w:val="2"/>
    </w:lvl>
    <w:lvl w:ilvl="1">
      <w:lvlJc w:val="left"/>
      <w:lvlText w:val="-"/>
      <w:numFmt w:val="bullet"/>
      <w:start w:val="1"/>
    </w:lvl>
  </w:abstractNum>
  <w:abstractNum w:abstractNumId="43">
    <w:nsid w:val="19E21BB2"/>
    <w:multiLevelType w:val="hybridMultilevel"/>
    <w:lvl w:ilvl="0">
      <w:lvlJc w:val="left"/>
      <w:lvlText w:val="%1)"/>
      <w:numFmt w:val="lowerLetter"/>
      <w:start w:val="2"/>
    </w:lvl>
  </w:abstractNum>
  <w:abstractNum w:abstractNumId="44">
    <w:nsid w:val="75E0858A"/>
    <w:multiLevelType w:val="hybridMultilevel"/>
    <w:lvl w:ilvl="0">
      <w:lvlJc w:val="left"/>
      <w:lvlText w:val="(*)"/>
      <w:numFmt w:val="bullet"/>
      <w:start w:val="1"/>
    </w:lvl>
    <w:lvl w:ilvl="1">
      <w:lvlJc w:val="left"/>
      <w:lvlText w:val="-"/>
      <w:numFmt w:val="bullet"/>
      <w:start w:val="1"/>
    </w:lvl>
  </w:abstractNum>
  <w:abstractNum w:abstractNumId="45">
    <w:nsid w:val="57A61A29"/>
    <w:multiLevelType w:val="hybridMultilevel"/>
    <w:lvl w:ilvl="0">
      <w:lvlJc w:val="left"/>
      <w:lvlText w:val="(%1)"/>
      <w:numFmt w:val="lowerRoman"/>
      <w:start w:val="1"/>
    </w:lvl>
  </w:abstractNum>
  <w:abstractNum w:abstractNumId="46">
    <w:nsid w:val="5399C654"/>
    <w:multiLevelType w:val="hybridMultilevel"/>
    <w:lvl w:ilvl="0">
      <w:lvlJc w:val="left"/>
      <w:lvlText w:val="%1)"/>
      <w:numFmt w:val="lowerLetter"/>
      <w:start w:val="3"/>
    </w:lvl>
  </w:abstractNum>
  <w:abstractNum w:abstractNumId="47">
    <w:nsid w:val="20EE1348"/>
    <w:multiLevelType w:val="hybridMultilevel"/>
    <w:lvl w:ilvl="0">
      <w:lvlJc w:val="left"/>
      <w:lvlText w:val="(%1)"/>
      <w:numFmt w:val="lowerRoman"/>
      <w:start w:val="1"/>
    </w:lvl>
  </w:abstractNum>
  <w:abstractNum w:abstractNumId="48">
    <w:nsid w:val="4427069A"/>
    <w:multiLevelType w:val="hybridMultilevel"/>
    <w:lvl w:ilvl="0">
      <w:lvlJc w:val="left"/>
      <w:lvlText w:val="%1)"/>
      <w:numFmt w:val="lowerLetter"/>
      <w:start w:val="6"/>
    </w:lvl>
    <w:lvl w:ilvl="1">
      <w:lvlJc w:val="left"/>
      <w:lvlText w:val="-"/>
      <w:numFmt w:val="bullet"/>
      <w:start w:val="1"/>
    </w:lvl>
  </w:abstractNum>
  <w:abstractNum w:abstractNumId="49">
    <w:nsid w:val="B37E80A"/>
    <w:multiLevelType w:val="hybridMultilevel"/>
    <w:lvl w:ilvl="0">
      <w:lvlJc w:val="left"/>
      <w:lvlText w:val="%1"/>
      <w:numFmt w:val="decimal"/>
      <w:start w:val="14"/>
    </w:lvl>
    <w:lvl w:ilvl="1">
      <w:lvlJc w:val="left"/>
      <w:lvlText w:val="%2)"/>
      <w:numFmt w:val="lowerLetter"/>
      <w:start w:val="1"/>
    </w:lvl>
  </w:abstractNum>
  <w:abstractNum w:abstractNumId="50">
    <w:nsid w:val="2157F6BC"/>
    <w:multiLevelType w:val="hybridMultilevel"/>
    <w:lvl w:ilvl="0">
      <w:lvlJc w:val="left"/>
      <w:lvlText w:val="%1)"/>
      <w:numFmt w:val="lowerLetter"/>
      <w:start w:val="3"/>
    </w:lvl>
  </w:abstractNum>
  <w:abstractNum w:abstractNumId="51">
    <w:nsid w:val="704E1DD5"/>
    <w:multiLevelType w:val="hybridMultilevel"/>
    <w:lvl w:ilvl="0">
      <w:lvlJc w:val="left"/>
      <w:lvlText w:val="%1)"/>
      <w:numFmt w:val="lowerLetter"/>
      <w:start w:val="5"/>
    </w:lvl>
    <w:lvl w:ilvl="1">
      <w:lvlJc w:val="left"/>
      <w:lvlText w:val="-"/>
      <w:numFmt w:val="bullet"/>
      <w:start w:val="1"/>
    </w:lvl>
  </w:abstractNum>
  <w:abstractNum w:abstractNumId="52">
    <w:nsid w:val="57D2F10E"/>
    <w:multiLevelType w:val="hybridMultilevel"/>
    <w:lvl w:ilvl="0">
      <w:lvlJc w:val="left"/>
      <w:lvlText w:val="%1"/>
      <w:numFmt w:val="decimal"/>
      <w:start w:val="16"/>
    </w:lvl>
    <w:lvl w:ilvl="1">
      <w:lvlJc w:val="left"/>
      <w:lvlText w:val="%2)"/>
      <w:numFmt w:val="lowerLetter"/>
      <w:start w:val="1"/>
    </w:lvl>
  </w:abstractNum>
  <w:abstractNum w:abstractNumId="53">
    <w:nsid w:val="BFFAE18"/>
    <w:multiLevelType w:val="hybridMultilevel"/>
    <w:lvl w:ilvl="0">
      <w:lvlJc w:val="left"/>
      <w:lvlText w:val="(*)"/>
      <w:numFmt w:val="bullet"/>
      <w:start w:val="1"/>
    </w:lvl>
  </w:abstractNum>
  <w:abstractNum w:abstractNumId="54">
    <w:nsid w:val="E3E47A8"/>
    <w:multiLevelType w:val="hybridMultilevel"/>
    <w:lvl w:ilvl="0">
      <w:lvlJc w:val="left"/>
      <w:lvlText w:val="(%1)"/>
      <w:numFmt w:val="lowerRoman"/>
      <w:start w:val="1"/>
    </w:lvl>
    <w:lvl w:ilvl="1">
      <w:lvlJc w:val="left"/>
      <w:lvlText w:val="-"/>
      <w:numFmt w:val="bullet"/>
      <w:start w:val="1"/>
    </w:lvl>
  </w:abstractNum>
  <w:abstractNum w:abstractNumId="55">
    <w:nsid w:val="2E48F044"/>
    <w:multiLevelType w:val="hybridMultilevel"/>
    <w:lvl w:ilvl="0">
      <w:lvlJc w:val="left"/>
      <w:lvlText w:val="(%1)"/>
      <w:numFmt w:val="lowerRoman"/>
      <w:start w:val="5"/>
    </w:lvl>
  </w:abstractNum>
  <w:abstractNum w:abstractNumId="56">
    <w:nsid w:val="49D0FEAC"/>
    <w:multiLevelType w:val="hybridMultilevel"/>
    <w:lvl w:ilvl="0">
      <w:lvlJc w:val="left"/>
      <w:lvlText w:val="%1"/>
      <w:numFmt w:val="decimal"/>
      <w:start w:val="18"/>
    </w:lvl>
    <w:lvl w:ilvl="1">
      <w:lvlJc w:val="left"/>
      <w:lvlText w:val="%2)"/>
      <w:numFmt w:val="lowerLetter"/>
      <w:start w:val="1"/>
    </w:lvl>
  </w:abstractNum>
  <w:abstractNum w:abstractNumId="57">
    <w:nsid w:val="4BEE5A5B"/>
    <w:multiLevelType w:val="hybridMultilevel"/>
    <w:lvl w:ilvl="0">
      <w:lvlJc w:val="left"/>
      <w:lvlText w:val="(*)"/>
      <w:numFmt w:val="bullet"/>
      <w:start w:val="1"/>
    </w:lvl>
  </w:abstractNum>
  <w:abstractNum w:abstractNumId="58">
    <w:nsid w:val="5551B9F3"/>
    <w:multiLevelType w:val="hybridMultilevel"/>
    <w:lvl w:ilvl="0">
      <w:lvlJc w:val="left"/>
      <w:lvlText w:val="%1)"/>
      <w:numFmt w:val="lowerLetter"/>
      <w:start w:val="3"/>
    </w:lvl>
  </w:abstractNum>
  <w:abstractNum w:abstractNumId="59">
    <w:nsid w:val="24F6AB8E"/>
    <w:multiLevelType w:val="hybridMultilevel"/>
    <w:lvl w:ilvl="0">
      <w:lvlJc w:val="left"/>
      <w:lvlText w:val="%1)"/>
      <w:numFmt w:val="lowerLetter"/>
      <w:start w:val="5"/>
    </w:lvl>
    <w:lvl w:ilvl="1">
      <w:lvlJc w:val="left"/>
      <w:lvlText w:val="-"/>
      <w:numFmt w:val="bullet"/>
      <w:start w:val="1"/>
    </w:lvl>
  </w:abstractNum>
  <w:abstractNum w:abstractNumId="60">
    <w:nsid w:val="634C574C"/>
    <w:multiLevelType w:val="hybridMultilevel"/>
    <w:lvl w:ilvl="0">
      <w:lvlJc w:val="left"/>
      <w:lvlText w:val="%1"/>
      <w:numFmt w:val="decimal"/>
      <w:start w:val="19"/>
    </w:lvl>
    <w:lvl w:ilvl="1">
      <w:lvlJc w:val="left"/>
      <w:lvlText w:val="%2)"/>
      <w:numFmt w:val="lowerLetter"/>
      <w:start w:val="1"/>
    </w:lvl>
  </w:abstractNum>
  <w:abstractNum w:abstractNumId="61">
    <w:nsid w:val="24E99DD7"/>
    <w:multiLevelType w:val="hybridMultilevel"/>
    <w:lvl w:ilvl="0">
      <w:lvlJc w:val="left"/>
      <w:lvlText w:val="(*)"/>
      <w:numFmt w:val="bullet"/>
      <w:start w:val="1"/>
    </w:lvl>
  </w:abstractNum>
  <w:abstractNum w:abstractNumId="62">
    <w:nsid w:val="2A31B62D"/>
    <w:multiLevelType w:val="hybridMultilevel"/>
    <w:lvl w:ilvl="0">
      <w:lvlJc w:val="left"/>
      <w:lvlText w:val="%1)"/>
      <w:numFmt w:val="lowerLetter"/>
      <w:start w:val="3"/>
    </w:lvl>
  </w:abstractNum>
  <w:abstractNum w:abstractNumId="63">
    <w:nsid w:val="1849C29B"/>
    <w:multiLevelType w:val="hybridMultilevel"/>
    <w:lvl w:ilvl="0">
      <w:lvlJc w:val="left"/>
      <w:lvlText w:val="%1"/>
      <w:numFmt w:val="decimal"/>
      <w:start w:val="20"/>
    </w:lvl>
    <w:lvl w:ilvl="1">
      <w:lvlJc w:val="left"/>
      <w:lvlText w:val="-"/>
      <w:numFmt w:val="bullet"/>
      <w:start w:val="1"/>
    </w:lvl>
  </w:abstractNum>
  <w:abstractNum w:abstractNumId="64">
    <w:nsid w:val="7DFF9D09"/>
    <w:multiLevelType w:val="hybridMultilevel"/>
    <w:lvl w:ilvl="0">
      <w:lvlJc w:val="left"/>
      <w:lvlText w:val="%1)"/>
      <w:numFmt w:val="lowerLetter"/>
      <w:start w:val="2"/>
    </w:lvl>
  </w:abstractNum>
  <w:abstractNum w:abstractNumId="65">
    <w:nsid w:val="754342"/>
    <w:multiLevelType w:val="hybridMultilevel"/>
    <w:lvl w:ilvl="0">
      <w:lvlJc w:val="left"/>
      <w:lvlText w:val="%1)"/>
      <w:numFmt w:val="lowerLetter"/>
      <w:start w:val="3"/>
    </w:lvl>
    <w:lvl w:ilvl="1">
      <w:lvlJc w:val="left"/>
      <w:lvlText w:val="-"/>
      <w:numFmt w:val="bullet"/>
      <w:start w:val="1"/>
    </w:lvl>
  </w:abstractNum>
  <w:abstractNum w:abstractNumId="66">
    <w:nsid w:val="69E7F3E5"/>
    <w:multiLevelType w:val="hybridMultilevel"/>
    <w:lvl w:ilvl="0">
      <w:lvlJc w:val="left"/>
      <w:lvlText w:val="(*)"/>
      <w:numFmt w:val="bullet"/>
      <w:start w:val="1"/>
    </w:lvl>
  </w:abstractNum>
  <w:abstractNum w:abstractNumId="67">
    <w:nsid w:val="2A6DE806"/>
    <w:multiLevelType w:val="hybridMultilevel"/>
    <w:lvl w:ilvl="0">
      <w:lvlJc w:val="left"/>
      <w:lvlText w:val="-"/>
      <w:numFmt w:val="bullet"/>
      <w:start w:val="1"/>
    </w:lvl>
    <w:lvl w:ilvl="1">
      <w:lvlJc w:val="left"/>
      <w:lvlText w:val="-"/>
      <w:numFmt w:val="bullet"/>
      <w:start w:val="1"/>
    </w:lvl>
  </w:abstractNum>
  <w:abstractNum w:abstractNumId="68">
    <w:nsid w:val="1816F8C4"/>
    <w:multiLevelType w:val="hybridMultilevel"/>
    <w:lvl w:ilvl="0">
      <w:lvlJc w:val="left"/>
      <w:lvlText w:val="%1"/>
      <w:numFmt w:val="decimal"/>
      <w:start w:val="25"/>
    </w:lvl>
    <w:lvl w:ilvl="1">
      <w:lvlJc w:val="left"/>
      <w:lvlText w:val="%2)"/>
      <w:numFmt w:val="lowerLetter"/>
      <w:start w:val="1"/>
    </w:lvl>
  </w:abstractNum>
  <w:abstractNum w:abstractNumId="69">
    <w:nsid w:val="37DF2233"/>
    <w:multiLevelType w:val="hybridMultilevel"/>
    <w:lvl w:ilvl="0">
      <w:lvlJc w:val="left"/>
      <w:lvlText w:val="(*)"/>
      <w:numFmt w:val="bullet"/>
      <w:start w:val="1"/>
    </w:lvl>
  </w:abstractNum>
  <w:abstractNum w:abstractNumId="70">
    <w:nsid w:val="7AB49DAF"/>
    <w:multiLevelType w:val="hybridMultilevel"/>
    <w:lvl w:ilvl="0">
      <w:lvlJc w:val="left"/>
      <w:lvlText w:val="(**)"/>
      <w:numFmt w:val="bullet"/>
      <w:start w:val="1"/>
    </w:lvl>
  </w:abstractNum>
  <w:abstractNum w:abstractNumId="71">
    <w:nsid w:val="759F82CD"/>
    <w:multiLevelType w:val="hybridMultilevel"/>
    <w:lvl w:ilvl="0">
      <w:lvlJc w:val="left"/>
      <w:lvlText w:val="%1)"/>
      <w:numFmt w:val="lowerLetter"/>
      <w:start w:val="2"/>
    </w:lvl>
  </w:abstractNum>
  <w:abstractNum w:abstractNumId="72">
    <w:nsid w:val="61E74EA3"/>
    <w:multiLevelType w:val="hybridMultilevel"/>
    <w:lvl w:ilvl="0">
      <w:lvlJc w:val="left"/>
      <w:lvlText w:val="(%1)"/>
      <w:numFmt w:val="lowerRoman"/>
      <w:start w:val="1"/>
    </w:lvl>
    <w:lvl w:ilvl="1">
      <w:lvlJc w:val="left"/>
      <w:lvlText w:val="(*)"/>
      <w:numFmt w:val="bullet"/>
      <w:start w:val="1"/>
    </w:lvl>
  </w:abstractNum>
  <w:abstractNum w:abstractNumId="73">
    <w:nsid w:val="597B4D84"/>
    <w:multiLevelType w:val="hybridMultilevel"/>
    <w:lvl w:ilvl="0">
      <w:lvlJc w:val="left"/>
      <w:lvlText w:val="(*)"/>
      <w:numFmt w:val="bullet"/>
      <w:start w:val="1"/>
    </w:lvl>
    <w:lvl w:ilvl="1">
      <w:lvlJc w:val="left"/>
      <w:lvlText w:val="-"/>
      <w:numFmt w:val="bullet"/>
      <w:start w:val="1"/>
    </w:lvl>
  </w:abstractNum>
  <w:abstractNum w:abstractNumId="74">
    <w:nsid w:val="F819E7F"/>
    <w:multiLevelType w:val="hybridMultilevel"/>
    <w:lvl w:ilvl="0">
      <w:lvlJc w:val="left"/>
      <w:lvlText w:val="%1"/>
      <w:numFmt w:val="decimal"/>
      <w:start w:val="27"/>
    </w:lvl>
  </w:abstractNum>
  <w:abstractNum w:abstractNumId="75">
    <w:nsid w:val="57C7D42D"/>
    <w:multiLevelType w:val="hybridMultilevel"/>
    <w:lvl w:ilvl="0">
      <w:lvlJc w:val="left"/>
      <w:lvlText w:val="(*)"/>
      <w:numFmt w:val="bullet"/>
      <w:start w:val="1"/>
    </w:lvl>
    <w:lvl w:ilvl="1">
      <w:lvlJc w:val="left"/>
      <w:lvlText w:val="-"/>
      <w:numFmt w:val="bullet"/>
      <w:start w:val="1"/>
    </w:lvl>
  </w:abstractNum>
  <w:abstractNum w:abstractNumId="76">
    <w:nsid w:val="312167AD"/>
    <w:multiLevelType w:val="hybridMultilevel"/>
    <w:lvl w:ilvl="0">
      <w:lvlJc w:val="left"/>
      <w:lvlText w:val="(*)"/>
      <w:numFmt w:val="bullet"/>
      <w:start w:val="1"/>
    </w:lvl>
  </w:abstractNum>
  <w:abstractNum w:abstractNumId="77">
    <w:nsid w:val="631B64D4"/>
    <w:multiLevelType w:val="hybridMultilevel"/>
    <w:lvl w:ilvl="0">
      <w:lvlJc w:val="left"/>
      <w:lvlText w:val="(**)"/>
      <w:numFmt w:val="bullet"/>
      <w:start w:val="1"/>
    </w:lvl>
    <w:lvl w:ilvl="1">
      <w:lvlJc w:val="left"/>
      <w:lvlText w:val="-"/>
      <w:numFmt w:val="bullet"/>
      <w:start w:val="1"/>
    </w:lvl>
  </w:abstractNum>
  <w:abstractNum w:abstractNumId="78">
    <w:nsid w:val="78B5E776"/>
    <w:multiLevelType w:val="hybridMultilevel"/>
    <w:lvl w:ilvl="0">
      <w:lvlJc w:val="left"/>
      <w:lvlText w:val="%1"/>
      <w:numFmt w:val="decimal"/>
      <w:start w:val="30"/>
    </w:lvl>
  </w:abstractNum>
  <w:abstractNum w:abstractNumId="79">
    <w:nsid w:val="75486E47"/>
    <w:multiLevelType w:val="hybridMultilevel"/>
    <w:lvl w:ilvl="0">
      <w:lvlJc w:val="left"/>
      <w:lvlText w:val="%1"/>
      <w:numFmt w:val="decimal"/>
      <w:start w:val="31"/>
    </w:lvl>
    <w:lvl w:ilvl="1">
      <w:lvlJc w:val="left"/>
      <w:lvlText w:val="%2)"/>
      <w:numFmt w:val="lowerLetter"/>
      <w:start w:val="1"/>
    </w:lvl>
    <w:lvl w:ilvl="2">
      <w:lvlJc w:val="left"/>
      <w:lvlText w:val="-"/>
      <w:numFmt w:val="bullet"/>
      <w:start w:val="1"/>
    </w:lvl>
  </w:abstractNum>
  <w:abstractNum w:abstractNumId="80">
    <w:nsid w:val="6E534CDE"/>
    <w:multiLevelType w:val="hybridMultilevel"/>
    <w:lvl w:ilvl="0">
      <w:lvlJc w:val="left"/>
      <w:lvlText w:val="%1)"/>
      <w:numFmt w:val="lowerLetter"/>
      <w:start w:val="4"/>
    </w:lvl>
    <w:lvl w:ilvl="1">
      <w:lvlJc w:val="left"/>
      <w:lvlText w:val="-"/>
      <w:numFmt w:val="bullet"/>
      <w:start w:val="1"/>
    </w:lvl>
  </w:abstractNum>
  <w:abstractNum w:abstractNumId="81">
    <w:nsid w:val="1A0DDE32"/>
    <w:multiLevelType w:val="hybridMultilevel"/>
    <w:lvl w:ilvl="0">
      <w:lvlJc w:val="left"/>
      <w:lvlText w:val="-"/>
      <w:numFmt w:val="bullet"/>
      <w:start w:val="1"/>
    </w:lvl>
    <w:lvl w:ilvl="1">
      <w:lvlJc w:val="left"/>
      <w:lvlText w:val="-"/>
      <w:numFmt w:val="bullet"/>
      <w:start w:val="1"/>
    </w:lvl>
  </w:abstractNum>
  <w:abstractNum w:abstractNumId="82">
    <w:nsid w:val="65968C1C"/>
    <w:multiLevelType w:val="hybridMultilevel"/>
    <w:lvl w:ilvl="0">
      <w:lvlJc w:val="left"/>
      <w:lvlText w:val="(%1)"/>
      <w:numFmt w:val="lowerRoman"/>
      <w:start w:val="1"/>
    </w:lvl>
  </w:abstractNum>
  <w:abstractNum w:abstractNumId="83">
    <w:nsid w:val="46263DEC"/>
    <w:multiLevelType w:val="hybridMultilevel"/>
    <w:lvl w:ilvl="0">
      <w:lvlJc w:val="left"/>
      <w:lvlText w:val="(*)"/>
      <w:numFmt w:val="bullet"/>
      <w:start w:val="1"/>
    </w:lvl>
  </w:abstractNum>
  <w:abstractNum w:abstractNumId="84">
    <w:nsid w:val="260D8C4A"/>
    <w:multiLevelType w:val="hybridMultilevel"/>
    <w:lvl w:ilvl="0">
      <w:lvlJc w:val="left"/>
      <w:lvlText w:val="(**)"/>
      <w:numFmt w:val="bullet"/>
      <w:start w:val="1"/>
    </w:lvl>
    <w:lvl w:ilvl="1">
      <w:lvlJc w:val="left"/>
      <w:lvlText w:val="-"/>
      <w:numFmt w:val="bullet"/>
      <w:start w:val="1"/>
    </w:lvl>
  </w:abstractNum>
  <w:abstractNum w:abstractNumId="85">
    <w:nsid w:val="73D4D3C4"/>
    <w:multiLevelType w:val="hybridMultilevel"/>
    <w:lvl w:ilvl="0">
      <w:lvlJc w:val="left"/>
      <w:lvlText w:val="(%1)"/>
      <w:numFmt w:val="lowerRoman"/>
      <w:start w:val="2"/>
    </w:lvl>
  </w:abstractNum>
  <w:abstractNum w:abstractNumId="86">
    <w:nsid w:val="746F2E30"/>
    <w:multiLevelType w:val="hybridMultilevel"/>
    <w:lvl w:ilvl="0">
      <w:lvlJc w:val="left"/>
      <w:lvlText w:val="(*)"/>
      <w:numFmt w:val="bullet"/>
      <w:start w:val="1"/>
    </w:lvl>
  </w:abstractNum>
  <w:abstractNum w:abstractNumId="87">
    <w:nsid w:val="6FDE8AF6"/>
    <w:multiLevelType w:val="hybridMultilevel"/>
    <w:lvl w:ilvl="0">
      <w:lvlJc w:val="left"/>
      <w:lvlText w:val="(**)"/>
      <w:numFmt w:val="bullet"/>
      <w:start w:val="1"/>
    </w:lvl>
    <w:lvl w:ilvl="1">
      <w:lvlJc w:val="left"/>
      <w:lvlText w:val="-"/>
      <w:numFmt w:val="bullet"/>
      <w:start w:val="1"/>
    </w:lvl>
  </w:abstractNum>
  <w:abstractNum w:abstractNumId="88">
    <w:nsid w:val="3FC32E20"/>
    <w:multiLevelType w:val="hybridMultilevel"/>
    <w:lvl w:ilvl="0">
      <w:lvlJc w:val="left"/>
      <w:lvlText w:val="%1"/>
      <w:numFmt w:val="decimal"/>
      <w:start w:val="32"/>
    </w:lvl>
    <w:lvl w:ilvl="1">
      <w:lvlJc w:val="left"/>
      <w:lvlText w:val="%2)"/>
      <w:numFmt w:val="lowerLetter"/>
      <w:start w:val="1"/>
    </w:lvl>
  </w:abstractNum>
  <w:abstractNum w:abstractNumId="89">
    <w:nsid w:val="49C0E823"/>
    <w:multiLevelType w:val="hybridMultilevel"/>
    <w:lvl w:ilvl="0">
      <w:lvlJc w:val="left"/>
      <w:lvlText w:val="%1)"/>
      <w:numFmt w:val="lowerLetter"/>
      <w:start w:val="3"/>
    </w:lvl>
    <w:lvl w:ilvl="1">
      <w:lvlJc w:val="left"/>
      <w:lvlText w:val="-"/>
      <w:numFmt w:val="bullet"/>
      <w:start w:val="1"/>
    </w:lvl>
  </w:abstractNum>
  <w:abstractNum w:abstractNumId="90">
    <w:nsid w:val="14D53685"/>
    <w:multiLevelType w:val="hybridMultilevel"/>
    <w:lvl w:ilvl="0">
      <w:lvlJc w:val="left"/>
      <w:lvlText w:val="%1)"/>
      <w:numFmt w:val="lowerLetter"/>
      <w:start w:val="1"/>
    </w:lvl>
  </w:abstractNum>
  <w:abstractNum w:abstractNumId="91">
    <w:nsid w:val="230F856C"/>
    <w:multiLevelType w:val="hybridMultilevel"/>
    <w:lvl w:ilvl="0">
      <w:lvlJc w:val="left"/>
      <w:lvlText w:val="(%1)"/>
      <w:numFmt w:val="lowerRoman"/>
      <w:start w:val="1"/>
    </w:lvl>
  </w:abstractNum>
  <w:abstractNum w:abstractNumId="92">
    <w:nsid w:val="6EAA85FB"/>
    <w:multiLevelType w:val="hybridMultilevel"/>
    <w:lvl w:ilvl="0">
      <w:lvlJc w:val="left"/>
      <w:lvlText w:val="(%1)"/>
      <w:numFmt w:val="lowerRoman"/>
      <w:start w:val="2"/>
    </w:lvl>
  </w:abstractNum>
  <w:abstractNum w:abstractNumId="93">
    <w:nsid w:val="3F06ECB2"/>
    <w:multiLevelType w:val="hybridMultilevel"/>
    <w:lvl w:ilvl="0">
      <w:lvlJc w:val="left"/>
      <w:lvlText w:val="%1)"/>
      <w:numFmt w:val="lowerLetter"/>
      <w:start w:val="2"/>
    </w:lvl>
  </w:abstractNum>
  <w:abstractNum w:abstractNumId="94">
    <w:nsid w:val="3B594807"/>
    <w:multiLevelType w:val="hybridMultilevel"/>
    <w:lvl w:ilvl="0">
      <w:lvlJc w:val="left"/>
      <w:lvlText w:val="%1)"/>
      <w:numFmt w:val="lowerLetter"/>
      <w:start w:val="3"/>
    </w:lvl>
  </w:abstractNum>
  <w:abstractNum w:abstractNumId="95">
    <w:nsid w:val="6CAA2304"/>
    <w:multiLevelType w:val="hybridMultilevel"/>
    <w:lvl w:ilvl="0">
      <w:lvlJc w:val="left"/>
      <w:lvlText w:val="%1)"/>
      <w:numFmt w:val="lowerLetter"/>
      <w:start w:val="4"/>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96">
    <w:nsid w:val="3F7C2FF4"/>
    <w:multiLevelType w:val="hybridMultilevel"/>
    <w:lvl w:ilvl="0">
      <w:lvlJc w:val="left"/>
      <w:lvlText w:val="-"/>
      <w:numFmt w:val="bullet"/>
      <w:start w:val="1"/>
    </w:lvl>
  </w:abstractNum>
  <w:abstractNum w:abstractNumId="97">
    <w:nsid w:val="25413BEC"/>
    <w:multiLevelType w:val="hybridMultilevel"/>
    <w:lvl w:ilvl="0">
      <w:lvlJc w:val="left"/>
      <w:lvlText w:val="%1)"/>
      <w:numFmt w:val="lowerLetter"/>
      <w:start w:val="5"/>
    </w:lvl>
  </w:abstractNum>
  <w:abstractNum w:abstractNumId="98">
    <w:nsid w:val="17180B0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lvl w:ilvl="3">
      <w:lvlJc w:val="left"/>
      <w:lvlText w:val="-"/>
      <w:numFmt w:val="bullet"/>
      <w:start w:val="1"/>
    </w:lvl>
  </w:abstractNum>
  <w:abstractNum w:abstractNumId="99">
    <w:nsid w:val="579328B9"/>
    <w:multiLevelType w:val="hybridMultilevel"/>
    <w:lvl w:ilvl="0">
      <w:lvlJc w:val="left"/>
      <w:lvlText w:val="-"/>
      <w:numFmt w:val="bullet"/>
      <w:start w:val="1"/>
    </w:lvl>
  </w:abstractNum>
  <w:abstractNum w:abstractNumId="100">
    <w:nsid w:val="5D205E20"/>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01">
    <w:nsid w:val="11CCA8BA"/>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02">
    <w:nsid w:val="4D32AB86"/>
    <w:multiLevelType w:val="hybridMultilevel"/>
    <w:lvl w:ilvl="0">
      <w:lvlJc w:val="left"/>
      <w:lvlText w:val="%1)"/>
      <w:numFmt w:val="lowerLetter"/>
      <w:start w:val="3"/>
    </w:lvl>
    <w:lvl w:ilvl="1">
      <w:lvlJc w:val="left"/>
      <w:lvlText w:val="-"/>
      <w:numFmt w:val="bullet"/>
      <w:start w:val="1"/>
    </w:lvl>
    <w:lvl w:ilvl="2">
      <w:lvlJc w:val="left"/>
      <w:lvlText w:val="-"/>
      <w:numFmt w:val="bullet"/>
      <w:start w:val="1"/>
    </w:lvl>
  </w:abstractNum>
  <w:abstractNum w:abstractNumId="103">
    <w:nsid w:val="3F07ACC3"/>
    <w:multiLevelType w:val="hybridMultilevel"/>
    <w:lvl w:ilvl="0">
      <w:lvlJc w:val="left"/>
      <w:lvlText w:val="-"/>
      <w:numFmt w:val="bullet"/>
      <w:start w:val="1"/>
    </w:lvl>
  </w:abstractNum>
  <w:abstractNum w:abstractNumId="104">
    <w:nsid w:val="6B47F63E"/>
    <w:multiLevelType w:val="hybridMultilevel"/>
    <w:lvl w:ilvl="0">
      <w:lvlJc w:val="left"/>
      <w:lvlText w:val="-"/>
      <w:numFmt w:val="bullet"/>
      <w:start w:val="1"/>
    </w:lvl>
    <w:lvl w:ilvl="1">
      <w:lvlJc w:val="left"/>
      <w:lvlText w:val="-"/>
      <w:numFmt w:val="bullet"/>
      <w:start w:val="1"/>
    </w:lvl>
  </w:abstractNum>
  <w:abstractNum w:abstractNumId="105">
    <w:nsid w:val="5CB44A05"/>
    <w:multiLevelType w:val="hybridMultilevel"/>
    <w:lvl w:ilvl="0">
      <w:lvlJc w:val="left"/>
      <w:lvlText w:val="-"/>
      <w:numFmt w:val="bullet"/>
      <w:start w:val="1"/>
    </w:lvl>
    <w:lvl w:ilvl="1">
      <w:lvlJc w:val="left"/>
      <w:lvlText w:val="-"/>
      <w:numFmt w:val="bullet"/>
      <w:start w:val="1"/>
    </w:lvl>
  </w:abstractNum>
  <w:abstractNum w:abstractNumId="106">
    <w:nsid w:val="16CF80F1"/>
    <w:multiLevelType w:val="hybridMultilevel"/>
    <w:lvl w:ilvl="0">
      <w:lvlJc w:val="left"/>
      <w:lvlText w:val="-"/>
      <w:numFmt w:val="bullet"/>
      <w:start w:val="1"/>
    </w:lvl>
  </w:abstractNum>
  <w:abstractNum w:abstractNumId="107">
    <w:nsid w:val="1C695DEC"/>
    <w:multiLevelType w:val="hybridMultilevel"/>
    <w:lvl w:ilvl="0">
      <w:lvlJc w:val="left"/>
      <w:lvlText w:val="%1)"/>
      <w:numFmt w:val="lowerLetter"/>
      <w:start w:val="4"/>
    </w:lvl>
    <w:lvl w:ilvl="1">
      <w:lvlJc w:val="left"/>
      <w:lvlText w:val="-"/>
      <w:numFmt w:val="bullet"/>
      <w:start w:val="1"/>
    </w:lvl>
  </w:abstractNum>
  <w:abstractNum w:abstractNumId="108">
    <w:nsid w:val="3FCFAED9"/>
    <w:multiLevelType w:val="hybridMultilevel"/>
    <w:lvl w:ilvl="0">
      <w:lvlJc w:val="left"/>
      <w:lvlText w:val="%1)"/>
      <w:numFmt w:val="lowerLetter"/>
      <w:start w:val="6"/>
    </w:lvl>
  </w:abstractNum>
  <w:abstractNum w:abstractNumId="109">
    <w:nsid w:val="F856867"/>
    <w:multiLevelType w:val="hybridMultilevel"/>
    <w:lvl w:ilvl="0">
      <w:lvlJc w:val="left"/>
      <w:lvlText w:val="%1)"/>
      <w:numFmt w:val="lowerLetter"/>
      <w:start w:val="7"/>
    </w:lvl>
    <w:lvl w:ilvl="1">
      <w:lvlJc w:val="left"/>
      <w:lvlText w:val="-"/>
      <w:numFmt w:val="bullet"/>
      <w:start w:val="1"/>
    </w:lvl>
  </w:abstractNum>
  <w:abstractNum w:abstractNumId="110">
    <w:nsid w:val="11B1CC33"/>
    <w:multiLevelType w:val="hybridMultilevel"/>
    <w:lvl w:ilvl="0">
      <w:lvlJc w:val="left"/>
      <w:lvlText w:val="-"/>
      <w:numFmt w:val="bullet"/>
      <w:start w:val="1"/>
    </w:lvl>
  </w:abstractNum>
  <w:abstractNum w:abstractNumId="111">
    <w:nsid w:val="2E22FBB7"/>
    <w:multiLevelType w:val="hybridMultilevel"/>
    <w:lvl w:ilvl="0">
      <w:lvlJc w:val="left"/>
      <w:lvlText w:val="%1)"/>
      <w:numFmt w:val="lowerLetter"/>
      <w:start w:val="1"/>
    </w:lvl>
  </w:abstractNum>
  <w:abstractNum w:abstractNumId="112">
    <w:nsid w:val="29934699"/>
    <w:multiLevelType w:val="hybridMultilevel"/>
    <w:lvl w:ilvl="0">
      <w:lvlJc w:val="left"/>
      <w:lvlText w:val="(%1)"/>
      <w:numFmt w:val="lowerRoman"/>
      <w:start w:val="1"/>
    </w:lvl>
    <w:lvl w:ilvl="1">
      <w:lvlJc w:val="left"/>
      <w:lvlText w:val="-"/>
      <w:numFmt w:val="bullet"/>
      <w:start w:val="1"/>
    </w:lvl>
  </w:abstractNum>
  <w:abstractNum w:abstractNumId="113">
    <w:nsid w:val="77485850"/>
    <w:multiLevelType w:val="hybridMultilevel"/>
    <w:lvl w:ilvl="0">
      <w:lvlJc w:val="left"/>
      <w:lvlText w:val="(%1)"/>
      <w:numFmt w:val="lowerRoman"/>
      <w:start w:val="1"/>
    </w:lvl>
    <w:lvl w:ilvl="1">
      <w:lvlJc w:val="left"/>
      <w:lvlText w:val="-"/>
      <w:numFmt w:val="bullet"/>
      <w:start w:val="1"/>
    </w:lvl>
  </w:abstractNum>
  <w:abstractNum w:abstractNumId="114">
    <w:nsid w:val="744939A3"/>
    <w:multiLevelType w:val="hybridMultilevel"/>
    <w:lvl w:ilvl="0">
      <w:lvlJc w:val="left"/>
      <w:lvlText w:val="(%1)"/>
      <w:numFmt w:val="lowerRoman"/>
      <w:start w:val="2"/>
    </w:lvl>
    <w:lvl w:ilvl="1">
      <w:lvlJc w:val="left"/>
      <w:lvlText w:val="-"/>
      <w:numFmt w:val="bullet"/>
      <w:start w:val="1"/>
    </w:lvl>
  </w:abstractNum>
  <w:abstractNum w:abstractNumId="115">
    <w:nsid w:val="4FA0D2E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6">
    <w:nsid w:val="6B1D2C14"/>
    <w:multiLevelType w:val="hybridMultilevel"/>
    <w:lvl w:ilvl="0">
      <w:lvlJc w:val="left"/>
      <w:lvlText w:val="%1)"/>
      <w:numFmt w:val="lowerLetter"/>
      <w:start w:val="1"/>
    </w:lvl>
  </w:abstractNum>
  <w:abstractNum w:abstractNumId="117">
    <w:nsid w:val="68B867D3"/>
    <w:multiLevelType w:val="hybridMultilevel"/>
    <w:lvl w:ilvl="0">
      <w:lvlJc w:val="left"/>
      <w:lvlText w:val="(%1)"/>
      <w:numFmt w:val="lowerRoman"/>
      <w:start w:val="1"/>
    </w:lvl>
  </w:abstractNum>
  <w:abstractNum w:abstractNumId="118">
    <w:nsid w:val="3F7F5DD9"/>
    <w:multiLevelType w:val="hybridMultilevel"/>
    <w:lvl w:ilvl="0">
      <w:lvlJc w:val="left"/>
      <w:lvlText w:val="%1"/>
      <w:numFmt w:val="decimal"/>
      <w:start w:val="35"/>
    </w:lvl>
    <w:lvl w:ilvl="1">
      <w:lvlJc w:val="left"/>
      <w:lvlText w:val="%2)"/>
      <w:numFmt w:val="lowerRoman"/>
      <w:start w:val="1"/>
    </w:lvl>
    <w:lvl w:ilvl="2">
      <w:lvlJc w:val="left"/>
      <w:lvlText w:val="-"/>
      <w:numFmt w:val="bullet"/>
      <w:start w:val="1"/>
    </w:lvl>
  </w:abstractNum>
  <w:abstractNum w:abstractNumId="119">
    <w:nsid w:val="2AE05A34"/>
    <w:multiLevelType w:val="hybridMultilevel"/>
    <w:lvl w:ilvl="0">
      <w:lvlJc w:val="left"/>
      <w:lvlText w:val="(%1)"/>
      <w:numFmt w:val="decimal"/>
      <w:start w:val="1"/>
    </w:lvl>
  </w:abstractNum>
  <w:abstractNum w:abstractNumId="120">
    <w:nsid w:val="32794FF7"/>
    <w:multiLevelType w:val="hybridMultilevel"/>
    <w:lvl w:ilvl="0">
      <w:lvlJc w:val="left"/>
      <w:lvlText w:val="(%1)"/>
      <w:numFmt w:val="decimal"/>
      <w:start w:val="1"/>
    </w:lvl>
  </w:abstractNum>
  <w:abstractNum w:abstractNumId="121">
    <w:nsid w:val="5454945E"/>
    <w:multiLevelType w:val="hybridMultilevel"/>
    <w:lvl w:ilvl="0">
      <w:lvlJc w:val="left"/>
      <w:lvlText w:val="(%1)"/>
      <w:numFmt w:val="decimal"/>
      <w:start w:val="1"/>
    </w:lvl>
  </w:abstractNum>
  <w:abstractNum w:abstractNumId="122">
    <w:nsid w:val="4DEFDFA0"/>
    <w:multiLevelType w:val="hybridMultilevel"/>
    <w:lvl w:ilvl="0">
      <w:lvlJc w:val="left"/>
      <w:lvlText w:val="·"/>
      <w:numFmt w:val="bullet"/>
      <w:start w:val="1"/>
    </w:lvl>
  </w:abstractNum>
  <w:abstractNum w:abstractNumId="123">
    <w:nsid w:val="2123D5F2"/>
    <w:multiLevelType w:val="hybridMultilevel"/>
    <w:lvl w:ilvl="0">
      <w:lvlJc w:val="left"/>
      <w:lvlText w:val="·"/>
      <w:numFmt w:val="bullet"/>
      <w:start w:val="1"/>
    </w:lvl>
  </w:abstractNum>
  <w:abstractNum w:abstractNumId="124">
    <w:nsid w:val="135B8110"/>
    <w:multiLevelType w:val="hybridMultilevel"/>
    <w:lvl w:ilvl="0">
      <w:lvlJc w:val="left"/>
      <w:lvlText w:val="·"/>
      <w:numFmt w:val="bullet"/>
      <w:start w:val="1"/>
    </w:lvl>
  </w:abstractNum>
  <w:abstractNum w:abstractNumId="125">
    <w:nsid w:val="94927A8"/>
    <w:multiLevelType w:val="hybridMultilevel"/>
    <w:lvl w:ilvl="0">
      <w:lvlJc w:val="left"/>
      <w:lvlText w:val="·"/>
      <w:numFmt w:val="bullet"/>
      <w:start w:val="1"/>
    </w:lvl>
  </w:abstractNum>
  <w:abstractNum w:abstractNumId="126">
    <w:nsid w:val="DCDF8F6"/>
    <w:multiLevelType w:val="hybridMultilevel"/>
    <w:lvl w:ilvl="0">
      <w:lvlJc w:val="left"/>
      <w:lvlText w:val="·"/>
      <w:numFmt w:val="bullet"/>
      <w:start w:val="1"/>
    </w:lvl>
  </w:abstractNum>
  <w:abstractNum w:abstractNumId="127">
    <w:nsid w:val="52D7B105"/>
    <w:multiLevelType w:val="hybridMultilevel"/>
    <w:lvl w:ilvl="0">
      <w:lvlJc w:val="left"/>
      <w:lvlText w:val="·"/>
      <w:numFmt w:val="bullet"/>
      <w:start w:val="1"/>
    </w:lvl>
  </w:abstractNum>
  <w:abstractNum w:abstractNumId="128">
    <w:nsid w:val="2E8A6394"/>
    <w:multiLevelType w:val="hybridMultilevel"/>
    <w:lvl w:ilvl="0">
      <w:lvlJc w:val="left"/>
      <w:lvlText w:val="·"/>
      <w:numFmt w:val="bullet"/>
      <w:start w:val="1"/>
    </w:lvl>
  </w:abstractNum>
  <w:abstractNum w:abstractNumId="129">
    <w:nsid w:val="24E60401"/>
    <w:multiLevelType w:val="hybridMultilevel"/>
    <w:lvl w:ilvl="0">
      <w:lvlJc w:val="left"/>
      <w:lvlText w:val="·"/>
      <w:numFmt w:val="bullet"/>
      <w:start w:val="1"/>
    </w:lvl>
  </w:abstractNum>
  <w:abstractNum w:abstractNumId="130">
    <w:nsid w:val="2A6AD9BE"/>
    <w:multiLevelType w:val="hybridMultilevel"/>
    <w:lvl w:ilvl="0">
      <w:lvlJc w:val="left"/>
      <w:lvlText w:val="(%1)"/>
      <w:numFmt w:val="decimal"/>
      <w:start w:val="1"/>
    </w:lvl>
  </w:abstractNum>
  <w:abstractNum w:abstractNumId="131">
    <w:nsid w:val="BAAC1B4"/>
    <w:multiLevelType w:val="hybridMultilevel"/>
    <w:lvl w:ilvl="0">
      <w:lvlJc w:val="left"/>
      <w:lvlText w:val="(%1)"/>
      <w:numFmt w:val="decimal"/>
      <w:start w:val="1"/>
    </w:lvl>
  </w:abstractNum>
  <w:abstractNum w:abstractNumId="132">
    <w:nsid w:val="36B2ACBC"/>
    <w:multiLevelType w:val="hybridMultilevel"/>
    <w:lvl w:ilvl="0">
      <w:lvlJc w:val="left"/>
      <w:lvlText w:val="(%1)"/>
      <w:numFmt w:val="decimal"/>
      <w:start w:val="1"/>
    </w:lvl>
  </w:abstractNum>
  <w:abstractNum w:abstractNumId="133">
    <w:nsid w:val="779D8544"/>
    <w:multiLevelType w:val="hybridMultilevel"/>
    <w:lvl w:ilvl="0">
      <w:lvlJc w:val="left"/>
      <w:lvlText w:val="(%1)"/>
      <w:numFmt w:val="decimal"/>
      <w:start w:val="9"/>
    </w:lvl>
  </w:abstractNum>
  <w:abstractNum w:abstractNumId="134">
    <w:nsid w:val="4AB26E78"/>
    <w:multiLevelType w:val="hybridMultilevel"/>
    <w:lvl w:ilvl="0">
      <w:lvlJc w:val="left"/>
      <w:lvlText w:val="(%1)"/>
      <w:numFmt w:val="decimal"/>
      <w:start w:val="1"/>
    </w:lvl>
  </w:abstractNum>
  <w:abstractNum w:abstractNumId="135">
    <w:nsid w:val="21FAA2FA"/>
    <w:multiLevelType w:val="hybridMultilevel"/>
    <w:lvl w:ilvl="0">
      <w:lvlJc w:val="left"/>
      <w:lvlText w:val="(%1)"/>
      <w:numFmt w:val="decimal"/>
      <w:start w:val="1"/>
    </w:lvl>
  </w:abstractNum>
  <w:abstractNum w:abstractNumId="136">
    <w:nsid w:val="5451CF49"/>
    <w:multiLevelType w:val="hybridMultilevel"/>
    <w:lvl w:ilvl="0">
      <w:lvlJc w:val="left"/>
      <w:lvlText w:val="(%1)"/>
      <w:numFmt w:val="decimal"/>
      <w:start w:val="1"/>
    </w:lvl>
  </w:abstractNum>
  <w:abstractNum w:abstractNumId="137">
    <w:nsid w:val="6181EF69"/>
    <w:multiLevelType w:val="hybridMultilevel"/>
    <w:lvl w:ilvl="0">
      <w:lvlJc w:val="left"/>
      <w:lvlText w:val="·"/>
      <w:numFmt w:val="bullet"/>
      <w:start w:val="1"/>
    </w:lvl>
  </w:abstractNum>
  <w:abstractNum w:abstractNumId="138">
    <w:nsid w:val="3E6400E6"/>
    <w:multiLevelType w:val="hybridMultilevel"/>
    <w:lvl w:ilvl="0">
      <w:lvlJc w:val="left"/>
      <w:lvlText w:val="(%1)"/>
      <w:numFmt w:val="decimal"/>
      <w:start w:val="1"/>
    </w:lvl>
  </w:abstractNum>
  <w:abstractNum w:abstractNumId="139">
    <w:nsid w:val="14217E23"/>
    <w:multiLevelType w:val="hybridMultilevel"/>
    <w:lvl w:ilvl="0">
      <w:lvlJc w:val="left"/>
      <w:lvlText w:val="(%1)"/>
      <w:numFmt w:val="decimal"/>
      <w:start w:val="1"/>
    </w:lvl>
  </w:abstractNum>
  <w:abstractNum w:abstractNumId="140">
    <w:nsid w:val="710757D0"/>
    <w:multiLevelType w:val="hybridMultilevel"/>
    <w:lvl w:ilvl="0">
      <w:lvlJc w:val="left"/>
      <w:lvlText w:val="(%1)"/>
      <w:numFmt w:val="decimal"/>
      <w:start w:val="1"/>
    </w:lvl>
  </w:abstractNum>
  <w:abstractNum w:abstractNumId="141">
    <w:nsid w:val="5015CD1A"/>
    <w:multiLevelType w:val="hybridMultilevel"/>
    <w:lvl w:ilvl="0">
      <w:lvlJc w:val="left"/>
      <w:lvlText w:val="(%1)"/>
      <w:numFmt w:val="decimal"/>
      <w:start w:val="1"/>
    </w:lvl>
  </w:abstractNum>
  <w:abstractNum w:abstractNumId="142">
    <w:nsid w:val="424479DA"/>
    <w:multiLevelType w:val="hybridMultilevel"/>
    <w:lvl w:ilvl="0">
      <w:lvlJc w:val="left"/>
      <w:lvlText w:val="(%1)"/>
      <w:numFmt w:val="decimal"/>
      <w:start w:val="1"/>
    </w:lvl>
  </w:abstractNum>
  <w:abstractNum w:abstractNumId="143">
    <w:nsid w:val="1A9A9E69"/>
    <w:multiLevelType w:val="hybridMultilevel"/>
    <w:lvl w:ilvl="0">
      <w:lvlJc w:val="left"/>
      <w:lvlText w:val="(%1)"/>
      <w:numFmt w:val="decimal"/>
      <w:start w:val="1"/>
    </w:lvl>
  </w:abstractNum>
  <w:abstractNum w:abstractNumId="144">
    <w:nsid w:val="475E256A"/>
    <w:multiLevelType w:val="hybridMultilevel"/>
    <w:lvl w:ilvl="0">
      <w:lvlJc w:val="left"/>
      <w:lvlText w:val="(%1)"/>
      <w:numFmt w:val="decimal"/>
      <w:start w:val="1"/>
    </w:lvl>
  </w:abstractNum>
  <w:abstractNum w:abstractNumId="145">
    <w:nsid w:val="368DB37E"/>
    <w:multiLevelType w:val="hybridMultilevel"/>
    <w:lvl w:ilvl="0">
      <w:lvlJc w:val="left"/>
      <w:lvlText w:val="·"/>
      <w:numFmt w:val="bullet"/>
      <w:start w:val="1"/>
    </w:lvl>
  </w:abstractNum>
  <w:abstractNum w:abstractNumId="146">
    <w:nsid w:val="6A3B714C"/>
    <w:multiLevelType w:val="hybridMultilevel"/>
    <w:lvl w:ilvl="0">
      <w:lvlJc w:val="left"/>
      <w:lvlText w:val="(%1)"/>
      <w:numFmt w:val="decimal"/>
      <w:start w:val="1"/>
    </w:lvl>
  </w:abstractNum>
  <w:abstractNum w:abstractNumId="147">
    <w:nsid w:val="327B517E"/>
    <w:multiLevelType w:val="hybridMultilevel"/>
    <w:lvl w:ilvl="0">
      <w:lvlJc w:val="left"/>
      <w:lvlText w:val="(%1)"/>
      <w:numFmt w:val="decimal"/>
      <w:start w:val="1"/>
    </w:lvl>
  </w:abstractNum>
  <w:abstractNum w:abstractNumId="148">
    <w:nsid w:val="1F461B51"/>
    <w:multiLevelType w:val="hybridMultilevel"/>
    <w:lvl w:ilvl="0">
      <w:lvlJc w:val="left"/>
      <w:lvlText w:val="(%1)"/>
      <w:numFmt w:val="decimal"/>
      <w:start w:val="1"/>
    </w:lvl>
  </w:abstractNum>
  <w:abstractNum w:abstractNumId="149">
    <w:nsid w:val="29BACF25"/>
    <w:multiLevelType w:val="hybridMultilevel"/>
    <w:lvl w:ilvl="0">
      <w:lvlJc w:val="left"/>
      <w:lvlText w:val="(%1)"/>
      <w:numFmt w:val="lowerRoman"/>
      <w:start w:val="1"/>
    </w:lvl>
  </w:abstractNum>
  <w:abstractNum w:abstractNumId="150">
    <w:nsid w:val="5D5BABB3"/>
    <w:multiLevelType w:val="hybridMultilevel"/>
    <w:lvl w:ilvl="0">
      <w:lvlJc w:val="left"/>
      <w:lvlText w:val="(%1)"/>
      <w:numFmt w:val="lowerRoman"/>
      <w:start w:val="2"/>
    </w:lvl>
  </w:abstractNum>
  <w:abstractNum w:abstractNumId="151">
    <w:nsid w:val="51BF6B48"/>
    <w:multiLevelType w:val="hybridMultilevel"/>
    <w:lvl w:ilvl="0">
      <w:lvlJc w:val="left"/>
      <w:lvlText w:val="(%1)"/>
      <w:numFmt w:val="lowerRoman"/>
      <w:start w:val="1"/>
    </w:lvl>
  </w:abstractNum>
  <w:abstractNum w:abstractNumId="152">
    <w:nsid w:val="7E0F6384"/>
    <w:multiLevelType w:val="hybridMultilevel"/>
    <w:lvl w:ilvl="0">
      <w:lvlJc w:val="left"/>
      <w:lvlText w:val="(%1)"/>
      <w:numFmt w:val="decimal"/>
      <w:start w:val="1"/>
    </w:lvl>
  </w:abstractNum>
  <w:abstractNum w:abstractNumId="153">
    <w:nsid w:val="2B4B8B53"/>
    <w:multiLevelType w:val="hybridMultilevel"/>
    <w:lvl w:ilvl="0">
      <w:lvlJc w:val="left"/>
      <w:lvlText w:val="(%1)"/>
      <w:numFmt w:val="decimal"/>
      <w:start w:val="1"/>
    </w:lvl>
  </w:abstractNum>
  <w:abstractNum w:abstractNumId="154">
    <w:nsid w:val="72E3413A"/>
    <w:multiLevelType w:val="hybridMultilevel"/>
    <w:lvl w:ilvl="0">
      <w:lvlJc w:val="left"/>
      <w:lvlText w:val="·"/>
      <w:numFmt w:val="bullet"/>
      <w:start w:val="1"/>
    </w:lvl>
  </w:abstractNum>
  <w:abstractNum w:abstractNumId="155">
    <w:nsid w:val="116AE494"/>
    <w:multiLevelType w:val="hybridMultilevel"/>
    <w:lvl w:ilvl="0">
      <w:lvlJc w:val="left"/>
      <w:lvlText w:val="·"/>
      <w:numFmt w:val="bullet"/>
      <w:start w:val="1"/>
    </w:lvl>
  </w:abstractNum>
  <w:abstractNum w:abstractNumId="156">
    <w:nsid w:val="3494B2FB"/>
    <w:multiLevelType w:val="hybridMultilevel"/>
    <w:lvl w:ilvl="0">
      <w:lvlJc w:val="left"/>
      <w:lvlText w:val="·"/>
      <w:numFmt w:val="bullet"/>
      <w:start w:val="1"/>
    </w:lvl>
  </w:abstractNum>
  <w:abstractNum w:abstractNumId="157">
    <w:nsid w:val="B13A31"/>
    <w:multiLevelType w:val="hybridMultilevel"/>
    <w:lvl w:ilvl="0">
      <w:lvlJc w:val="left"/>
      <w:lvlText w:val="·"/>
      <w:numFmt w:val="bullet"/>
      <w:start w:val="1"/>
    </w:lvl>
  </w:abstractNum>
  <w:abstractNum w:abstractNumId="158">
    <w:nsid w:val="64429599"/>
    <w:multiLevelType w:val="hybridMultilevel"/>
    <w:lvl w:ilvl="0">
      <w:lvlJc w:val="left"/>
      <w:lvlText w:val="·"/>
      <w:numFmt w:val="bullet"/>
      <w:start w:val="1"/>
    </w:lvl>
  </w:abstractNum>
  <w:abstractNum w:abstractNumId="159">
    <w:nsid w:val="631F1690"/>
    <w:multiLevelType w:val="hybridMultilevel"/>
    <w:lvl w:ilvl="0">
      <w:lvlJc w:val="left"/>
      <w:lvlText w:val="(%1)"/>
      <w:numFmt w:val="lowerRoman"/>
      <w:start w:val="1"/>
    </w:lvl>
  </w:abstractNum>
  <w:abstractNum w:abstractNumId="160">
    <w:nsid w:val="25973E32"/>
    <w:multiLevelType w:val="hybridMultilevel"/>
    <w:lvl w:ilvl="0">
      <w:lvlJc w:val="left"/>
      <w:lvlText w:val="(%1)"/>
      <w:numFmt w:val="lowerRoman"/>
      <w:start w:val="2"/>
    </w:lvl>
  </w:abstractNum>
  <w:abstractNum w:abstractNumId="161">
    <w:nsid w:val="EAD6F57"/>
    <w:multiLevelType w:val="hybridMultilevel"/>
    <w:lvl w:ilvl="0">
      <w:lvlJc w:val="left"/>
      <w:lvlText w:val="(%1)"/>
      <w:numFmt w:val="lowerRoman"/>
      <w:start w:val="1"/>
    </w:lvl>
  </w:abstractNum>
  <w:abstractNum w:abstractNumId="162">
    <w:nsid w:val="6EC9D844"/>
    <w:multiLevelType w:val="hybridMultilevel"/>
    <w:lvl w:ilvl="0">
      <w:lvlJc w:val="left"/>
      <w:lvlText w:val="(%1)"/>
      <w:numFmt w:val="lowerRoman"/>
      <w:start w:val="1"/>
    </w:lvl>
  </w:abstractNum>
  <w:abstractNum w:abstractNumId="163">
    <w:nsid w:val="5C49EAEE"/>
    <w:multiLevelType w:val="hybridMultilevel"/>
    <w:lvl w:ilvl="0">
      <w:lvlJc w:val="left"/>
      <w:lvlText w:val="(%1)"/>
      <w:numFmt w:val="lowerRoman"/>
      <w:start w:val="2"/>
    </w:lvl>
  </w:abstractNum>
  <w:abstractNum w:abstractNumId="164">
    <w:nsid w:val="64AF49B"/>
    <w:multiLevelType w:val="hybridMultilevel"/>
    <w:lvl w:ilvl="0">
      <w:lvlJc w:val="left"/>
      <w:lvlText w:val="(%1)"/>
      <w:numFmt w:val="lowerRoman"/>
      <w:start w:val="1"/>
    </w:lvl>
  </w:abstractNum>
  <w:abstractNum w:abstractNumId="165">
    <w:nsid w:val="397C46BC"/>
    <w:multiLevelType w:val="hybridMultilevel"/>
    <w:lvl w:ilvl="0">
      <w:lvlJc w:val="left"/>
      <w:lvlText w:val="(%1)"/>
      <w:numFmt w:val="decimal"/>
      <w:start w:val="1"/>
    </w:lvl>
  </w:abstractNum>
  <w:abstractNum w:abstractNumId="166">
    <w:nsid w:val="7E448DE9"/>
    <w:multiLevelType w:val="hybridMultilevel"/>
    <w:lvl w:ilvl="0">
      <w:lvlJc w:val="left"/>
      <w:lvlText w:val="(%1)"/>
      <w:numFmt w:val="lowerRoman"/>
      <w:start w:val="1"/>
    </w:lvl>
  </w:abstractNum>
  <w:abstractNum w:abstractNumId="167">
    <w:nsid w:val="5A9CC3E5"/>
    <w:multiLevelType w:val="hybridMultilevel"/>
    <w:lvl w:ilvl="0">
      <w:lvlJc w:val="left"/>
      <w:lvlText w:val="(%1)"/>
      <w:numFmt w:val="lowerRoman"/>
      <w:start w:val="1"/>
    </w:lvl>
  </w:abstractNum>
  <w:abstractNum w:abstractNumId="168">
    <w:nsid w:val="1AFE3625"/>
    <w:multiLevelType w:val="hybridMultilevel"/>
    <w:lvl w:ilvl="0">
      <w:lvlJc w:val="left"/>
      <w:lvlText w:val="(%1)"/>
      <w:numFmt w:val="lowerRoman"/>
      <w:start w:val="1"/>
    </w:lvl>
  </w:abstractNum>
  <w:abstractNum w:abstractNumId="169">
    <w:nsid w:val="3CA88ECF"/>
    <w:multiLevelType w:val="hybridMultilevel"/>
    <w:lvl w:ilvl="0">
      <w:lvlJc w:val="left"/>
      <w:lvlText w:val="(%1)"/>
      <w:numFmt w:val="lowerRoman"/>
      <w:start w:val="1"/>
    </w:lvl>
  </w:abstractNum>
  <w:abstractNum w:abstractNumId="170">
    <w:nsid w:val="6EBE4208"/>
    <w:multiLevelType w:val="hybridMultilevel"/>
    <w:lvl w:ilvl="0">
      <w:lvlJc w:val="left"/>
      <w:lvlText w:val="(%1)"/>
      <w:numFmt w:val="lowerRoman"/>
      <w:start w:val="2"/>
    </w:lvl>
  </w:abstractNum>
  <w:abstractNum w:abstractNumId="171">
    <w:nsid w:val="C058DF5"/>
    <w:multiLevelType w:val="hybridMultilevel"/>
    <w:lvl w:ilvl="0">
      <w:lvlJc w:val="left"/>
      <w:lvlText w:val="(%1)"/>
      <w:numFmt w:val="decimal"/>
      <w:start w:val="1"/>
    </w:lvl>
  </w:abstractNum>
  <w:abstractNum w:abstractNumId="172">
    <w:nsid w:val="CBE5BE9"/>
    <w:multiLevelType w:val="hybridMultilevel"/>
    <w:lvl w:ilvl="0">
      <w:lvlJc w:val="left"/>
      <w:lvlText w:val="(%1)"/>
      <w:numFmt w:val="lowerRoman"/>
      <w:start w:val="1"/>
    </w:lvl>
  </w:abstractNum>
  <w:abstractNum w:abstractNumId="173">
    <w:nsid w:val="3102BBE2"/>
    <w:multiLevelType w:val="hybridMultilevel"/>
    <w:lvl w:ilvl="0">
      <w:lvlJc w:val="left"/>
      <w:lvlText w:val="(%1)"/>
      <w:numFmt w:val="lowerRoman"/>
      <w:start w:val="1"/>
    </w:lvl>
  </w:abstractNum>
  <w:abstractNum w:abstractNumId="174">
    <w:nsid w:val="26A02C5E"/>
    <w:multiLevelType w:val="hybridMultilevel"/>
    <w:lvl w:ilvl="0">
      <w:lvlJc w:val="left"/>
      <w:lvlText w:val="(%1)"/>
      <w:numFmt w:val="decimal"/>
      <w:start w:val="1"/>
    </w:lvl>
    <w:lvl w:ilvl="1">
      <w:lvlJc w:val="left"/>
      <w:lvlText w:val="(%2)"/>
      <w:numFmt w:val="lowerRoman"/>
      <w:start w:val="1"/>
    </w:lvl>
  </w:abstractNum>
  <w:abstractNum w:abstractNumId="175">
    <w:nsid w:val="541C8153"/>
    <w:multiLevelType w:val="hybridMultilevel"/>
    <w:lvl w:ilvl="0">
      <w:lvlJc w:val="left"/>
      <w:lvlText w:val="(%1)"/>
      <w:numFmt w:val="lowerRoman"/>
      <w:start w:val="1"/>
    </w:lvl>
  </w:abstractNum>
  <w:abstractNum w:abstractNumId="176">
    <w:nsid w:val="67906F60"/>
    <w:multiLevelType w:val="hybridMultilevel"/>
    <w:lvl w:ilvl="0">
      <w:lvlJc w:val="left"/>
      <w:lvlText w:val="(%1)"/>
      <w:numFmt w:val="decimal"/>
      <w:start w:val="1"/>
    </w:lvl>
  </w:abstractNum>
  <w:abstractNum w:abstractNumId="177">
    <w:nsid w:val="10DB9DAA"/>
    <w:multiLevelType w:val="hybridMultilevel"/>
    <w:lvl w:ilvl="0">
      <w:lvlJc w:val="left"/>
      <w:lvlText w:val="(%1)"/>
      <w:numFmt w:val="lowerRoman"/>
      <w:start w:val="1"/>
    </w:lvl>
  </w:abstractNum>
  <w:abstractNum w:abstractNumId="178">
    <w:nsid w:val="697D2D2"/>
    <w:multiLevelType w:val="hybridMultilevel"/>
    <w:lvl w:ilvl="0">
      <w:lvlJc w:val="left"/>
      <w:lvlText w:val="(%1)"/>
      <w:numFmt w:val="lowerRoman"/>
      <w:start w:val="2"/>
    </w:lvl>
  </w:abstractNum>
  <w:abstractNum w:abstractNumId="179">
    <w:nsid w:val="6D68AB2"/>
    <w:multiLevelType w:val="hybridMultilevel"/>
    <w:lvl w:ilvl="0">
      <w:lvlJc w:val="left"/>
      <w:lvlText w:val="(%1)"/>
      <w:numFmt w:val="lowerRoman"/>
      <w:start w:val="3"/>
    </w:lvl>
  </w:abstractNum>
  <w:abstractNum w:abstractNumId="180">
    <w:nsid w:val="3A966CD0"/>
    <w:multiLevelType w:val="hybridMultilevel"/>
    <w:lvl w:ilvl="0">
      <w:lvlJc w:val="left"/>
      <w:lvlText w:val="(%1)"/>
      <w:numFmt w:val="lowerRoman"/>
      <w:start w:val="4"/>
    </w:lvl>
  </w:abstractNum>
  <w:abstractNum w:abstractNumId="181">
    <w:nsid w:val="63F37E85"/>
    <w:multiLevelType w:val="hybridMultilevel"/>
    <w:lvl w:ilvl="0">
      <w:lvlJc w:val="left"/>
      <w:lvlText w:val="(%1)"/>
      <w:numFmt w:val="lowerRoman"/>
      <w:start w:val="5"/>
    </w:lvl>
  </w:abstractNum>
  <w:abstractNum w:abstractNumId="182">
    <w:nsid w:val="5895F5FA"/>
    <w:multiLevelType w:val="hybridMultilevel"/>
    <w:lvl w:ilvl="0">
      <w:lvlJc w:val="left"/>
      <w:lvlText w:val="(%1)"/>
      <w:numFmt w:val="lowerRoman"/>
      <w:start w:val="6"/>
    </w:lvl>
  </w:abstractNum>
  <w:abstractNum w:abstractNumId="183">
    <w:nsid w:val="38A5D054"/>
    <w:multiLevelType w:val="hybridMultilevel"/>
    <w:lvl w:ilvl="0">
      <w:lvlJc w:val="left"/>
      <w:lvlText w:val="(%1)"/>
      <w:numFmt w:val="lowerRoman"/>
      <w:start w:val="7"/>
    </w:lvl>
  </w:abstractNum>
  <w:abstractNum w:abstractNumId="184">
    <w:nsid w:val="F3F09D8"/>
    <w:multiLevelType w:val="hybridMultilevel"/>
    <w:lvl w:ilvl="0">
      <w:lvlJc w:val="left"/>
      <w:lvlText w:val="(%1)"/>
      <w:numFmt w:val="lowerRoman"/>
      <w:start w:val="8"/>
    </w:lvl>
  </w:abstractNum>
  <w:abstractNum w:abstractNumId="185">
    <w:nsid w:val="4B793735"/>
    <w:multiLevelType w:val="hybridMultilevel"/>
    <w:lvl w:ilvl="0">
      <w:lvlJc w:val="left"/>
      <w:lvlText w:val="(%1)"/>
      <w:numFmt w:val="lowerRoman"/>
      <w:start w:val="1"/>
    </w:lvl>
  </w:abstractNum>
  <w:abstractNum w:abstractNumId="186">
    <w:nsid w:val="4A10B4E8"/>
    <w:multiLevelType w:val="hybridMultilevel"/>
    <w:lvl w:ilvl="0">
      <w:lvlJc w:val="left"/>
      <w:lvlText w:val="(%1)"/>
      <w:numFmt w:val="lowerRoman"/>
      <w:start w:val="1"/>
    </w:lvl>
  </w:abstractNum>
  <w:abstractNum w:abstractNumId="187">
    <w:nsid w:val="43D3BCD4"/>
    <w:multiLevelType w:val="hybridMultilevel"/>
    <w:lvl w:ilvl="0">
      <w:lvlJc w:val="left"/>
      <w:lvlText w:val="(%1)"/>
      <w:numFmt w:val="decimal"/>
      <w:start w:val="1"/>
    </w:lvl>
  </w:abstractNum>
  <w:abstractNum w:abstractNumId="188">
    <w:nsid w:val="4C2A7166"/>
    <w:multiLevelType w:val="hybridMultilevel"/>
    <w:lvl w:ilvl="0">
      <w:lvlJc w:val="left"/>
      <w:lvlText w:val="(%1)"/>
      <w:numFmt w:val="decimal"/>
      <w:start w:val="1"/>
    </w:lvl>
  </w:abstractNum>
  <w:abstractNum w:abstractNumId="189">
    <w:nsid w:val="2E534A82"/>
    <w:multiLevelType w:val="hybridMultilevel"/>
    <w:lvl w:ilvl="0">
      <w:lvlJc w:val="left"/>
      <w:lvlText w:val="(%1)"/>
      <w:numFmt w:val="lowerRoman"/>
      <w:start w:val="1"/>
    </w:lvl>
  </w:abstractNum>
  <w:abstractNum w:abstractNumId="190">
    <w:nsid w:val="26F2D364"/>
    <w:multiLevelType w:val="hybridMultilevel"/>
    <w:lvl w:ilvl="0">
      <w:lvlJc w:val="left"/>
      <w:lvlText w:val="(%1)"/>
      <w:numFmt w:val="lowerRoman"/>
      <w:start w:val="1"/>
    </w:lvl>
  </w:abstractNum>
  <w:abstractNum w:abstractNumId="191">
    <w:nsid w:val="71C1AF98"/>
    <w:multiLevelType w:val="hybridMultilevel"/>
    <w:lvl w:ilvl="0">
      <w:lvlJc w:val="left"/>
      <w:lvlText w:val="(%1)"/>
      <w:numFmt w:val="lowerRoman"/>
      <w:start w:val="1"/>
    </w:lvl>
  </w:abstractNum>
  <w:abstractNum w:abstractNumId="192">
    <w:nsid w:val="3D00B9D9"/>
    <w:multiLevelType w:val="hybridMultilevel"/>
    <w:lvl w:ilvl="0">
      <w:lvlJc w:val="left"/>
      <w:lvlText w:val="*"/>
      <w:numFmt w:val="bullet"/>
      <w:start w:val="1"/>
    </w:lvl>
  </w:abstractNum>
  <w:abstractNum w:abstractNumId="193">
    <w:nsid w:val="15BCABA8"/>
    <w:multiLevelType w:val="hybridMultilevel"/>
    <w:lvl w:ilvl="0">
      <w:lvlJc w:val="left"/>
      <w:lvlText w:val="*"/>
      <w:numFmt w:val="bullet"/>
      <w:start w:val="1"/>
    </w:lvl>
  </w:abstractNum>
  <w:abstractNum w:abstractNumId="194">
    <w:nsid w:val="4E0B9A87"/>
    <w:multiLevelType w:val="hybridMultilevel"/>
    <w:lvl w:ilvl="0">
      <w:lvlJc w:val="left"/>
      <w:lvlText w:val="(%1)"/>
      <w:numFmt w:val="decimal"/>
      <w:start w:val="1"/>
    </w:lvl>
  </w:abstractNum>
  <w:abstractNum w:abstractNumId="195">
    <w:nsid w:val="434BAE75"/>
    <w:multiLevelType w:val="hybridMultilevel"/>
    <w:lvl w:ilvl="0">
      <w:lvlJc w:val="left"/>
      <w:lvlText w:val="(%1)"/>
      <w:numFmt w:val="lowerRoman"/>
      <w:start w:val="1"/>
    </w:lvl>
  </w:abstractNum>
  <w:abstractNum w:abstractNumId="196">
    <w:nsid w:val="4F38F265"/>
    <w:multiLevelType w:val="hybridMultilevel"/>
    <w:lvl w:ilvl="0">
      <w:lvlJc w:val="left"/>
      <w:lvlText w:val="(%1)"/>
      <w:numFmt w:val="lowerRoman"/>
      <w:start w:val="4"/>
    </w:lvl>
  </w:abstractNum>
  <w:abstractNum w:abstractNumId="197">
    <w:nsid w:val="4C502870"/>
    <w:multiLevelType w:val="hybridMultilevel"/>
    <w:lvl w:ilvl="0">
      <w:lvlJc w:val="left"/>
      <w:lvlText w:val="(%1)"/>
      <w:numFmt w:val="decimal"/>
      <w:start w:val="1"/>
    </w:lvl>
  </w:abstractNum>
  <w:abstractNum w:abstractNumId="198">
    <w:nsid w:val="1DE8725A"/>
    <w:multiLevelType w:val="hybridMultilevel"/>
    <w:lvl w:ilvl="0">
      <w:lvlJc w:val="left"/>
      <w:lvlText w:val="(%1)"/>
      <w:numFmt w:val="lowerRoman"/>
      <w:start w:val="2"/>
    </w:lvl>
  </w:abstractNum>
  <w:abstractNum w:abstractNumId="199">
    <w:nsid w:val="6A37288A"/>
    <w:multiLevelType w:val="hybridMultilevel"/>
    <w:lvl w:ilvl="0">
      <w:lvlJc w:val="left"/>
      <w:lvlText w:val="(%1)"/>
      <w:numFmt w:val="lowerRoman"/>
      <w:start w:val="3"/>
    </w:lvl>
  </w:abstractNum>
  <w:abstractNum w:abstractNumId="200">
    <w:nsid w:val="8F8B73F"/>
    <w:multiLevelType w:val="hybridMultilevel"/>
    <w:lvl w:ilvl="0">
      <w:lvlJc w:val="left"/>
      <w:lvlText w:val="(%1)"/>
      <w:numFmt w:val="decimal"/>
      <w:start w:val="1"/>
    </w:lvl>
  </w:abstractNum>
  <w:abstractNum w:abstractNumId="201">
    <w:nsid w:val="CA6B462"/>
    <w:multiLevelType w:val="hybridMultilevel"/>
    <w:lvl w:ilvl="0">
      <w:lvlJc w:val="left"/>
      <w:lvlText w:val="(%1)"/>
      <w:numFmt w:val="decimal"/>
      <w:start w:val="1"/>
    </w:lvl>
  </w:abstractNum>
  <w:abstractNum w:abstractNumId="202">
    <w:nsid w:val="763CB680"/>
    <w:multiLevelType w:val="hybridMultilevel"/>
    <w:lvl w:ilvl="0">
      <w:lvlJc w:val="left"/>
      <w:lvlText w:val="(%1)"/>
      <w:numFmt w:val="lowerRoman"/>
      <w:start w:val="1"/>
    </w:lvl>
  </w:abstractNum>
  <w:abstractNum w:abstractNumId="203">
    <w:nsid w:val="15B71329"/>
    <w:multiLevelType w:val="hybridMultilevel"/>
    <w:lvl w:ilvl="0">
      <w:lvlJc w:val="left"/>
      <w:lvlText w:val="(%1)"/>
      <w:numFmt w:val="lowerRoman"/>
      <w:start w:val="1"/>
    </w:lvl>
  </w:abstractNum>
  <w:abstractNum w:abstractNumId="204">
    <w:nsid w:val="3DA97044"/>
    <w:multiLevelType w:val="hybridMultilevel"/>
    <w:lvl w:ilvl="0">
      <w:lvlJc w:val="left"/>
      <w:lvlText w:val="(%1)"/>
      <w:numFmt w:val="lowerRoman"/>
      <w:start w:val="1"/>
    </w:lvl>
  </w:abstractNum>
  <w:abstractNum w:abstractNumId="205">
    <w:nsid w:val="1CDCE2DE"/>
    <w:multiLevelType w:val="hybridMultilevel"/>
    <w:lvl w:ilvl="0">
      <w:lvlJc w:val="left"/>
      <w:lvlText w:val="(%1)"/>
      <w:numFmt w:val="lowerRoman"/>
      <w:start w:val="2"/>
    </w:lvl>
  </w:abstractNum>
  <w:abstractNum w:abstractNumId="206">
    <w:nsid w:val="69D3947C"/>
    <w:multiLevelType w:val="hybridMultilevel"/>
    <w:lvl w:ilvl="0">
      <w:lvlJc w:val="left"/>
      <w:lvlText w:val="(%1)"/>
      <w:numFmt w:val="decimal"/>
      <w:start w:val="1"/>
    </w:lvl>
  </w:abstractNum>
  <w:abstractNum w:abstractNumId="207">
    <w:nsid w:val="2539DFA5"/>
    <w:multiLevelType w:val="hybridMultilevel"/>
    <w:lvl w:ilvl="0">
      <w:lvlJc w:val="left"/>
      <w:lvlText w:val="(%1)"/>
      <w:numFmt w:val="decimal"/>
      <w:start w:val="1"/>
    </w:lvl>
    <w:lvl w:ilvl="1">
      <w:lvlJc w:val="left"/>
      <w:lvlText w:val="(%2)"/>
      <w:numFmt w:val="lowerRoman"/>
      <w:start w:val="1"/>
    </w:lvl>
  </w:abstractNum>
  <w:abstractNum w:abstractNumId="208">
    <w:nsid w:val="2DB88089"/>
    <w:multiLevelType w:val="hybridMultilevel"/>
    <w:lvl w:ilvl="0">
      <w:lvlJc w:val="left"/>
      <w:lvlText w:val="(%1)"/>
      <w:numFmt w:val="lowerRoman"/>
      <w:start w:val="2"/>
    </w:lvl>
  </w:abstractNum>
  <w:abstractNum w:abstractNumId="209">
    <w:nsid w:val="706B674E"/>
    <w:multiLevelType w:val="hybridMultilevel"/>
    <w:lvl w:ilvl="0">
      <w:lvlJc w:val="left"/>
      <w:lvlText w:val="(%1)"/>
      <w:numFmt w:val="decimal"/>
      <w:start w:val="1"/>
    </w:lvl>
  </w:abstractNum>
  <w:abstractNum w:abstractNumId="210">
    <w:nsid w:val="2C106A57"/>
    <w:multiLevelType w:val="hybridMultilevel"/>
    <w:lvl w:ilvl="0">
      <w:lvlJc w:val="left"/>
      <w:lvlText w:val="(%1)"/>
      <w:numFmt w:val="lowerRoman"/>
      <w:start w:val="1"/>
    </w:lvl>
  </w:abstractNum>
  <w:abstractNum w:abstractNumId="211">
    <w:nsid w:val="684EED59"/>
    <w:multiLevelType w:val="hybridMultilevel"/>
    <w:lvl w:ilvl="0">
      <w:lvlJc w:val="left"/>
      <w:lvlText w:val="(%1)"/>
      <w:numFmt w:val="lowerRoman"/>
      <w:start w:val="2"/>
    </w:lvl>
  </w:abstractNum>
  <w:abstractNum w:abstractNumId="212">
    <w:nsid w:val="545EE5D3"/>
    <w:multiLevelType w:val="hybridMultilevel"/>
    <w:lvl w:ilvl="0">
      <w:lvlJc w:val="left"/>
      <w:lvlText w:val="(%1)"/>
      <w:numFmt w:val="decimal"/>
      <w:start w:val="1"/>
    </w:lvl>
  </w:abstractNum>
  <w:abstractNum w:abstractNumId="213">
    <w:nsid w:val="4A66051"/>
    <w:multiLevelType w:val="hybridMultilevel"/>
    <w:lvl w:ilvl="0">
      <w:lvlJc w:val="left"/>
      <w:lvlText w:val="(%1)"/>
      <w:numFmt w:val="decimal"/>
      <w:start w:val="1"/>
    </w:lvl>
  </w:abstractNum>
  <w:abstractNum w:abstractNumId="214">
    <w:nsid w:val="20F4BDAD"/>
    <w:multiLevelType w:val="hybridMultilevel"/>
    <w:lvl w:ilvl="0">
      <w:lvlJc w:val="left"/>
      <w:lvlText w:val="*"/>
      <w:numFmt w:val="bullet"/>
      <w:start w:val="1"/>
    </w:lvl>
  </w:abstractNum>
  <w:abstractNum w:abstractNumId="215">
    <w:nsid w:val="639DEFA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2020-06-08T15:28:10Z</dcterms:created>
  <dcterms:modified xsi:type="dcterms:W3CDTF">2020-06-08T15:28:10Z</dcterms:modified>
</cp:coreProperties>
</file>